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F36A1">
      <w:pPr>
        <w:widowControl w:val="0"/>
        <w:jc w:val="center"/>
        <w:outlineLvl w:val="9"/>
        <w:rPr>
          <w:rFonts w:hint="eastAsia" w:ascii="宋体" w:hAnsi="宋体" w:eastAsia="宋体" w:cs="Times New Roman"/>
          <w:b/>
          <w:kern w:val="0"/>
          <w:sz w:val="56"/>
          <w:szCs w:val="56"/>
          <w:highlight w:val="none"/>
          <w:lang w:val="en-US" w:eastAsia="zh-CN" w:bidi="ar-SA"/>
        </w:rPr>
      </w:pPr>
      <w:r>
        <w:rPr>
          <w:rFonts w:hint="eastAsia" w:ascii="宋体" w:hAnsi="宋体" w:eastAsia="宋体"/>
          <w:b/>
          <w:sz w:val="56"/>
          <w:szCs w:val="56"/>
          <w:lang w:val="en-US" w:eastAsia="zh-CN"/>
        </w:rPr>
        <w:t>昆明市第三人民医院</w:t>
      </w:r>
      <w:r>
        <w:rPr>
          <w:rFonts w:hint="eastAsia" w:ascii="宋体" w:hAnsi="宋体"/>
          <w:b/>
          <w:sz w:val="56"/>
          <w:szCs w:val="56"/>
          <w:lang w:val="en-US" w:eastAsia="zh-CN"/>
        </w:rPr>
        <w:t>医疗设备（64排CT)维护和保养服务项目</w:t>
      </w:r>
    </w:p>
    <w:p w14:paraId="35B9350D">
      <w:pPr>
        <w:jc w:val="both"/>
        <w:rPr>
          <w:rFonts w:hint="eastAsia" w:ascii="宋体" w:hAnsi="宋体" w:eastAsia="宋体" w:cs="Times New Roman"/>
          <w:b/>
          <w:kern w:val="0"/>
          <w:sz w:val="52"/>
          <w:szCs w:val="52"/>
          <w:highlight w:val="none"/>
          <w:lang w:val="en-US" w:eastAsia="zh-CN" w:bidi="ar-SA"/>
        </w:rPr>
      </w:pPr>
    </w:p>
    <w:p w14:paraId="3AF961BE">
      <w:pPr>
        <w:widowControl/>
        <w:rPr>
          <w:rFonts w:hint="eastAsia" w:ascii="宋体" w:hAnsi="宋体" w:eastAsia="宋体" w:cs="Times New Roman"/>
          <w:b/>
          <w:kern w:val="0"/>
          <w:sz w:val="52"/>
          <w:szCs w:val="52"/>
          <w:highlight w:val="none"/>
          <w:lang w:val="en-US" w:eastAsia="zh-CN" w:bidi="ar-SA"/>
        </w:rPr>
      </w:pPr>
    </w:p>
    <w:p w14:paraId="119AB3B5">
      <w:pPr>
        <w:widowControl/>
        <w:rPr>
          <w:rFonts w:hint="eastAsia" w:ascii="Times New Roman" w:hAnsi="Times New Roman" w:eastAsia="宋体" w:cs="Times New Roman"/>
          <w:kern w:val="2"/>
          <w:sz w:val="21"/>
          <w:szCs w:val="20"/>
          <w:highlight w:val="none"/>
          <w:lang w:val="en-US" w:eastAsia="zh-CN"/>
        </w:rPr>
      </w:pPr>
    </w:p>
    <w:p w14:paraId="02BF4648">
      <w:pPr>
        <w:jc w:val="center"/>
        <w:rPr>
          <w:rFonts w:hint="eastAsia" w:ascii="宋体" w:hAnsi="宋体" w:eastAsia="宋体" w:cs="宋体"/>
          <w:b/>
          <w:bCs/>
          <w:color w:val="000000"/>
          <w:sz w:val="56"/>
          <w:szCs w:val="56"/>
          <w:highlight w:val="none"/>
          <w:lang w:eastAsia="zh-CN"/>
        </w:rPr>
      </w:pPr>
      <w:r>
        <w:rPr>
          <w:rFonts w:hint="eastAsia" w:ascii="宋体" w:hAnsi="宋体" w:cs="宋体"/>
          <w:b/>
          <w:bCs/>
          <w:color w:val="000000"/>
          <w:sz w:val="56"/>
          <w:szCs w:val="56"/>
          <w:highlight w:val="none"/>
          <w:lang w:eastAsia="zh-CN"/>
        </w:rPr>
        <w:t>招标文件</w:t>
      </w:r>
    </w:p>
    <w:p w14:paraId="5CE4FDD4">
      <w:pPr>
        <w:keepNext w:val="0"/>
        <w:keepLines w:val="0"/>
        <w:pageBreakBefore w:val="0"/>
        <w:widowControl w:val="0"/>
        <w:kinsoku/>
        <w:wordWrap/>
        <w:overflowPunct/>
        <w:topLinePunct w:val="0"/>
        <w:autoSpaceDE/>
        <w:autoSpaceDN/>
        <w:bidi w:val="0"/>
        <w:adjustRightInd w:val="0"/>
        <w:snapToGrid w:val="0"/>
        <w:spacing w:line="360" w:lineRule="auto"/>
        <w:ind w:firstLine="1800" w:firstLineChars="500"/>
        <w:textAlignment w:val="auto"/>
        <w:rPr>
          <w:rFonts w:hint="eastAsia" w:ascii="Times New Roman" w:hAnsi="Times New Roman" w:eastAsia="宋体" w:cs="Times New Roman"/>
          <w:kern w:val="0"/>
          <w:sz w:val="36"/>
          <w:szCs w:val="36"/>
          <w:highlight w:val="none"/>
          <w:lang w:val="en-US" w:eastAsia="zh-CN" w:bidi="ar-SA"/>
        </w:rPr>
      </w:pPr>
    </w:p>
    <w:p w14:paraId="699EE358">
      <w:pPr>
        <w:keepNext w:val="0"/>
        <w:keepLines w:val="0"/>
        <w:pageBreakBefore w:val="0"/>
        <w:widowControl w:val="0"/>
        <w:kinsoku/>
        <w:wordWrap/>
        <w:overflowPunct/>
        <w:topLinePunct w:val="0"/>
        <w:autoSpaceDE/>
        <w:autoSpaceDN/>
        <w:bidi w:val="0"/>
        <w:adjustRightInd w:val="0"/>
        <w:snapToGrid w:val="0"/>
        <w:spacing w:line="360" w:lineRule="auto"/>
        <w:ind w:firstLine="1080" w:firstLineChars="300"/>
        <w:textAlignment w:val="auto"/>
        <w:rPr>
          <w:rFonts w:hint="default" w:ascii="Times New Roman" w:hAnsi="Times New Roman" w:eastAsia="宋体" w:cs="Times New Roman"/>
          <w:kern w:val="0"/>
          <w:sz w:val="36"/>
          <w:szCs w:val="36"/>
          <w:highlight w:val="none"/>
          <w:u w:val="single"/>
          <w:lang w:val="en-US" w:eastAsia="zh-CN" w:bidi="ar-SA"/>
        </w:rPr>
      </w:pPr>
      <w:r>
        <w:rPr>
          <w:rFonts w:hint="eastAsia" w:ascii="Times New Roman" w:hAnsi="Times New Roman" w:eastAsia="宋体" w:cs="Times New Roman"/>
          <w:kern w:val="0"/>
          <w:sz w:val="36"/>
          <w:szCs w:val="36"/>
          <w:highlight w:val="none"/>
          <w:lang w:val="en-US" w:eastAsia="zh-CN" w:bidi="ar-SA"/>
        </w:rPr>
        <w:t>项</w:t>
      </w:r>
      <w:r>
        <w:rPr>
          <w:rFonts w:ascii="Times New Roman" w:hAnsi="Times New Roman" w:eastAsia="宋体" w:cs="Times New Roman"/>
          <w:kern w:val="0"/>
          <w:sz w:val="36"/>
          <w:szCs w:val="36"/>
          <w:highlight w:val="none"/>
          <w:lang w:val="en-US" w:eastAsia="zh-CN" w:bidi="ar-SA"/>
        </w:rPr>
        <w:t>目编号：</w:t>
      </w:r>
      <w:r>
        <w:rPr>
          <w:rFonts w:hint="eastAsia" w:ascii="Times New Roman" w:hAnsi="Times New Roman" w:cs="Times New Roman"/>
          <w:kern w:val="0"/>
          <w:sz w:val="36"/>
          <w:szCs w:val="36"/>
          <w:highlight w:val="none"/>
          <w:u w:val="single"/>
          <w:lang w:val="en-US" w:eastAsia="zh-CN" w:bidi="ar-SA"/>
        </w:rPr>
        <w:t xml:space="preserve"> BK-2024ZCSY-240</w:t>
      </w:r>
      <w:r>
        <w:rPr>
          <w:rFonts w:hint="eastAsia" w:cs="Times New Roman"/>
          <w:kern w:val="0"/>
          <w:sz w:val="36"/>
          <w:szCs w:val="36"/>
          <w:highlight w:val="none"/>
          <w:u w:val="single"/>
          <w:lang w:val="en-US" w:eastAsia="zh-CN" w:bidi="ar-SA"/>
        </w:rPr>
        <w:t>4</w:t>
      </w:r>
      <w:r>
        <w:rPr>
          <w:rFonts w:hint="eastAsia" w:ascii="Times New Roman" w:hAnsi="Times New Roman" w:cs="Times New Roman"/>
          <w:kern w:val="0"/>
          <w:sz w:val="36"/>
          <w:szCs w:val="36"/>
          <w:highlight w:val="none"/>
          <w:u w:val="single"/>
          <w:lang w:val="en-US" w:eastAsia="zh-CN" w:bidi="ar-SA"/>
        </w:rPr>
        <w:t xml:space="preserve"> </w:t>
      </w:r>
    </w:p>
    <w:p w14:paraId="4E7B3B74">
      <w:pPr>
        <w:keepNext w:val="0"/>
        <w:keepLines w:val="0"/>
        <w:pageBreakBefore w:val="0"/>
        <w:widowControl w:val="0"/>
        <w:kinsoku/>
        <w:wordWrap/>
        <w:overflowPunct/>
        <w:topLinePunct w:val="0"/>
        <w:autoSpaceDE/>
        <w:autoSpaceDN/>
        <w:bidi w:val="0"/>
        <w:adjustRightInd w:val="0"/>
        <w:snapToGrid w:val="0"/>
        <w:spacing w:line="360" w:lineRule="auto"/>
        <w:ind w:firstLine="1080" w:firstLineChars="300"/>
        <w:textAlignment w:val="auto"/>
        <w:rPr>
          <w:rFonts w:hint="eastAsia" w:ascii="宋体" w:hAnsi="宋体" w:cs="宋体"/>
          <w:sz w:val="28"/>
          <w:szCs w:val="28"/>
          <w:lang w:eastAsia="zh-CN"/>
        </w:rPr>
      </w:pPr>
      <w:r>
        <w:rPr>
          <w:rFonts w:hint="eastAsia" w:ascii="Times New Roman" w:hAnsi="Times New Roman" w:eastAsia="宋体" w:cs="Times New Roman"/>
          <w:kern w:val="0"/>
          <w:sz w:val="36"/>
          <w:szCs w:val="36"/>
          <w:highlight w:val="none"/>
          <w:lang w:val="en-US" w:eastAsia="zh-CN" w:bidi="ar-SA"/>
        </w:rPr>
        <w:t>政采云编号：</w:t>
      </w:r>
      <w:r>
        <w:rPr>
          <w:rFonts w:hint="eastAsia" w:ascii="Times New Roman" w:hAnsi="Times New Roman" w:cs="Times New Roman"/>
          <w:kern w:val="0"/>
          <w:sz w:val="36"/>
          <w:szCs w:val="36"/>
          <w:highlight w:val="none"/>
          <w:u w:val="single"/>
          <w:lang w:val="en-US" w:eastAsia="zh-CN" w:bidi="ar-SA"/>
        </w:rPr>
        <w:t>KMZC2024-G3-03265-YNBK-0025</w:t>
      </w:r>
    </w:p>
    <w:p w14:paraId="6A4F0D13">
      <w:pPr>
        <w:rPr>
          <w:rFonts w:hint="eastAsia" w:ascii="宋体" w:hAnsi="宋体" w:cs="宋体"/>
          <w:sz w:val="28"/>
          <w:szCs w:val="28"/>
          <w:lang w:eastAsia="zh-CN"/>
        </w:rPr>
      </w:pPr>
    </w:p>
    <w:p w14:paraId="2EAAABC1">
      <w:pPr>
        <w:rPr>
          <w:rFonts w:ascii="宋体" w:hAnsi="宋体" w:cs="宋体"/>
          <w:sz w:val="28"/>
          <w:szCs w:val="28"/>
          <w:lang w:eastAsia="zh-CN"/>
        </w:rPr>
      </w:pPr>
    </w:p>
    <w:p w14:paraId="48AB903F">
      <w:pPr>
        <w:pStyle w:val="2"/>
        <w:rPr>
          <w:lang w:eastAsia="zh-CN"/>
        </w:rPr>
      </w:pPr>
    </w:p>
    <w:p w14:paraId="0DBB33E3">
      <w:pPr>
        <w:jc w:val="center"/>
        <w:rPr>
          <w:rFonts w:ascii="宋体" w:hAnsi="宋体" w:cs="宋体"/>
          <w:sz w:val="28"/>
          <w:szCs w:val="28"/>
          <w:lang w:eastAsia="zh-CN"/>
        </w:rPr>
      </w:pPr>
    </w:p>
    <w:p w14:paraId="58FE462F">
      <w:pPr>
        <w:widowControl w:val="0"/>
        <w:spacing w:line="600" w:lineRule="exact"/>
        <w:ind w:firstLine="360" w:firstLineChars="100"/>
        <w:rPr>
          <w:rFonts w:hint="default" w:ascii="Times New Roman" w:hAnsi="Times New Roman" w:eastAsia="宋体" w:cs="Times New Roman"/>
          <w:kern w:val="0"/>
          <w:sz w:val="36"/>
          <w:szCs w:val="36"/>
          <w:highlight w:val="none"/>
          <w:lang w:val="en-US" w:eastAsia="zh-CN" w:bidi="ar-SA"/>
        </w:rPr>
      </w:pPr>
      <w:r>
        <w:rPr>
          <w:rFonts w:hint="eastAsia" w:ascii="Times New Roman" w:hAnsi="Times New Roman" w:eastAsia="宋体" w:cs="Times New Roman"/>
          <w:kern w:val="0"/>
          <w:sz w:val="36"/>
          <w:szCs w:val="36"/>
          <w:highlight w:val="none"/>
          <w:lang w:val="en-US" w:eastAsia="zh-CN" w:bidi="ar-SA"/>
        </w:rPr>
        <w:t>采购单位</w:t>
      </w:r>
      <w:r>
        <w:rPr>
          <w:rFonts w:ascii="Times New Roman" w:hAnsi="Times New Roman" w:eastAsia="宋体" w:cs="Times New Roman"/>
          <w:kern w:val="0"/>
          <w:sz w:val="36"/>
          <w:szCs w:val="36"/>
          <w:highlight w:val="none"/>
          <w:lang w:val="en-US" w:eastAsia="zh-CN" w:bidi="ar-SA"/>
        </w:rPr>
        <w:t>：</w:t>
      </w:r>
      <w:r>
        <w:rPr>
          <w:rFonts w:hint="eastAsia" w:ascii="Times New Roman" w:hAnsi="Times New Roman" w:cs="Times New Roman"/>
          <w:kern w:val="0"/>
          <w:sz w:val="36"/>
          <w:szCs w:val="36"/>
          <w:highlight w:val="none"/>
          <w:u w:val="single"/>
          <w:lang w:val="en-US" w:eastAsia="zh-CN" w:bidi="ar-SA"/>
        </w:rPr>
        <w:t>昆明市第三人民医院</w:t>
      </w:r>
    </w:p>
    <w:p w14:paraId="3617A54A">
      <w:pPr>
        <w:widowControl w:val="0"/>
        <w:rPr>
          <w:rFonts w:hint="eastAsia" w:ascii="Times New Roman" w:hAnsi="Times New Roman" w:eastAsia="宋体" w:cs="Times New Roman"/>
          <w:kern w:val="0"/>
          <w:sz w:val="36"/>
          <w:szCs w:val="36"/>
          <w:highlight w:val="none"/>
          <w:lang w:val="en-US" w:eastAsia="zh-CN" w:bidi="ar-SA"/>
        </w:rPr>
      </w:pPr>
    </w:p>
    <w:p w14:paraId="45278A00">
      <w:pPr>
        <w:widowControl w:val="0"/>
        <w:spacing w:line="600" w:lineRule="exact"/>
        <w:ind w:firstLine="360" w:firstLineChars="100"/>
        <w:rPr>
          <w:rFonts w:hint="default" w:ascii="Times New Roman" w:hAnsi="Times New Roman" w:eastAsia="宋体" w:cs="Times New Roman"/>
          <w:kern w:val="0"/>
          <w:sz w:val="36"/>
          <w:szCs w:val="36"/>
          <w:highlight w:val="none"/>
          <w:lang w:val="en-US" w:eastAsia="zh-CN" w:bidi="ar-SA"/>
        </w:rPr>
      </w:pPr>
      <w:r>
        <w:rPr>
          <w:rFonts w:hint="eastAsia" w:ascii="Times New Roman" w:hAnsi="Times New Roman" w:eastAsia="宋体" w:cs="Times New Roman"/>
          <w:kern w:val="0"/>
          <w:sz w:val="36"/>
          <w:szCs w:val="36"/>
          <w:highlight w:val="none"/>
          <w:lang w:val="en-US" w:eastAsia="zh-CN" w:bidi="ar-SA"/>
        </w:rPr>
        <w:t>采购代理机构</w:t>
      </w:r>
      <w:r>
        <w:rPr>
          <w:rFonts w:ascii="Times New Roman" w:hAnsi="Times New Roman" w:eastAsia="宋体" w:cs="Times New Roman"/>
          <w:kern w:val="0"/>
          <w:sz w:val="36"/>
          <w:szCs w:val="36"/>
          <w:highlight w:val="none"/>
          <w:lang w:val="en-US" w:eastAsia="zh-CN" w:bidi="ar-SA"/>
        </w:rPr>
        <w:t>：</w:t>
      </w:r>
      <w:r>
        <w:rPr>
          <w:rFonts w:hint="eastAsia" w:ascii="Times New Roman" w:hAnsi="Times New Roman" w:cs="Times New Roman"/>
          <w:kern w:val="0"/>
          <w:sz w:val="36"/>
          <w:szCs w:val="36"/>
          <w:highlight w:val="none"/>
          <w:u w:val="single"/>
          <w:lang w:val="en-US" w:eastAsia="zh-CN" w:bidi="ar-SA"/>
        </w:rPr>
        <w:t>云南帮克工程咨询有限公司</w:t>
      </w:r>
    </w:p>
    <w:p w14:paraId="553A39AE">
      <w:pPr>
        <w:widowControl w:val="0"/>
        <w:spacing w:line="600" w:lineRule="exact"/>
        <w:ind w:firstLine="360" w:firstLineChars="100"/>
        <w:rPr>
          <w:rFonts w:ascii="Times New Roman" w:hAnsi="Times New Roman" w:eastAsia="宋体" w:cs="Times New Roman"/>
          <w:kern w:val="0"/>
          <w:sz w:val="36"/>
          <w:szCs w:val="36"/>
          <w:highlight w:val="none"/>
          <w:lang w:val="en-US" w:eastAsia="zh-CN" w:bidi="ar-SA"/>
        </w:rPr>
      </w:pPr>
    </w:p>
    <w:p w14:paraId="2AE2F3B0">
      <w:pPr>
        <w:pStyle w:val="12"/>
        <w:keepNext w:val="0"/>
        <w:keepLines w:val="0"/>
        <w:pageBreakBefore w:val="0"/>
        <w:widowControl w:val="0"/>
        <w:kinsoku/>
        <w:wordWrap/>
        <w:overflowPunct/>
        <w:topLinePunct w:val="0"/>
        <w:autoSpaceDE/>
        <w:autoSpaceDN/>
        <w:bidi w:val="0"/>
        <w:adjustRightInd/>
        <w:snapToGrid/>
        <w:spacing w:before="166" w:beforeLines="50" w:line="360" w:lineRule="auto"/>
        <w:ind w:firstLine="720" w:firstLineChars="200"/>
        <w:jc w:val="center"/>
        <w:textAlignment w:val="auto"/>
        <w:rPr>
          <w:rFonts w:hint="eastAsia" w:ascii="仿宋" w:hAnsi="仿宋" w:eastAsia="仿宋" w:cs="仿宋"/>
          <w:b/>
          <w:bCs/>
          <w:color w:val="auto"/>
          <w:sz w:val="44"/>
          <w:szCs w:val="24"/>
        </w:rPr>
      </w:pPr>
      <w:r>
        <w:rPr>
          <w:rFonts w:ascii="Times New Roman" w:hAnsi="Times New Roman" w:eastAsia="宋体" w:cs="Times New Roman"/>
          <w:kern w:val="0"/>
          <w:sz w:val="36"/>
          <w:szCs w:val="36"/>
          <w:highlight w:val="none"/>
          <w:lang w:val="en-US" w:eastAsia="zh-CN" w:bidi="ar-SA"/>
        </w:rPr>
        <w:t>二〇二</w:t>
      </w:r>
      <w:r>
        <w:rPr>
          <w:rFonts w:hint="eastAsia" w:ascii="Times New Roman" w:hAnsi="Times New Roman" w:cs="Times New Roman"/>
          <w:kern w:val="0"/>
          <w:sz w:val="36"/>
          <w:szCs w:val="36"/>
          <w:highlight w:val="none"/>
          <w:lang w:val="en-US" w:eastAsia="zh-CN" w:bidi="ar-SA"/>
        </w:rPr>
        <w:t>四</w:t>
      </w:r>
      <w:r>
        <w:rPr>
          <w:rFonts w:ascii="Times New Roman" w:hAnsi="Times New Roman" w:eastAsia="宋体" w:cs="Times New Roman"/>
          <w:kern w:val="0"/>
          <w:sz w:val="36"/>
          <w:szCs w:val="36"/>
          <w:highlight w:val="none"/>
          <w:lang w:val="en-US" w:eastAsia="zh-CN" w:bidi="ar-SA"/>
        </w:rPr>
        <w:t>年</w:t>
      </w:r>
      <w:r>
        <w:rPr>
          <w:rFonts w:hint="eastAsia" w:ascii="Times New Roman" w:cs="Times New Roman"/>
          <w:kern w:val="0"/>
          <w:sz w:val="36"/>
          <w:szCs w:val="36"/>
          <w:highlight w:val="none"/>
          <w:lang w:val="en-US" w:eastAsia="zh-CN" w:bidi="ar-SA"/>
        </w:rPr>
        <w:t>十二</w:t>
      </w:r>
      <w:r>
        <w:rPr>
          <w:rFonts w:ascii="Times New Roman" w:hAnsi="Times New Roman" w:eastAsia="宋体" w:cs="Times New Roman"/>
          <w:kern w:val="0"/>
          <w:sz w:val="36"/>
          <w:szCs w:val="36"/>
          <w:highlight w:val="none"/>
          <w:lang w:val="en-US" w:eastAsia="zh-CN" w:bidi="ar-SA"/>
        </w:rPr>
        <w:t>月</w:t>
      </w:r>
      <w:r>
        <w:rPr>
          <w:rFonts w:ascii="宋体" w:hAnsi="宋体" w:cs="宋体"/>
          <w:sz w:val="32"/>
          <w:szCs w:val="28"/>
          <w:lang w:eastAsia="zh-CN"/>
        </w:rPr>
        <w:br w:type="page"/>
      </w:r>
    </w:p>
    <w:p w14:paraId="1B2D6AAE">
      <w:pPr>
        <w:pStyle w:val="12"/>
        <w:spacing w:line="360" w:lineRule="auto"/>
        <w:jc w:val="center"/>
        <w:rPr>
          <w:rFonts w:hint="eastAsia" w:ascii="仿宋" w:hAnsi="仿宋" w:eastAsia="仿宋" w:cs="仿宋"/>
          <w:b/>
          <w:color w:val="auto"/>
          <w:sz w:val="32"/>
          <w:szCs w:val="32"/>
        </w:rPr>
        <w:sectPr>
          <w:headerReference r:id="rId4" w:type="first"/>
          <w:footerReference r:id="rId6" w:type="first"/>
          <w:headerReference r:id="rId3" w:type="default"/>
          <w:footerReference r:id="rId5" w:type="default"/>
          <w:pgSz w:w="11906" w:h="16838"/>
          <w:pgMar w:top="1440" w:right="1083" w:bottom="1440" w:left="1083" w:header="1077" w:footer="1077" w:gutter="0"/>
          <w:pgBorders>
            <w:top w:val="none" w:sz="0" w:space="0"/>
            <w:left w:val="none" w:sz="0" w:space="0"/>
            <w:bottom w:val="none" w:sz="0" w:space="0"/>
            <w:right w:val="none" w:sz="0" w:space="0"/>
          </w:pgBorders>
          <w:pgNumType w:start="1"/>
          <w:cols w:space="0" w:num="1"/>
          <w:titlePg/>
          <w:rtlGutter w:val="0"/>
          <w:docGrid w:type="lines" w:linePitch="331" w:charSpace="0"/>
        </w:sectPr>
      </w:pPr>
    </w:p>
    <w:p w14:paraId="624139EB">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eastAsia" w:ascii="仿宋" w:hAnsi="仿宋" w:eastAsia="仿宋" w:cs="仿宋"/>
          <w:color w:val="auto"/>
          <w:sz w:val="32"/>
          <w:szCs w:val="32"/>
        </w:rPr>
      </w:pPr>
      <w:r>
        <w:rPr>
          <w:rFonts w:hint="eastAsia" w:ascii="仿宋" w:hAnsi="仿宋" w:eastAsia="仿宋" w:cs="仿宋"/>
          <w:b/>
          <w:color w:val="auto"/>
          <w:sz w:val="36"/>
          <w:szCs w:val="36"/>
        </w:rPr>
        <w:t>目</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rPr>
        <w:t>录</w:t>
      </w:r>
    </w:p>
    <w:p w14:paraId="62045AA5">
      <w:pPr>
        <w:pStyle w:val="17"/>
        <w:tabs>
          <w:tab w:val="right" w:leader="dot" w:pos="9740"/>
          <w:tab w:val="clear" w:pos="9628"/>
        </w:tabs>
      </w:pPr>
      <w:r>
        <w:rPr>
          <w:rFonts w:hint="eastAsia" w:ascii="仿宋" w:hAnsi="仿宋" w:eastAsia="仿宋" w:cs="仿宋"/>
          <w:color w:val="auto"/>
          <w:sz w:val="22"/>
          <w:szCs w:val="22"/>
        </w:rPr>
        <w:fldChar w:fldCharType="begin"/>
      </w:r>
      <w:r>
        <w:rPr>
          <w:rFonts w:hint="eastAsia" w:ascii="仿宋" w:hAnsi="仿宋" w:eastAsia="仿宋" w:cs="仿宋"/>
          <w:color w:val="auto"/>
          <w:sz w:val="22"/>
          <w:szCs w:val="22"/>
        </w:rPr>
        <w:instrText xml:space="preserve">TOC \o "1-1" \h \u </w:instrText>
      </w:r>
      <w:r>
        <w:rPr>
          <w:rFonts w:hint="eastAsia" w:ascii="仿宋" w:hAnsi="仿宋" w:eastAsia="仿宋" w:cs="仿宋"/>
          <w:color w:val="auto"/>
          <w:sz w:val="22"/>
          <w:szCs w:val="22"/>
        </w:rPr>
        <w:fldChar w:fldCharType="separate"/>
      </w:r>
      <w:r>
        <w:rPr>
          <w:rFonts w:hint="eastAsia" w:ascii="仿宋" w:hAnsi="仿宋" w:eastAsia="仿宋" w:cs="仿宋"/>
          <w:color w:val="auto"/>
          <w:szCs w:val="22"/>
        </w:rPr>
        <w:fldChar w:fldCharType="begin"/>
      </w:r>
      <w:r>
        <w:rPr>
          <w:rFonts w:hint="eastAsia" w:ascii="仿宋" w:hAnsi="仿宋" w:eastAsia="仿宋" w:cs="仿宋"/>
          <w:szCs w:val="22"/>
        </w:rPr>
        <w:instrText xml:space="preserve"> HYPERLINK \l _Toc9782 </w:instrText>
      </w:r>
      <w:r>
        <w:rPr>
          <w:rFonts w:hint="eastAsia" w:ascii="仿宋" w:hAnsi="仿宋" w:eastAsia="仿宋" w:cs="仿宋"/>
          <w:szCs w:val="22"/>
        </w:rPr>
        <w:fldChar w:fldCharType="separate"/>
      </w:r>
      <w:r>
        <w:rPr>
          <w:rFonts w:hint="eastAsia" w:ascii="仿宋" w:hAnsi="仿宋" w:eastAsia="仿宋" w:cs="仿宋"/>
          <w:bCs/>
        </w:rPr>
        <w:t xml:space="preserve">第一章 </w:t>
      </w:r>
      <w:r>
        <w:rPr>
          <w:rFonts w:hint="eastAsia" w:ascii="仿宋" w:hAnsi="仿宋" w:eastAsia="仿宋" w:cs="仿宋"/>
          <w:bCs/>
          <w:lang w:val="en-US" w:eastAsia="zh-CN"/>
        </w:rPr>
        <w:t xml:space="preserve"> </w:t>
      </w:r>
      <w:r>
        <w:rPr>
          <w:rFonts w:hint="eastAsia" w:ascii="仿宋" w:hAnsi="仿宋" w:eastAsia="仿宋" w:cs="仿宋"/>
          <w:bCs/>
        </w:rPr>
        <w:t>招标公告</w:t>
      </w:r>
      <w:r>
        <w:tab/>
      </w:r>
      <w:r>
        <w:fldChar w:fldCharType="begin"/>
      </w:r>
      <w:r>
        <w:instrText xml:space="preserve"> PAGEREF _Toc9782 \h </w:instrText>
      </w:r>
      <w:r>
        <w:fldChar w:fldCharType="separate"/>
      </w:r>
      <w:r>
        <w:t>2</w:t>
      </w:r>
      <w:r>
        <w:fldChar w:fldCharType="end"/>
      </w:r>
      <w:r>
        <w:rPr>
          <w:rFonts w:hint="eastAsia" w:ascii="仿宋" w:hAnsi="仿宋" w:eastAsia="仿宋" w:cs="仿宋"/>
          <w:color w:val="auto"/>
          <w:szCs w:val="22"/>
        </w:rPr>
        <w:fldChar w:fldCharType="end"/>
      </w:r>
    </w:p>
    <w:p w14:paraId="7F898171">
      <w:pPr>
        <w:pStyle w:val="17"/>
        <w:tabs>
          <w:tab w:val="right" w:leader="dot" w:pos="9740"/>
          <w:tab w:val="clear" w:pos="9628"/>
        </w:tabs>
      </w:pPr>
      <w:r>
        <w:rPr>
          <w:rFonts w:hint="eastAsia" w:ascii="仿宋" w:hAnsi="仿宋" w:eastAsia="仿宋" w:cs="仿宋"/>
          <w:color w:val="auto"/>
          <w:szCs w:val="22"/>
        </w:rPr>
        <w:fldChar w:fldCharType="begin"/>
      </w:r>
      <w:r>
        <w:rPr>
          <w:rFonts w:hint="eastAsia" w:ascii="仿宋" w:hAnsi="仿宋" w:eastAsia="仿宋" w:cs="仿宋"/>
          <w:szCs w:val="22"/>
        </w:rPr>
        <w:instrText xml:space="preserve"> HYPERLINK \l _Toc19476 </w:instrText>
      </w:r>
      <w:r>
        <w:rPr>
          <w:rFonts w:hint="eastAsia" w:ascii="仿宋" w:hAnsi="仿宋" w:eastAsia="仿宋" w:cs="仿宋"/>
          <w:szCs w:val="22"/>
        </w:rPr>
        <w:fldChar w:fldCharType="separate"/>
      </w:r>
      <w:r>
        <w:rPr>
          <w:rFonts w:hint="eastAsia" w:ascii="仿宋" w:hAnsi="仿宋" w:eastAsia="仿宋" w:cs="仿宋"/>
          <w:bCs/>
        </w:rPr>
        <w:t xml:space="preserve">第二章 </w:t>
      </w:r>
      <w:r>
        <w:rPr>
          <w:rFonts w:hint="eastAsia" w:ascii="仿宋" w:hAnsi="仿宋" w:eastAsia="仿宋" w:cs="仿宋"/>
          <w:bCs/>
          <w:lang w:val="en-US" w:eastAsia="zh-CN"/>
        </w:rPr>
        <w:t xml:space="preserve"> </w:t>
      </w:r>
      <w:r>
        <w:rPr>
          <w:rFonts w:hint="eastAsia" w:ascii="仿宋" w:hAnsi="仿宋" w:eastAsia="仿宋" w:cs="仿宋"/>
          <w:bCs/>
        </w:rPr>
        <w:t>投标人须知</w:t>
      </w:r>
      <w:r>
        <w:tab/>
      </w:r>
      <w:r>
        <w:fldChar w:fldCharType="begin"/>
      </w:r>
      <w:r>
        <w:instrText xml:space="preserve"> PAGEREF _Toc19476 \h </w:instrText>
      </w:r>
      <w:r>
        <w:fldChar w:fldCharType="separate"/>
      </w:r>
      <w:r>
        <w:t>6</w:t>
      </w:r>
      <w:r>
        <w:fldChar w:fldCharType="end"/>
      </w:r>
      <w:r>
        <w:rPr>
          <w:rFonts w:hint="eastAsia" w:ascii="仿宋" w:hAnsi="仿宋" w:eastAsia="仿宋" w:cs="仿宋"/>
          <w:color w:val="auto"/>
          <w:szCs w:val="22"/>
        </w:rPr>
        <w:fldChar w:fldCharType="end"/>
      </w:r>
    </w:p>
    <w:p w14:paraId="1F1F617D">
      <w:pPr>
        <w:pStyle w:val="17"/>
        <w:tabs>
          <w:tab w:val="right" w:leader="dot" w:pos="9740"/>
          <w:tab w:val="clear" w:pos="9628"/>
        </w:tabs>
      </w:pPr>
      <w:r>
        <w:rPr>
          <w:rFonts w:hint="eastAsia" w:ascii="仿宋" w:hAnsi="仿宋" w:eastAsia="仿宋" w:cs="仿宋"/>
          <w:color w:val="auto"/>
          <w:szCs w:val="22"/>
        </w:rPr>
        <w:fldChar w:fldCharType="begin"/>
      </w:r>
      <w:r>
        <w:rPr>
          <w:rFonts w:hint="eastAsia" w:ascii="仿宋" w:hAnsi="仿宋" w:eastAsia="仿宋" w:cs="仿宋"/>
          <w:szCs w:val="22"/>
        </w:rPr>
        <w:instrText xml:space="preserve"> HYPERLINK \l _Toc32120 </w:instrText>
      </w:r>
      <w:r>
        <w:rPr>
          <w:rFonts w:hint="eastAsia" w:ascii="仿宋" w:hAnsi="仿宋" w:eastAsia="仿宋" w:cs="仿宋"/>
          <w:szCs w:val="22"/>
        </w:rPr>
        <w:fldChar w:fldCharType="separate"/>
      </w:r>
      <w:r>
        <w:rPr>
          <w:rFonts w:hint="eastAsia" w:ascii="仿宋" w:hAnsi="仿宋" w:eastAsia="仿宋" w:cs="仿宋"/>
        </w:rPr>
        <w:t xml:space="preserve">第三章 </w:t>
      </w:r>
      <w:r>
        <w:rPr>
          <w:rFonts w:hint="eastAsia" w:ascii="仿宋" w:hAnsi="仿宋" w:eastAsia="仿宋" w:cs="仿宋"/>
          <w:lang w:val="en-US" w:eastAsia="zh-CN"/>
        </w:rPr>
        <w:t xml:space="preserve"> </w:t>
      </w:r>
      <w:r>
        <w:rPr>
          <w:rFonts w:hint="eastAsia" w:ascii="仿宋" w:hAnsi="仿宋" w:eastAsia="仿宋" w:cs="仿宋"/>
        </w:rPr>
        <w:t>合同书样式及主要条款</w:t>
      </w:r>
      <w:r>
        <w:tab/>
      </w:r>
      <w:r>
        <w:fldChar w:fldCharType="begin"/>
      </w:r>
      <w:r>
        <w:instrText xml:space="preserve"> PAGEREF _Toc32120 \h </w:instrText>
      </w:r>
      <w:r>
        <w:fldChar w:fldCharType="separate"/>
      </w:r>
      <w:r>
        <w:t>23</w:t>
      </w:r>
      <w:r>
        <w:fldChar w:fldCharType="end"/>
      </w:r>
      <w:r>
        <w:rPr>
          <w:rFonts w:hint="eastAsia" w:ascii="仿宋" w:hAnsi="仿宋" w:eastAsia="仿宋" w:cs="仿宋"/>
          <w:color w:val="auto"/>
          <w:szCs w:val="22"/>
        </w:rPr>
        <w:fldChar w:fldCharType="end"/>
      </w:r>
    </w:p>
    <w:p w14:paraId="558AF585">
      <w:pPr>
        <w:pStyle w:val="17"/>
        <w:tabs>
          <w:tab w:val="right" w:leader="dot" w:pos="9740"/>
          <w:tab w:val="clear" w:pos="9628"/>
        </w:tabs>
      </w:pPr>
      <w:r>
        <w:rPr>
          <w:rFonts w:hint="eastAsia" w:ascii="仿宋" w:hAnsi="仿宋" w:eastAsia="仿宋" w:cs="仿宋"/>
          <w:color w:val="auto"/>
          <w:szCs w:val="22"/>
        </w:rPr>
        <w:fldChar w:fldCharType="begin"/>
      </w:r>
      <w:r>
        <w:rPr>
          <w:rFonts w:hint="eastAsia" w:ascii="仿宋" w:hAnsi="仿宋" w:eastAsia="仿宋" w:cs="仿宋"/>
          <w:szCs w:val="22"/>
        </w:rPr>
        <w:instrText xml:space="preserve"> HYPERLINK \l _Toc12096 </w:instrText>
      </w:r>
      <w:r>
        <w:rPr>
          <w:rFonts w:hint="eastAsia" w:ascii="仿宋" w:hAnsi="仿宋" w:eastAsia="仿宋" w:cs="仿宋"/>
          <w:szCs w:val="22"/>
        </w:rPr>
        <w:fldChar w:fldCharType="separate"/>
      </w:r>
      <w:r>
        <w:rPr>
          <w:rFonts w:hint="eastAsia" w:ascii="仿宋" w:hAnsi="仿宋" w:eastAsia="仿宋" w:cs="仿宋"/>
        </w:rPr>
        <w:t>第四章  投标文件格式</w:t>
      </w:r>
      <w:r>
        <w:tab/>
      </w:r>
      <w:r>
        <w:fldChar w:fldCharType="begin"/>
      </w:r>
      <w:r>
        <w:instrText xml:space="preserve"> PAGEREF _Toc12096 \h </w:instrText>
      </w:r>
      <w:r>
        <w:fldChar w:fldCharType="separate"/>
      </w:r>
      <w:r>
        <w:t>29</w:t>
      </w:r>
      <w:r>
        <w:fldChar w:fldCharType="end"/>
      </w:r>
      <w:r>
        <w:rPr>
          <w:rFonts w:hint="eastAsia" w:ascii="仿宋" w:hAnsi="仿宋" w:eastAsia="仿宋" w:cs="仿宋"/>
          <w:color w:val="auto"/>
          <w:szCs w:val="22"/>
        </w:rPr>
        <w:fldChar w:fldCharType="end"/>
      </w:r>
    </w:p>
    <w:p w14:paraId="315BE5BD">
      <w:pPr>
        <w:pStyle w:val="17"/>
        <w:tabs>
          <w:tab w:val="right" w:leader="dot" w:pos="9740"/>
          <w:tab w:val="clear" w:pos="9628"/>
        </w:tabs>
      </w:pPr>
      <w:r>
        <w:rPr>
          <w:rFonts w:hint="eastAsia" w:ascii="仿宋" w:hAnsi="仿宋" w:eastAsia="仿宋" w:cs="仿宋"/>
          <w:color w:val="auto"/>
          <w:szCs w:val="22"/>
        </w:rPr>
        <w:fldChar w:fldCharType="begin"/>
      </w:r>
      <w:r>
        <w:rPr>
          <w:rFonts w:hint="eastAsia" w:ascii="仿宋" w:hAnsi="仿宋" w:eastAsia="仿宋" w:cs="仿宋"/>
          <w:szCs w:val="22"/>
        </w:rPr>
        <w:instrText xml:space="preserve"> HYPERLINK \l _Toc31552 </w:instrText>
      </w:r>
      <w:r>
        <w:rPr>
          <w:rFonts w:hint="eastAsia" w:ascii="仿宋" w:hAnsi="仿宋" w:eastAsia="仿宋" w:cs="仿宋"/>
          <w:szCs w:val="22"/>
        </w:rPr>
        <w:fldChar w:fldCharType="separate"/>
      </w:r>
      <w:r>
        <w:rPr>
          <w:rFonts w:hint="eastAsia" w:ascii="仿宋" w:hAnsi="仿宋" w:eastAsia="仿宋" w:cs="仿宋"/>
          <w:szCs w:val="32"/>
        </w:rPr>
        <w:t xml:space="preserve">第五章  </w:t>
      </w:r>
      <w:r>
        <w:rPr>
          <w:rFonts w:hint="eastAsia" w:ascii="仿宋" w:hAnsi="仿宋" w:eastAsia="仿宋" w:cs="仿宋"/>
          <w:szCs w:val="32"/>
          <w:lang w:eastAsia="zh-CN"/>
        </w:rPr>
        <w:t>采购需求及服务要求</w:t>
      </w:r>
      <w:r>
        <w:tab/>
      </w:r>
      <w:r>
        <w:fldChar w:fldCharType="begin"/>
      </w:r>
      <w:r>
        <w:instrText xml:space="preserve"> PAGEREF _Toc31552 \h </w:instrText>
      </w:r>
      <w:r>
        <w:fldChar w:fldCharType="separate"/>
      </w:r>
      <w:r>
        <w:t>52</w:t>
      </w:r>
      <w:r>
        <w:fldChar w:fldCharType="end"/>
      </w:r>
      <w:r>
        <w:rPr>
          <w:rFonts w:hint="eastAsia" w:ascii="仿宋" w:hAnsi="仿宋" w:eastAsia="仿宋" w:cs="仿宋"/>
          <w:color w:val="auto"/>
          <w:szCs w:val="22"/>
        </w:rPr>
        <w:fldChar w:fldCharType="end"/>
      </w:r>
    </w:p>
    <w:p w14:paraId="417D36A4">
      <w:pPr>
        <w:pStyle w:val="17"/>
        <w:tabs>
          <w:tab w:val="right" w:leader="dot" w:pos="9740"/>
          <w:tab w:val="clear" w:pos="9628"/>
        </w:tabs>
      </w:pPr>
      <w:r>
        <w:rPr>
          <w:rFonts w:hint="eastAsia" w:ascii="仿宋" w:hAnsi="仿宋" w:eastAsia="仿宋" w:cs="仿宋"/>
          <w:color w:val="auto"/>
          <w:szCs w:val="22"/>
        </w:rPr>
        <w:fldChar w:fldCharType="begin"/>
      </w:r>
      <w:r>
        <w:rPr>
          <w:rFonts w:hint="eastAsia" w:ascii="仿宋" w:hAnsi="仿宋" w:eastAsia="仿宋" w:cs="仿宋"/>
          <w:szCs w:val="22"/>
        </w:rPr>
        <w:instrText xml:space="preserve"> HYPERLINK \l _Toc6569 </w:instrText>
      </w:r>
      <w:r>
        <w:rPr>
          <w:rFonts w:hint="eastAsia" w:ascii="仿宋" w:hAnsi="仿宋" w:eastAsia="仿宋" w:cs="仿宋"/>
          <w:szCs w:val="22"/>
        </w:rPr>
        <w:fldChar w:fldCharType="separate"/>
      </w:r>
      <w:r>
        <w:rPr>
          <w:rFonts w:hint="eastAsia" w:ascii="仿宋" w:hAnsi="仿宋" w:eastAsia="仿宋" w:cs="仿宋"/>
          <w:bCs w:val="0"/>
        </w:rPr>
        <w:t xml:space="preserve">第六章 </w:t>
      </w:r>
      <w:r>
        <w:rPr>
          <w:rFonts w:hint="eastAsia" w:ascii="仿宋" w:hAnsi="仿宋" w:eastAsia="仿宋" w:cs="仿宋"/>
          <w:bCs w:val="0"/>
          <w:lang w:val="en-US" w:eastAsia="zh-CN"/>
        </w:rPr>
        <w:t xml:space="preserve"> </w:t>
      </w:r>
      <w:r>
        <w:rPr>
          <w:rFonts w:hint="eastAsia" w:ascii="仿宋" w:hAnsi="仿宋" w:eastAsia="仿宋" w:cs="仿宋"/>
          <w:bCs w:val="0"/>
        </w:rPr>
        <w:t>评标方法（综合评分法）</w:t>
      </w:r>
      <w:r>
        <w:tab/>
      </w:r>
      <w:r>
        <w:fldChar w:fldCharType="begin"/>
      </w:r>
      <w:r>
        <w:instrText xml:space="preserve"> PAGEREF _Toc6569 \h </w:instrText>
      </w:r>
      <w:r>
        <w:fldChar w:fldCharType="separate"/>
      </w:r>
      <w:r>
        <w:t>56</w:t>
      </w:r>
      <w:r>
        <w:fldChar w:fldCharType="end"/>
      </w:r>
      <w:r>
        <w:rPr>
          <w:rFonts w:hint="eastAsia" w:ascii="仿宋" w:hAnsi="仿宋" w:eastAsia="仿宋" w:cs="仿宋"/>
          <w:color w:val="auto"/>
          <w:szCs w:val="22"/>
        </w:rPr>
        <w:fldChar w:fldCharType="end"/>
      </w:r>
    </w:p>
    <w:p w14:paraId="54A7A38D">
      <w:pPr>
        <w:pStyle w:val="20"/>
        <w:spacing w:line="480" w:lineRule="auto"/>
        <w:rPr>
          <w:rFonts w:hint="eastAsia" w:ascii="仿宋" w:hAnsi="仿宋" w:eastAsia="仿宋" w:cs="仿宋"/>
          <w:color w:val="auto"/>
          <w:sz w:val="22"/>
          <w:szCs w:val="22"/>
        </w:rPr>
        <w:sectPr>
          <w:headerReference r:id="rId7" w:type="first"/>
          <w:footerReference r:id="rId8" w:type="first"/>
          <w:pgSz w:w="11906" w:h="16838"/>
          <w:pgMar w:top="1440" w:right="1083" w:bottom="1440" w:left="1083" w:header="1077" w:footer="1077" w:gutter="0"/>
          <w:pgBorders>
            <w:top w:val="none" w:sz="0" w:space="0"/>
            <w:left w:val="none" w:sz="0" w:space="0"/>
            <w:bottom w:val="none" w:sz="0" w:space="0"/>
            <w:right w:val="none" w:sz="0" w:space="0"/>
          </w:pgBorders>
          <w:pgNumType w:start="1"/>
          <w:cols w:space="0" w:num="1"/>
          <w:titlePg/>
          <w:rtlGutter w:val="0"/>
          <w:docGrid w:type="lines" w:linePitch="331" w:charSpace="0"/>
        </w:sectPr>
      </w:pPr>
      <w:r>
        <w:rPr>
          <w:rFonts w:hint="eastAsia" w:ascii="仿宋" w:hAnsi="仿宋" w:eastAsia="仿宋" w:cs="仿宋"/>
          <w:color w:val="auto"/>
          <w:szCs w:val="22"/>
        </w:rPr>
        <w:fldChar w:fldCharType="end"/>
      </w:r>
    </w:p>
    <w:p w14:paraId="10E3D16F">
      <w:pPr>
        <w:pStyle w:val="3"/>
        <w:numPr>
          <w:ilvl w:val="0"/>
          <w:numId w:val="0"/>
        </w:numPr>
        <w:jc w:val="center"/>
        <w:rPr>
          <w:rFonts w:hint="eastAsia" w:ascii="仿宋" w:hAnsi="仿宋" w:eastAsia="仿宋" w:cs="仿宋"/>
          <w:b w:val="0"/>
          <w:color w:val="auto"/>
          <w:sz w:val="36"/>
        </w:rPr>
        <w:sectPr>
          <w:footerReference r:id="rId10" w:type="first"/>
          <w:footerReference r:id="rId9" w:type="default"/>
          <w:type w:val="continuous"/>
          <w:pgSz w:w="11906" w:h="16838"/>
          <w:pgMar w:top="1440" w:right="1083" w:bottom="1440" w:left="1083" w:header="1077" w:footer="1077" w:gutter="0"/>
          <w:pgBorders>
            <w:top w:val="none" w:sz="0" w:space="0"/>
            <w:left w:val="none" w:sz="0" w:space="0"/>
            <w:bottom w:val="none" w:sz="0" w:space="0"/>
            <w:right w:val="none" w:sz="0" w:space="0"/>
          </w:pgBorders>
          <w:cols w:space="0" w:num="1"/>
          <w:titlePg/>
          <w:rtlGutter w:val="0"/>
          <w:docGrid w:type="lines" w:linePitch="331" w:charSpace="0"/>
        </w:sectPr>
      </w:pPr>
      <w:bookmarkStart w:id="0" w:name="OLE_LINK1"/>
    </w:p>
    <w:p w14:paraId="3B34B4FD">
      <w:pPr>
        <w:pStyle w:val="3"/>
        <w:numPr>
          <w:ilvl w:val="0"/>
          <w:numId w:val="0"/>
        </w:numPr>
        <w:spacing w:before="0"/>
        <w:jc w:val="center"/>
        <w:rPr>
          <w:rFonts w:hint="eastAsia" w:ascii="仿宋" w:hAnsi="仿宋" w:eastAsia="仿宋" w:cs="仿宋"/>
          <w:bCs/>
          <w:color w:val="auto"/>
          <w:sz w:val="36"/>
        </w:rPr>
      </w:pPr>
      <w:bookmarkStart w:id="1" w:name="_Toc9782"/>
      <w:bookmarkStart w:id="2" w:name="_Toc18683"/>
      <w:bookmarkStart w:id="3" w:name="_Toc6648"/>
      <w:bookmarkStart w:id="4" w:name="_Toc12001"/>
      <w:bookmarkStart w:id="5" w:name="_Toc19200"/>
      <w:r>
        <w:rPr>
          <w:rFonts w:hint="eastAsia" w:ascii="仿宋" w:hAnsi="仿宋" w:eastAsia="仿宋" w:cs="仿宋"/>
          <w:bCs/>
          <w:color w:val="auto"/>
          <w:sz w:val="36"/>
        </w:rPr>
        <w:t xml:space="preserve">第一章 </w:t>
      </w:r>
      <w:r>
        <w:rPr>
          <w:rFonts w:hint="eastAsia" w:ascii="仿宋" w:hAnsi="仿宋" w:eastAsia="仿宋" w:cs="仿宋"/>
          <w:bCs/>
          <w:color w:val="auto"/>
          <w:sz w:val="36"/>
          <w:lang w:val="en-US" w:eastAsia="zh-CN"/>
        </w:rPr>
        <w:t xml:space="preserve"> </w:t>
      </w:r>
      <w:r>
        <w:rPr>
          <w:rFonts w:hint="eastAsia" w:ascii="仿宋" w:hAnsi="仿宋" w:eastAsia="仿宋" w:cs="仿宋"/>
          <w:bCs/>
          <w:color w:val="auto"/>
          <w:sz w:val="36"/>
        </w:rPr>
        <w:t>招标公告</w:t>
      </w:r>
      <w:bookmarkEnd w:id="1"/>
      <w:bookmarkEnd w:id="2"/>
      <w:bookmarkEnd w:id="3"/>
      <w:bookmarkEnd w:id="4"/>
      <w:bookmarkEnd w:id="5"/>
    </w:p>
    <w:bookmarkEnd w:id="0"/>
    <w:p w14:paraId="1001B22D">
      <w:pPr>
        <w:keepNext/>
        <w:keepLines/>
        <w:pageBreakBefore w:val="0"/>
        <w:widowControl w:val="0"/>
        <w:numPr>
          <w:ilvl w:val="0"/>
          <w:numId w:val="0"/>
        </w:numPr>
        <w:tabs>
          <w:tab w:val="left" w:pos="360"/>
        </w:tabs>
        <w:kinsoku/>
        <w:wordWrap/>
        <w:overflowPunct/>
        <w:topLinePunct w:val="0"/>
        <w:autoSpaceDE/>
        <w:autoSpaceDN/>
        <w:bidi w:val="0"/>
        <w:adjustRightInd w:val="0"/>
        <w:snapToGrid/>
        <w:spacing w:before="0" w:line="240" w:lineRule="auto"/>
        <w:jc w:val="center"/>
        <w:textAlignment w:val="baseline"/>
        <w:outlineLvl w:val="9"/>
        <w:rPr>
          <w:rFonts w:hint="eastAsia" w:ascii="仿宋" w:hAnsi="仿宋" w:eastAsia="仿宋" w:cs="仿宋"/>
          <w:b/>
          <w:bCs/>
          <w:color w:val="auto"/>
          <w:sz w:val="32"/>
          <w:szCs w:val="32"/>
          <w:lang w:val="en-US" w:eastAsia="zh-CN"/>
        </w:rPr>
      </w:pPr>
      <w:bookmarkStart w:id="6" w:name="_Toc2617"/>
      <w:bookmarkStart w:id="7" w:name="_Toc29460"/>
      <w:bookmarkStart w:id="8" w:name="_Toc10774"/>
      <w:r>
        <w:rPr>
          <w:rFonts w:hint="eastAsia" w:ascii="仿宋" w:hAnsi="仿宋" w:eastAsia="仿宋" w:cs="仿宋"/>
          <w:b/>
          <w:bCs/>
          <w:color w:val="auto"/>
          <w:sz w:val="32"/>
          <w:szCs w:val="32"/>
          <w:lang w:val="en-US" w:eastAsia="zh-CN"/>
        </w:rPr>
        <w:t>昆明市第三人民医院医疗设备（64排CT)维护和保养服务项目</w:t>
      </w:r>
    </w:p>
    <w:p w14:paraId="1E5E491F">
      <w:pPr>
        <w:keepNext/>
        <w:keepLines/>
        <w:pageBreakBefore w:val="0"/>
        <w:widowControl w:val="0"/>
        <w:numPr>
          <w:ilvl w:val="0"/>
          <w:numId w:val="0"/>
        </w:numPr>
        <w:tabs>
          <w:tab w:val="left" w:pos="360"/>
        </w:tabs>
        <w:kinsoku/>
        <w:wordWrap/>
        <w:overflowPunct/>
        <w:topLinePunct w:val="0"/>
        <w:autoSpaceDE/>
        <w:autoSpaceDN/>
        <w:bidi w:val="0"/>
        <w:adjustRightInd w:val="0"/>
        <w:snapToGrid/>
        <w:spacing w:before="0" w:line="240" w:lineRule="auto"/>
        <w:jc w:val="center"/>
        <w:textAlignment w:val="baseline"/>
        <w:outlineLvl w:val="9"/>
        <w:rPr>
          <w:rFonts w:hint="eastAsia" w:ascii="仿宋" w:hAnsi="仿宋" w:eastAsia="仿宋" w:cs="仿宋"/>
          <w:b/>
          <w:color w:val="auto"/>
          <w:sz w:val="22"/>
          <w:szCs w:val="22"/>
        </w:rPr>
      </w:pPr>
      <w:r>
        <w:rPr>
          <w:rFonts w:hint="eastAsia" w:ascii="仿宋" w:hAnsi="仿宋" w:eastAsia="仿宋" w:cs="仿宋"/>
          <w:b/>
          <w:bCs/>
          <w:color w:val="auto"/>
          <w:sz w:val="32"/>
          <w:szCs w:val="32"/>
          <w:lang w:eastAsia="zh-CN"/>
        </w:rPr>
        <w:t>公开招标公告</w:t>
      </w:r>
    </w:p>
    <w:tbl>
      <w:tblPr>
        <w:tblStyle w:val="26"/>
        <w:tblW w:w="9160"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0"/>
      </w:tblGrid>
      <w:tr w14:paraId="2D6F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9160" w:type="dxa"/>
            <w:vAlign w:val="top"/>
          </w:tcPr>
          <w:p w14:paraId="30A7C689">
            <w:pPr>
              <w:pStyle w:val="4"/>
              <w:keepLines w:val="0"/>
              <w:pageBreakBefore w:val="0"/>
              <w:widowControl w:val="0"/>
              <w:numPr>
                <w:ilvl w:val="0"/>
                <w:numId w:val="0"/>
              </w:numPr>
              <w:kinsoku/>
              <w:wordWrap w:val="0"/>
              <w:overflowPunct/>
              <w:topLinePunct w:val="0"/>
              <w:autoSpaceDE/>
              <w:autoSpaceDN/>
              <w:bidi w:val="0"/>
              <w:snapToGrid/>
              <w:spacing w:before="0" w:beforeLines="0" w:line="420" w:lineRule="exact"/>
              <w:ind w:firstLine="562"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项目概况</w:t>
            </w:r>
          </w:p>
          <w:p w14:paraId="174492F1">
            <w:pPr>
              <w:keepNext w:val="0"/>
              <w:keepLines w:val="0"/>
              <w:pageBreakBefore w:val="0"/>
              <w:widowControl w:val="0"/>
              <w:kinsoku/>
              <w:wordWrap w:val="0"/>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Cs/>
                <w:color w:val="auto"/>
                <w:kern w:val="2"/>
                <w:sz w:val="24"/>
                <w:szCs w:val="24"/>
                <w:u w:val="single"/>
                <w:lang w:val="en-US" w:eastAsia="zh-CN" w:bidi="ar-SA"/>
              </w:rPr>
            </w:pPr>
            <w:r>
              <w:rPr>
                <w:rFonts w:hint="eastAsia" w:ascii="仿宋" w:hAnsi="仿宋" w:eastAsia="仿宋" w:cs="仿宋"/>
                <w:color w:val="auto"/>
                <w:sz w:val="24"/>
                <w:szCs w:val="24"/>
                <w:u w:val="single"/>
                <w:lang w:val="en-US" w:eastAsia="zh-CN"/>
              </w:rPr>
              <w:t>昆明市第三人民医院医疗设备（64排CT)维护和保养服务项目</w:t>
            </w:r>
            <w:r>
              <w:rPr>
                <w:rFonts w:hint="eastAsia" w:ascii="仿宋" w:hAnsi="仿宋" w:eastAsia="仿宋" w:cs="仿宋"/>
                <w:color w:val="auto"/>
                <w:sz w:val="24"/>
                <w:szCs w:val="24"/>
                <w:u w:val="none"/>
                <w:lang w:eastAsia="zh-CN"/>
              </w:rPr>
              <w:t>的潜在投标人应在</w:t>
            </w:r>
            <w:r>
              <w:rPr>
                <w:rFonts w:hint="eastAsia" w:ascii="仿宋" w:hAnsi="仿宋" w:eastAsia="仿宋" w:cs="仿宋"/>
                <w:color w:val="auto"/>
                <w:sz w:val="24"/>
                <w:szCs w:val="24"/>
                <w:u w:val="single"/>
                <w:lang w:eastAsia="zh-CN"/>
              </w:rPr>
              <w:t>政采云平台（https://www.zcygov.cn/）</w:t>
            </w:r>
            <w:r>
              <w:rPr>
                <w:rFonts w:hint="eastAsia" w:ascii="仿宋" w:hAnsi="仿宋" w:eastAsia="仿宋" w:cs="仿宋"/>
                <w:bCs/>
                <w:color w:val="auto"/>
                <w:kern w:val="2"/>
                <w:sz w:val="24"/>
                <w:szCs w:val="24"/>
                <w:u w:val="none"/>
                <w:lang w:val="en-US" w:eastAsia="zh-CN" w:bidi="ar-SA"/>
              </w:rPr>
              <w:t>获取招标文件，并于</w:t>
            </w:r>
            <w:bookmarkStart w:id="200" w:name="_GoBack"/>
            <w:r>
              <w:rPr>
                <w:rFonts w:hint="eastAsia" w:ascii="仿宋" w:hAnsi="仿宋" w:eastAsia="仿宋" w:cs="仿宋"/>
                <w:bCs/>
                <w:color w:val="auto"/>
                <w:kern w:val="2"/>
                <w:sz w:val="24"/>
                <w:szCs w:val="24"/>
                <w:u w:val="single"/>
                <w:lang w:val="en-US" w:eastAsia="zh-CN" w:bidi="ar-SA"/>
              </w:rPr>
              <w:t>2025</w:t>
            </w:r>
            <w:bookmarkEnd w:id="200"/>
            <w:r>
              <w:rPr>
                <w:rFonts w:hint="eastAsia" w:ascii="仿宋" w:hAnsi="仿宋" w:eastAsia="仿宋" w:cs="仿宋"/>
                <w:bCs/>
                <w:color w:val="auto"/>
                <w:kern w:val="2"/>
                <w:sz w:val="24"/>
                <w:szCs w:val="24"/>
                <w:u w:val="single"/>
                <w:lang w:val="en-US" w:eastAsia="zh-CN" w:bidi="ar-SA"/>
              </w:rPr>
              <w:t>年1月</w:t>
            </w:r>
            <w:r>
              <w:rPr>
                <w:rFonts w:hint="eastAsia" w:ascii="仿宋" w:hAnsi="仿宋" w:eastAsia="仿宋" w:cs="仿宋"/>
                <w:bCs/>
                <w:color w:val="auto"/>
                <w:kern w:val="2"/>
                <w:sz w:val="24"/>
                <w:szCs w:val="24"/>
                <w:u w:val="single"/>
                <w:shd w:val="clear" w:fill="FFC000" w:themeFill="accent4"/>
                <w:lang w:val="en-US" w:eastAsia="zh-CN" w:bidi="ar-SA"/>
              </w:rPr>
              <w:t>8</w:t>
            </w:r>
            <w:r>
              <w:rPr>
                <w:rFonts w:hint="eastAsia" w:ascii="仿宋" w:hAnsi="仿宋" w:eastAsia="仿宋" w:cs="仿宋"/>
                <w:bCs/>
                <w:color w:val="auto"/>
                <w:kern w:val="2"/>
                <w:sz w:val="24"/>
                <w:szCs w:val="24"/>
                <w:u w:val="single"/>
                <w:lang w:val="en-US" w:eastAsia="zh-CN" w:bidi="ar-SA"/>
              </w:rPr>
              <w:t>日14时</w:t>
            </w:r>
          </w:p>
          <w:p w14:paraId="269DC7B5">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bCs/>
                <w:color w:val="auto"/>
                <w:kern w:val="2"/>
                <w:sz w:val="24"/>
                <w:szCs w:val="24"/>
                <w:u w:val="single"/>
                <w:lang w:val="en-US" w:eastAsia="zh-CN" w:bidi="ar-SA"/>
              </w:rPr>
              <w:t>00分</w:t>
            </w:r>
            <w:r>
              <w:rPr>
                <w:rFonts w:hint="eastAsia" w:ascii="仿宋" w:hAnsi="仿宋" w:eastAsia="仿宋" w:cs="仿宋"/>
                <w:bCs/>
                <w:color w:val="auto"/>
                <w:kern w:val="2"/>
                <w:sz w:val="24"/>
                <w:szCs w:val="24"/>
                <w:u w:val="none"/>
                <w:lang w:val="en-US" w:eastAsia="zh-CN" w:bidi="ar-SA"/>
              </w:rPr>
              <w:t>（北京时间）前递交投标文件。</w:t>
            </w:r>
          </w:p>
        </w:tc>
      </w:tr>
    </w:tbl>
    <w:p w14:paraId="090B749F">
      <w:pPr>
        <w:keepNext w:val="0"/>
        <w:keepLines w:val="0"/>
        <w:pageBreakBefore w:val="0"/>
        <w:widowControl w:val="0"/>
        <w:kinsoku/>
        <w:wordWrap/>
        <w:overflowPunct/>
        <w:topLinePunct w:val="0"/>
        <w:autoSpaceDE/>
        <w:autoSpaceDN/>
        <w:bidi w:val="0"/>
        <w:adjustRightInd/>
        <w:snapToGrid/>
        <w:spacing w:line="420" w:lineRule="atLeast"/>
        <w:ind w:left="0" w:leftChars="0" w:firstLine="482" w:firstLineChars="200"/>
        <w:textAlignment w:val="auto"/>
        <w:rPr>
          <w:rFonts w:hint="eastAsia" w:ascii="仿宋" w:hAnsi="仿宋" w:eastAsia="仿宋" w:cs="仿宋"/>
          <w:b/>
          <w:bCs/>
          <w:i w:val="0"/>
          <w:iCs w:val="0"/>
          <w:color w:val="auto"/>
          <w:sz w:val="24"/>
          <w:szCs w:val="24"/>
          <w:lang w:val="en-US" w:eastAsia="zh-CN"/>
        </w:rPr>
      </w:pPr>
      <w:bookmarkStart w:id="9" w:name="_Toc28359002"/>
      <w:bookmarkStart w:id="10" w:name="_Toc28359079"/>
      <w:bookmarkStart w:id="11" w:name="_Toc35393790"/>
      <w:bookmarkStart w:id="12" w:name="_Toc35393621"/>
      <w:bookmarkStart w:id="13" w:name="_Hlk24379207"/>
      <w:r>
        <w:rPr>
          <w:rFonts w:hint="eastAsia" w:ascii="仿宋" w:hAnsi="仿宋" w:eastAsia="仿宋" w:cs="仿宋"/>
          <w:b/>
          <w:bCs/>
          <w:i w:val="0"/>
          <w:iCs w:val="0"/>
          <w:color w:val="auto"/>
          <w:sz w:val="24"/>
          <w:szCs w:val="24"/>
          <w:lang w:val="en-US" w:eastAsia="zh-CN"/>
        </w:rPr>
        <w:t>一、项目基本情况</w:t>
      </w:r>
      <w:bookmarkEnd w:id="9"/>
      <w:bookmarkEnd w:id="10"/>
      <w:bookmarkEnd w:id="11"/>
      <w:bookmarkEnd w:id="12"/>
    </w:p>
    <w:p w14:paraId="46EDF7BC">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w:t>
      </w:r>
      <w:r>
        <w:rPr>
          <w:rFonts w:hint="eastAsia" w:ascii="仿宋" w:hAnsi="仿宋" w:eastAsia="仿宋" w:cs="仿宋"/>
          <w:i w:val="0"/>
          <w:iCs w:val="0"/>
          <w:color w:val="auto"/>
          <w:sz w:val="24"/>
          <w:szCs w:val="24"/>
          <w:lang w:eastAsia="zh-CN"/>
        </w:rPr>
        <w:t>项目编号：KMZC2024-G3-03265-YNBK-0025</w:t>
      </w:r>
    </w:p>
    <w:p w14:paraId="39131EDB">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eastAsia="zh-CN"/>
        </w:rPr>
      </w:pPr>
      <w:r>
        <w:rPr>
          <w:rFonts w:hint="eastAsia" w:ascii="仿宋" w:hAnsi="仿宋" w:eastAsia="仿宋" w:cs="仿宋"/>
          <w:i w:val="0"/>
          <w:iCs w:val="0"/>
          <w:color w:val="auto"/>
          <w:sz w:val="24"/>
          <w:szCs w:val="24"/>
          <w:lang w:val="en-US" w:eastAsia="zh-CN"/>
        </w:rPr>
        <w:t>2.</w:t>
      </w:r>
      <w:r>
        <w:rPr>
          <w:rFonts w:hint="eastAsia" w:ascii="仿宋" w:hAnsi="仿宋" w:eastAsia="仿宋" w:cs="仿宋"/>
          <w:i w:val="0"/>
          <w:iCs w:val="0"/>
          <w:color w:val="auto"/>
          <w:sz w:val="24"/>
          <w:szCs w:val="24"/>
          <w:lang w:eastAsia="zh-CN"/>
        </w:rPr>
        <w:t>项目名称：</w:t>
      </w:r>
      <w:r>
        <w:rPr>
          <w:rFonts w:hint="eastAsia" w:ascii="仿宋" w:hAnsi="仿宋" w:eastAsia="仿宋" w:cs="仿宋"/>
          <w:color w:val="auto"/>
          <w:sz w:val="24"/>
          <w:szCs w:val="24"/>
          <w:u w:val="none"/>
          <w:lang w:val="en-US" w:eastAsia="zh-CN"/>
        </w:rPr>
        <w:t>昆明市第三人民医院医疗设备（64排CT)维护和保养服务项目</w:t>
      </w:r>
    </w:p>
    <w:p w14:paraId="297D2E7A">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3.采购方式：公开招标</w:t>
      </w:r>
    </w:p>
    <w:bookmarkEnd w:id="13"/>
    <w:p w14:paraId="6D29C62A">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4.</w:t>
      </w:r>
      <w:r>
        <w:rPr>
          <w:rFonts w:hint="eastAsia" w:ascii="仿宋" w:hAnsi="仿宋" w:eastAsia="仿宋" w:cs="仿宋"/>
          <w:i w:val="0"/>
          <w:iCs w:val="0"/>
          <w:color w:val="auto"/>
          <w:sz w:val="24"/>
          <w:szCs w:val="24"/>
          <w:highlight w:val="none"/>
          <w:lang w:eastAsia="zh-CN"/>
        </w:rPr>
        <w:t>预算金额（万元）：</w:t>
      </w:r>
      <w:r>
        <w:rPr>
          <w:rFonts w:hint="eastAsia" w:ascii="仿宋" w:hAnsi="仿宋" w:eastAsia="仿宋" w:cs="仿宋"/>
          <w:i w:val="0"/>
          <w:iCs w:val="0"/>
          <w:color w:val="auto"/>
          <w:sz w:val="24"/>
          <w:szCs w:val="24"/>
          <w:highlight w:val="none"/>
          <w:lang w:val="en-US" w:eastAsia="zh-CN"/>
        </w:rPr>
        <w:t>95万元</w:t>
      </w:r>
    </w:p>
    <w:p w14:paraId="55DCC2A0">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highlight w:val="none"/>
          <w:lang w:val="en-US"/>
        </w:rPr>
      </w:pPr>
      <w:r>
        <w:rPr>
          <w:rFonts w:hint="eastAsia" w:ascii="仿宋" w:hAnsi="仿宋" w:eastAsia="仿宋" w:cs="仿宋"/>
          <w:i w:val="0"/>
          <w:iCs w:val="0"/>
          <w:color w:val="auto"/>
          <w:sz w:val="24"/>
          <w:szCs w:val="24"/>
          <w:highlight w:val="none"/>
          <w:lang w:val="en-US" w:eastAsia="zh-CN"/>
        </w:rPr>
        <w:t>5.</w:t>
      </w:r>
      <w:r>
        <w:rPr>
          <w:rFonts w:hint="eastAsia" w:ascii="仿宋" w:hAnsi="仿宋" w:eastAsia="仿宋" w:cs="仿宋"/>
          <w:i w:val="0"/>
          <w:iCs w:val="0"/>
          <w:color w:val="auto"/>
          <w:sz w:val="24"/>
          <w:szCs w:val="24"/>
          <w:highlight w:val="none"/>
          <w:lang w:eastAsia="zh-CN"/>
        </w:rPr>
        <w:t>最高限价（万元</w:t>
      </w:r>
      <w:r>
        <w:rPr>
          <w:rFonts w:hint="eastAsia" w:ascii="仿宋" w:hAnsi="仿宋" w:eastAsia="仿宋" w:cs="仿宋"/>
          <w:i w:val="0"/>
          <w:iCs w:val="0"/>
          <w:color w:val="auto"/>
          <w:sz w:val="24"/>
          <w:szCs w:val="24"/>
          <w:highlight w:val="none"/>
        </w:rPr>
        <w:t>）：</w:t>
      </w:r>
      <w:r>
        <w:rPr>
          <w:rFonts w:hint="eastAsia" w:ascii="仿宋" w:hAnsi="仿宋" w:eastAsia="仿宋" w:cs="仿宋"/>
          <w:i w:val="0"/>
          <w:iCs w:val="0"/>
          <w:color w:val="auto"/>
          <w:sz w:val="24"/>
          <w:szCs w:val="24"/>
          <w:highlight w:val="none"/>
          <w:lang w:val="en-US" w:eastAsia="zh-CN"/>
        </w:rPr>
        <w:t>95万元</w:t>
      </w:r>
    </w:p>
    <w:p w14:paraId="4310A5AD">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仿宋" w:hAnsi="仿宋" w:eastAsia="仿宋" w:cs="仿宋"/>
          <w:i w:val="0"/>
          <w:iCs w:val="0"/>
          <w:color w:val="auto"/>
          <w:sz w:val="24"/>
          <w:szCs w:val="24"/>
        </w:rPr>
      </w:pPr>
      <w:r>
        <w:rPr>
          <w:rFonts w:hint="eastAsia" w:ascii="仿宋" w:hAnsi="仿宋" w:eastAsia="仿宋" w:cs="仿宋"/>
          <w:i w:val="0"/>
          <w:iCs w:val="0"/>
          <w:color w:val="auto"/>
          <w:sz w:val="24"/>
          <w:szCs w:val="24"/>
          <w:lang w:val="en-US" w:eastAsia="zh-CN"/>
        </w:rPr>
        <w:t>6.</w:t>
      </w:r>
      <w:r>
        <w:rPr>
          <w:rFonts w:hint="eastAsia" w:ascii="仿宋" w:hAnsi="仿宋" w:eastAsia="仿宋" w:cs="仿宋"/>
          <w:i w:val="0"/>
          <w:iCs w:val="0"/>
          <w:color w:val="auto"/>
          <w:sz w:val="24"/>
          <w:szCs w:val="24"/>
        </w:rPr>
        <w:t>采购需求：具体要求详见招标文件第</w:t>
      </w:r>
      <w:r>
        <w:rPr>
          <w:rFonts w:hint="eastAsia" w:ascii="仿宋" w:hAnsi="仿宋" w:eastAsia="仿宋" w:cs="仿宋"/>
          <w:i w:val="0"/>
          <w:iCs w:val="0"/>
          <w:color w:val="auto"/>
          <w:sz w:val="24"/>
          <w:szCs w:val="24"/>
          <w:lang w:val="en-US" w:eastAsia="zh-CN"/>
        </w:rPr>
        <w:t>五</w:t>
      </w:r>
      <w:r>
        <w:rPr>
          <w:rFonts w:hint="eastAsia" w:ascii="仿宋" w:hAnsi="仿宋" w:eastAsia="仿宋" w:cs="仿宋"/>
          <w:i w:val="0"/>
          <w:iCs w:val="0"/>
          <w:color w:val="auto"/>
          <w:sz w:val="24"/>
          <w:szCs w:val="24"/>
        </w:rPr>
        <w:t>章《采购需求及服务要求》</w:t>
      </w:r>
    </w:p>
    <w:tbl>
      <w:tblPr>
        <w:tblStyle w:val="25"/>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37"/>
        <w:gridCol w:w="1815"/>
        <w:gridCol w:w="850"/>
        <w:gridCol w:w="784"/>
        <w:gridCol w:w="1774"/>
        <w:gridCol w:w="1860"/>
      </w:tblGrid>
      <w:tr w14:paraId="6F67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08" w:type="dxa"/>
            <w:vAlign w:val="center"/>
          </w:tcPr>
          <w:p w14:paraId="6C31DFF1">
            <w:pPr>
              <w:widowControl w:val="0"/>
              <w:jc w:val="center"/>
              <w:rPr>
                <w:rFonts w:hint="eastAsia" w:ascii="宋体" w:hAnsi="宋体" w:eastAsia="宋体" w:cs="Times New Roman"/>
                <w:sz w:val="21"/>
                <w:szCs w:val="21"/>
                <w:lang w:eastAsia="en-US"/>
              </w:rPr>
            </w:pPr>
            <w:r>
              <w:rPr>
                <w:rFonts w:hint="eastAsia" w:ascii="宋体" w:hAnsi="宋体" w:eastAsia="宋体" w:cs="Times New Roman"/>
                <w:sz w:val="21"/>
                <w:szCs w:val="21"/>
              </w:rPr>
              <w:t>序号</w:t>
            </w:r>
          </w:p>
        </w:tc>
        <w:tc>
          <w:tcPr>
            <w:tcW w:w="937" w:type="dxa"/>
            <w:vAlign w:val="center"/>
          </w:tcPr>
          <w:p w14:paraId="57BE0BB0">
            <w:pPr>
              <w:widowControl w:val="0"/>
              <w:jc w:val="center"/>
              <w:rPr>
                <w:rFonts w:ascii="宋体" w:hAnsi="宋体" w:eastAsia="宋体" w:cs="Times New Roman"/>
                <w:sz w:val="21"/>
                <w:szCs w:val="21"/>
                <w:lang w:eastAsia="en-US"/>
              </w:rPr>
            </w:pPr>
            <w:r>
              <w:rPr>
                <w:rFonts w:hint="eastAsia" w:ascii="宋体" w:hAnsi="宋体" w:eastAsia="宋体" w:cs="Times New Roman"/>
                <w:sz w:val="21"/>
                <w:szCs w:val="21"/>
                <w:lang w:eastAsia="en-US"/>
              </w:rPr>
              <w:t>是否</w:t>
            </w:r>
          </w:p>
          <w:p w14:paraId="3289547B">
            <w:pPr>
              <w:widowControl w:val="0"/>
              <w:jc w:val="center"/>
              <w:rPr>
                <w:rFonts w:ascii="宋体" w:hAnsi="宋体" w:eastAsia="宋体" w:cs="Times New Roman"/>
                <w:sz w:val="21"/>
                <w:szCs w:val="21"/>
                <w:lang w:eastAsia="en-US"/>
              </w:rPr>
            </w:pPr>
            <w:r>
              <w:rPr>
                <w:rFonts w:hint="eastAsia" w:ascii="宋体" w:hAnsi="宋体" w:eastAsia="宋体" w:cs="Times New Roman"/>
                <w:sz w:val="21"/>
                <w:szCs w:val="21"/>
                <w:lang w:eastAsia="en-US"/>
              </w:rPr>
              <w:t>进口</w:t>
            </w:r>
          </w:p>
        </w:tc>
        <w:tc>
          <w:tcPr>
            <w:tcW w:w="1815" w:type="dxa"/>
            <w:vAlign w:val="center"/>
          </w:tcPr>
          <w:p w14:paraId="2FD4795C">
            <w:pPr>
              <w:widowControl w:val="0"/>
              <w:jc w:val="center"/>
              <w:rPr>
                <w:rFonts w:ascii="宋体" w:hAnsi="宋体" w:eastAsia="宋体" w:cs="Times New Roman"/>
                <w:sz w:val="21"/>
                <w:szCs w:val="21"/>
                <w:lang w:eastAsia="en-US"/>
              </w:rPr>
            </w:pPr>
            <w:r>
              <w:rPr>
                <w:rFonts w:hint="eastAsia" w:ascii="宋体" w:hAnsi="宋体" w:eastAsia="宋体" w:cs="Times New Roman"/>
                <w:sz w:val="21"/>
                <w:szCs w:val="21"/>
              </w:rPr>
              <w:t>项目名称</w:t>
            </w:r>
          </w:p>
        </w:tc>
        <w:tc>
          <w:tcPr>
            <w:tcW w:w="850" w:type="dxa"/>
            <w:vAlign w:val="center"/>
          </w:tcPr>
          <w:p w14:paraId="63361F78">
            <w:pPr>
              <w:widowControl w:val="0"/>
              <w:jc w:val="center"/>
              <w:rPr>
                <w:rFonts w:ascii="宋体" w:hAnsi="宋体" w:eastAsia="宋体" w:cs="Times New Roman"/>
                <w:sz w:val="21"/>
                <w:szCs w:val="21"/>
                <w:lang w:eastAsia="en-US"/>
              </w:rPr>
            </w:pPr>
            <w:r>
              <w:rPr>
                <w:rFonts w:hint="eastAsia" w:ascii="宋体" w:hAnsi="宋体" w:eastAsia="宋体" w:cs="Times New Roman"/>
                <w:sz w:val="21"/>
                <w:szCs w:val="21"/>
              </w:rPr>
              <w:t>数量</w:t>
            </w:r>
          </w:p>
        </w:tc>
        <w:tc>
          <w:tcPr>
            <w:tcW w:w="784" w:type="dxa"/>
            <w:vAlign w:val="center"/>
          </w:tcPr>
          <w:p w14:paraId="1F15A875">
            <w:pPr>
              <w:widowControl w:val="0"/>
              <w:jc w:val="center"/>
              <w:rPr>
                <w:rFonts w:ascii="宋体" w:hAnsi="宋体" w:eastAsia="宋体" w:cs="Times New Roman"/>
                <w:sz w:val="21"/>
                <w:szCs w:val="21"/>
                <w:lang w:eastAsia="en-US"/>
              </w:rPr>
            </w:pPr>
            <w:r>
              <w:rPr>
                <w:rFonts w:hint="eastAsia" w:ascii="宋体" w:hAnsi="宋体" w:eastAsia="宋体" w:cs="Times New Roman"/>
                <w:sz w:val="21"/>
                <w:szCs w:val="21"/>
              </w:rPr>
              <w:t>计量单位</w:t>
            </w:r>
          </w:p>
        </w:tc>
        <w:tc>
          <w:tcPr>
            <w:tcW w:w="1774" w:type="dxa"/>
            <w:vAlign w:val="center"/>
          </w:tcPr>
          <w:p w14:paraId="58F977A1">
            <w:pPr>
              <w:widowControl w:val="0"/>
              <w:jc w:val="center"/>
              <w:rPr>
                <w:rFonts w:hint="eastAsia" w:ascii="宋体" w:hAnsi="宋体" w:eastAsia="宋体" w:cs="Times New Roman"/>
                <w:sz w:val="21"/>
                <w:szCs w:val="21"/>
                <w:lang w:eastAsia="en-US"/>
              </w:rPr>
            </w:pPr>
            <w:r>
              <w:rPr>
                <w:rFonts w:hint="eastAsia" w:ascii="宋体" w:hAnsi="宋体" w:eastAsia="宋体" w:cs="Times New Roman"/>
                <w:sz w:val="21"/>
                <w:szCs w:val="21"/>
              </w:rPr>
              <w:t>预算金额(元)</w:t>
            </w:r>
          </w:p>
        </w:tc>
        <w:tc>
          <w:tcPr>
            <w:tcW w:w="1860" w:type="dxa"/>
            <w:vAlign w:val="center"/>
          </w:tcPr>
          <w:p w14:paraId="7142A235">
            <w:pPr>
              <w:widowControl w:val="0"/>
              <w:jc w:val="center"/>
              <w:rPr>
                <w:rFonts w:hint="eastAsia" w:ascii="宋体" w:hAnsi="宋体" w:eastAsia="宋体" w:cs="Times New Roman"/>
                <w:sz w:val="21"/>
                <w:szCs w:val="21"/>
                <w:lang w:eastAsia="en-US"/>
              </w:rPr>
            </w:pPr>
            <w:r>
              <w:rPr>
                <w:rFonts w:hint="eastAsia" w:ascii="宋体" w:hAnsi="宋体" w:eastAsia="宋体" w:cs="Times New Roman"/>
                <w:sz w:val="21"/>
                <w:szCs w:val="21"/>
              </w:rPr>
              <w:t>最高限价(元)</w:t>
            </w:r>
          </w:p>
        </w:tc>
      </w:tr>
      <w:tr w14:paraId="07CD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8" w:type="dxa"/>
            <w:vAlign w:val="center"/>
          </w:tcPr>
          <w:p w14:paraId="79BC37BF">
            <w:pPr>
              <w:widowControl w:val="0"/>
              <w:jc w:val="center"/>
              <w:rPr>
                <w:rFonts w:ascii="宋体" w:hAnsi="宋体" w:eastAsia="宋体" w:cs="Times New Roman"/>
                <w:sz w:val="21"/>
                <w:szCs w:val="21"/>
              </w:rPr>
            </w:pPr>
            <w:r>
              <w:rPr>
                <w:rFonts w:ascii="宋体" w:hAnsi="宋体" w:eastAsia="宋体" w:cs="Times New Roman"/>
                <w:sz w:val="21"/>
                <w:szCs w:val="21"/>
              </w:rPr>
              <w:t>1</w:t>
            </w:r>
          </w:p>
        </w:tc>
        <w:tc>
          <w:tcPr>
            <w:tcW w:w="937" w:type="dxa"/>
            <w:vAlign w:val="center"/>
          </w:tcPr>
          <w:p w14:paraId="05C48B3B">
            <w:pPr>
              <w:widowControl w:val="0"/>
              <w:jc w:val="center"/>
              <w:rPr>
                <w:rFonts w:hint="eastAsia" w:ascii="宋体" w:hAnsi="宋体" w:eastAsia="宋体" w:cs="Times New Roman"/>
                <w:sz w:val="21"/>
                <w:szCs w:val="21"/>
              </w:rPr>
            </w:pPr>
            <w:r>
              <w:rPr>
                <w:rFonts w:hint="eastAsia" w:ascii="宋体" w:hAnsi="宋体" w:eastAsia="宋体" w:cs="Times New Roman"/>
                <w:sz w:val="21"/>
                <w:szCs w:val="21"/>
              </w:rPr>
              <w:t>否</w:t>
            </w:r>
          </w:p>
        </w:tc>
        <w:tc>
          <w:tcPr>
            <w:tcW w:w="1815" w:type="dxa"/>
            <w:vAlign w:val="center"/>
          </w:tcPr>
          <w:p w14:paraId="5B6784F3">
            <w:pPr>
              <w:widowControl w:val="0"/>
              <w:jc w:val="center"/>
              <w:rPr>
                <w:rFonts w:hint="eastAsia" w:ascii="宋体" w:hAnsi="宋体" w:eastAsia="宋体" w:cs="Times New Roman"/>
                <w:sz w:val="21"/>
                <w:szCs w:val="21"/>
              </w:rPr>
            </w:pPr>
            <w:r>
              <w:rPr>
                <w:rFonts w:hint="eastAsia" w:ascii="宋体" w:hAnsi="宋体" w:eastAsia="宋体"/>
                <w:color w:val="000000"/>
                <w:sz w:val="21"/>
                <w:szCs w:val="21"/>
                <w:lang w:val="en-US" w:eastAsia="zh-CN"/>
              </w:rPr>
              <w:t>（64排CT)维护和保养服务项目</w:t>
            </w:r>
          </w:p>
        </w:tc>
        <w:tc>
          <w:tcPr>
            <w:tcW w:w="850" w:type="dxa"/>
            <w:vAlign w:val="center"/>
          </w:tcPr>
          <w:p w14:paraId="7F44752E">
            <w:pPr>
              <w:widowControl w:val="0"/>
              <w:jc w:val="center"/>
              <w:rPr>
                <w:rFonts w:hint="eastAsia" w:ascii="宋体" w:hAnsi="宋体" w:eastAsia="宋体" w:cs="Times New Roman"/>
                <w:sz w:val="21"/>
                <w:szCs w:val="21"/>
              </w:rPr>
            </w:pPr>
            <w:r>
              <w:rPr>
                <w:rFonts w:ascii="宋体" w:hAnsi="宋体" w:eastAsia="宋体"/>
                <w:color w:val="000000"/>
                <w:sz w:val="21"/>
                <w:szCs w:val="21"/>
              </w:rPr>
              <w:t>1</w:t>
            </w:r>
          </w:p>
        </w:tc>
        <w:tc>
          <w:tcPr>
            <w:tcW w:w="784" w:type="dxa"/>
            <w:vAlign w:val="center"/>
          </w:tcPr>
          <w:p w14:paraId="0A5A546E">
            <w:pPr>
              <w:widowControl w:val="0"/>
              <w:jc w:val="center"/>
              <w:rPr>
                <w:rFonts w:hint="eastAsia" w:ascii="宋体" w:hAnsi="宋体" w:eastAsia="宋体" w:cs="Times New Roman"/>
                <w:sz w:val="21"/>
                <w:szCs w:val="21"/>
              </w:rPr>
            </w:pPr>
            <w:r>
              <w:rPr>
                <w:rFonts w:hint="eastAsia" w:ascii="宋体" w:hAnsi="宋体" w:eastAsia="宋体"/>
                <w:color w:val="000000"/>
                <w:sz w:val="21"/>
                <w:szCs w:val="21"/>
              </w:rPr>
              <w:t>项</w:t>
            </w:r>
          </w:p>
        </w:tc>
        <w:tc>
          <w:tcPr>
            <w:tcW w:w="1774" w:type="dxa"/>
            <w:vAlign w:val="center"/>
          </w:tcPr>
          <w:p w14:paraId="6C6D484D">
            <w:pPr>
              <w:widowControl w:val="0"/>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95</w:t>
            </w:r>
            <w:r>
              <w:rPr>
                <w:rFonts w:ascii="宋体" w:hAnsi="宋体" w:eastAsia="宋体" w:cs="Times New Roman"/>
                <w:sz w:val="21"/>
                <w:szCs w:val="21"/>
              </w:rPr>
              <w:t>0,000.00</w:t>
            </w:r>
          </w:p>
        </w:tc>
        <w:tc>
          <w:tcPr>
            <w:tcW w:w="1860" w:type="dxa"/>
            <w:vAlign w:val="center"/>
          </w:tcPr>
          <w:p w14:paraId="35CD1814">
            <w:pPr>
              <w:widowControl w:val="0"/>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95</w:t>
            </w:r>
            <w:r>
              <w:rPr>
                <w:rFonts w:ascii="宋体" w:hAnsi="宋体" w:eastAsia="宋体" w:cs="Times New Roman"/>
                <w:sz w:val="21"/>
                <w:szCs w:val="21"/>
              </w:rPr>
              <w:t>0,000.00</w:t>
            </w:r>
          </w:p>
        </w:tc>
      </w:tr>
    </w:tbl>
    <w:p w14:paraId="723A38E3">
      <w:pPr>
        <w:pStyle w:val="2"/>
        <w:rPr>
          <w:rFonts w:hint="eastAsia"/>
        </w:rPr>
      </w:pPr>
    </w:p>
    <w:p w14:paraId="11F1FC32">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7.合同履行期限：3年期全保，保证具备提供3年以上备件供应及维修服务能力。</w:t>
      </w:r>
    </w:p>
    <w:p w14:paraId="1D6E6053">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8.</w:t>
      </w:r>
      <w:r>
        <w:rPr>
          <w:rFonts w:hint="eastAsia" w:ascii="仿宋" w:hAnsi="仿宋" w:eastAsia="仿宋" w:cs="仿宋"/>
          <w:i w:val="0"/>
          <w:iCs w:val="0"/>
          <w:color w:val="auto"/>
          <w:sz w:val="24"/>
          <w:szCs w:val="24"/>
          <w:lang w:val="en-US" w:eastAsia="zh-CN"/>
        </w:rPr>
        <w:t>合同履行</w:t>
      </w:r>
      <w:r>
        <w:rPr>
          <w:rFonts w:hint="eastAsia" w:ascii="仿宋" w:hAnsi="仿宋" w:eastAsia="仿宋" w:cs="仿宋"/>
          <w:i w:val="0"/>
          <w:iCs w:val="0"/>
          <w:color w:val="auto"/>
          <w:sz w:val="24"/>
          <w:szCs w:val="24"/>
          <w:highlight w:val="none"/>
          <w:lang w:val="en-US" w:eastAsia="zh-CN"/>
        </w:rPr>
        <w:t>地点：昆明市第三人民医院（招标人指定地点）。</w:t>
      </w:r>
    </w:p>
    <w:p w14:paraId="46806369">
      <w:pPr>
        <w:keepNext w:val="0"/>
        <w:keepLines w:val="0"/>
        <w:pageBreakBefore w:val="0"/>
        <w:widowControl w:val="0"/>
        <w:kinsoku/>
        <w:wordWrap/>
        <w:overflowPunct/>
        <w:topLinePunct w:val="0"/>
        <w:autoSpaceDE/>
        <w:autoSpaceDN/>
        <w:bidi w:val="0"/>
        <w:adjustRightInd/>
        <w:snapToGrid/>
        <w:spacing w:line="420" w:lineRule="atLeast"/>
        <w:ind w:left="0" w:leftChars="0" w:firstLine="482" w:firstLineChars="200"/>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二、投标人的资格要求：</w:t>
      </w:r>
    </w:p>
    <w:p w14:paraId="19DA7806">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1.符合《中华人民共和国政府采购法》第二十二条的规定。</w:t>
      </w:r>
    </w:p>
    <w:p w14:paraId="2D37FD17">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1.1具有独立承担民事责任的能力；（提供法人或者其他组织的营业执照等证明文件，自然人则提供身份证明。）</w:t>
      </w:r>
    </w:p>
    <w:p w14:paraId="475BF1BD">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1.2具有良好的商业信誉和健全的财务会计制度；（提供2021年度至本项目投标文件提交截止时间前任意一年经会计师事务所或审计机构审计的审计报告及财务报表（包括资产负债表、利润表、现金流量表及财务情况说明书（附注））或公司内部完整的财务报表（包括资产负债表、利润表、现金流量表），成立不满1年的供应商提供自成立以来公司内部完整的财务报表（包括资产负债表、利润表、现金流量表）或投标文件提交截止时间前3个月内由银行开具的资信证明文件（或资金证明文件）或有良好的商业信誉和健全的财务会计制度的承诺函）。</w:t>
      </w:r>
    </w:p>
    <w:p w14:paraId="13EE3E07">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1.3具有履行合同所必需的设备和专业技术能力；（提供承诺函）</w:t>
      </w:r>
    </w:p>
    <w:p w14:paraId="360E99CF">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1.4有依法缴纳税收和社会保障资金的良好记录，提供2023年</w:t>
      </w:r>
      <w:r>
        <w:rPr>
          <w:rFonts w:hint="eastAsia" w:ascii="仿宋" w:hAnsi="仿宋" w:eastAsia="仿宋" w:cs="仿宋"/>
          <w:i w:val="0"/>
          <w:iCs w:val="0"/>
          <w:color w:val="auto"/>
          <w:sz w:val="24"/>
          <w:szCs w:val="24"/>
          <w:highlight w:val="none"/>
          <w:lang w:val="en-US" w:eastAsia="zh-CN"/>
        </w:rPr>
        <w:t>12月</w:t>
      </w:r>
      <w:r>
        <w:rPr>
          <w:rFonts w:hint="eastAsia" w:ascii="仿宋" w:hAnsi="仿宋" w:eastAsia="仿宋" w:cs="仿宋"/>
          <w:i w:val="0"/>
          <w:iCs w:val="0"/>
          <w:color w:val="auto"/>
          <w:sz w:val="24"/>
          <w:szCs w:val="24"/>
          <w:lang w:val="en-US" w:eastAsia="zh-CN"/>
        </w:rPr>
        <w:t>至今任意3个月依法缴纳税收和缴纳社会保障资金的证明(成立未满3个月的提供成立以来的税收和社会保障资金缴纳凭证或相关情况说明；依法免税或不需要缴纳社会保障资金的投标人，应提供相应文件证明其依法免税或不需要缴纳社会保障资金)；</w:t>
      </w:r>
    </w:p>
    <w:p w14:paraId="409E20CF">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1.5</w:t>
      </w:r>
      <w:r>
        <w:rPr>
          <w:rFonts w:hint="eastAsia" w:ascii="仿宋" w:hAnsi="仿宋" w:eastAsia="仿宋" w:cs="仿宋"/>
          <w:color w:val="auto"/>
          <w:sz w:val="24"/>
          <w:lang w:val="en-US" w:eastAsia="zh-CN"/>
        </w:rPr>
        <w:t>投标人</w:t>
      </w:r>
      <w:r>
        <w:rPr>
          <w:rFonts w:hint="eastAsia" w:ascii="仿宋" w:hAnsi="仿宋" w:eastAsia="仿宋" w:cs="仿宋"/>
          <w:i w:val="0"/>
          <w:iCs w:val="0"/>
          <w:color w:val="auto"/>
          <w:sz w:val="24"/>
          <w:szCs w:val="24"/>
          <w:lang w:val="en-US" w:eastAsia="zh-CN"/>
        </w:rPr>
        <w:t>参加政府采购活动前三年内，在经营活动中没有重大违法记录（重大违法记录，是指供应商因违法经营受到刑事处罚或者责令停产停业、吊销许可证或者执照、较大数额罚款等行政处罚）的书面声明；</w:t>
      </w:r>
    </w:p>
    <w:p w14:paraId="13E77751">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kern w:val="2"/>
          <w:sz w:val="24"/>
          <w:szCs w:val="24"/>
          <w:lang w:val="en-US" w:eastAsia="zh-CN" w:bidi="ar-SA"/>
        </w:rPr>
        <w:t>2.</w:t>
      </w:r>
      <w:r>
        <w:rPr>
          <w:rFonts w:hint="eastAsia" w:ascii="仿宋" w:hAnsi="仿宋" w:eastAsia="仿宋" w:cs="仿宋"/>
          <w:i w:val="0"/>
          <w:iCs w:val="0"/>
          <w:color w:val="auto"/>
          <w:sz w:val="24"/>
          <w:szCs w:val="24"/>
          <w:lang w:val="en-US" w:eastAsia="zh-CN"/>
        </w:rPr>
        <w:t>落实政府采购政策需满足的资格要求：</w:t>
      </w:r>
      <w:r>
        <w:rPr>
          <w:rFonts w:hint="eastAsia" w:ascii="仿宋" w:hAnsi="仿宋" w:eastAsia="仿宋" w:cs="仿宋"/>
          <w:b/>
          <w:bCs/>
          <w:i w:val="0"/>
          <w:iCs w:val="0"/>
          <w:color w:val="auto"/>
          <w:sz w:val="24"/>
          <w:szCs w:val="24"/>
          <w:lang w:val="en-US" w:eastAsia="zh-CN"/>
        </w:rPr>
        <w:t>本项目非专门面向中小企业采购项目</w:t>
      </w:r>
      <w:r>
        <w:rPr>
          <w:rFonts w:hint="eastAsia" w:ascii="仿宋" w:hAnsi="仿宋" w:eastAsia="仿宋" w:cs="仿宋"/>
          <w:i w:val="0"/>
          <w:iCs w:val="0"/>
          <w:color w:val="auto"/>
          <w:sz w:val="24"/>
          <w:szCs w:val="24"/>
          <w:lang w:val="en-US" w:eastAsia="zh-CN"/>
        </w:rPr>
        <w:t>。</w:t>
      </w:r>
    </w:p>
    <w:p w14:paraId="02A5105B">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2.1本项目执行促进中小企业发展政策、监狱企业、残疾人福利性单位扶持政策，即评审时小型和微型企业产品享受10%的价格折扣。监狱企业、残疾人福利性单位视同小型、微型企业。</w:t>
      </w:r>
    </w:p>
    <w:p w14:paraId="2EE932F0">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2.2落实政府采购政策需满足的要求：《财政部关于进一步加大政府采购支持中小企业力度的通知》（云财采〔2022〕9号）、《财政部 司法部关于政府采购支持监狱企业发展有关问题的通知》（财库[2014]68号）、《三部门联合发布关于促进残疾人就业政府采购政策的通知》（财库〔2017〕141号）。</w:t>
      </w:r>
    </w:p>
    <w:p w14:paraId="5C693616">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3.本项目的特定资格要求：</w:t>
      </w:r>
    </w:p>
    <w:p w14:paraId="3A965B9C">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3.1维保设备所需的零、配件为医疗器械的，投标人须提供医疗器械经营许可证/备案，若维保设备所需的零、配件不属于医疗器械的，则提供相关说明材料；</w:t>
      </w:r>
    </w:p>
    <w:p w14:paraId="23CD36FC">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3.2信用要求：供应商应信誉良好，当前未因不良行为记录被建设行政主管部门取消投标资格；近三年(2021 年至今)无重大违法记录；根据《关于对失信被执行人实施联合惩戒的合作备忘录》及《关于在招投标活动中对失信被执行人实施联合惩戒的通知》文件精神，供应商在投标截止时间前未被列入“信用中国”网站（www.creditchina.gov.cn）失信被执行人、重大税收违法失信主体、政府采购严重违法失信行为记录名单、国家企业信用信息公示系统（http://www.gsxt.gov.cn/）严重违法失信企业名单及中国政府采购网（www.ccgp.gov.cn）“政府采购严重违法失信行为信息记录”，失信信息材料由采购代理机构负责在项目开标后评标会议开始前查询、存档，评标时由相关工作人员统一提供给项目评标委员会。</w:t>
      </w:r>
    </w:p>
    <w:p w14:paraId="2EE512A0">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3.3供应商应遵守国家有关的法律、法令和条例，以及符合并承认和履行招标文件中的各项规定。</w:t>
      </w:r>
    </w:p>
    <w:p w14:paraId="7759A80E">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3.4单位负责人为同一人或者存在直接控股、管理关系的不同供应商，不得参加同一合同项下的政府采购活动。</w:t>
      </w:r>
    </w:p>
    <w:p w14:paraId="2F9E6EB4">
      <w:pPr>
        <w:keepNext w:val="0"/>
        <w:keepLines w:val="0"/>
        <w:pageBreakBefore w:val="0"/>
        <w:widowControl w:val="0"/>
        <w:kinsoku/>
        <w:wordWrap/>
        <w:overflowPunct/>
        <w:topLinePunct w:val="0"/>
        <w:autoSpaceDE/>
        <w:autoSpaceDN/>
        <w:bidi w:val="0"/>
        <w:adjustRightInd/>
        <w:snapToGrid/>
        <w:spacing w:line="420" w:lineRule="atLeast"/>
        <w:ind w:left="0" w:leftChars="0" w:firstLine="482" w:firstLineChars="200"/>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三、获取采购文件</w:t>
      </w:r>
    </w:p>
    <w:p w14:paraId="51133D1A">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1.时间：2024年12月18日06:00至2024年12月25日23:59（北京时间，法定节假日除外）。</w:t>
      </w:r>
    </w:p>
    <w:p w14:paraId="1C1F93F7">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2.地点：“政采云”平台（http://www.zcygov.cn）（操作路径：登录“政采云”平台-项目采购-获取采购文件 -找到本项目-点击“申请获取采购文件”）</w:t>
      </w:r>
    </w:p>
    <w:p w14:paraId="390D74A0">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3.方式：凡有意参加投标者，须在政采云平台办理数字证书（CA)，CA申领链接http://yzt.ynsmartcert.cn/cms/yztynmhzb.html，数字证书（CA）办理完成后需在政采云平台绑定数字证书(CA)并在平台获取采购文件及其它采购资料。</w:t>
      </w:r>
    </w:p>
    <w:p w14:paraId="7CAE5228">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注:按上述要求获取文件的投标人视为合法获取了本项目采购文件，具备本项目的投标资格。各投标人应在开标前确保成为政采云平台供应商，并完成CA数字证书申领。因未注册入库，未办理CA数字证书等原因造成无法投标或投标失败等由投标人自行承担,有意参加投标的投标人，须在政采云平办理数字证书(CA) ，CA申领链接:http://yzt.ynsmartcert.cn/cms/yztynmhzb.html。</w:t>
      </w:r>
    </w:p>
    <w:p w14:paraId="4F79FD4E">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（1）如有问题可拨打政采云客户服务热线95763进一咨询，数字证书问题可咨询云南壹证通CA：0871-67276028（紧急可拨19988166369）。</w:t>
      </w:r>
    </w:p>
    <w:p w14:paraId="2936FC2D">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如因投标人自身原因导致在规定时间内无法正常解密的(如:浏览器故障、未安装相关驱动、网络故障、加密CA与解密CA不一致等），视为投标人自动弃标，代理机构不予处理。</w:t>
      </w:r>
    </w:p>
    <w:p w14:paraId="214C3D12">
      <w:pPr>
        <w:keepNext w:val="0"/>
        <w:keepLines w:val="0"/>
        <w:pageBreakBefore w:val="0"/>
        <w:widowControl w:val="0"/>
        <w:numPr>
          <w:ilvl w:val="0"/>
          <w:numId w:val="0"/>
        </w:numPr>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kern w:val="2"/>
          <w:sz w:val="24"/>
          <w:szCs w:val="24"/>
          <w:lang w:val="en-US" w:eastAsia="zh-CN" w:bidi="ar-SA"/>
        </w:rPr>
        <w:t>（2</w:t>
      </w:r>
      <w:r>
        <w:rPr>
          <w:rFonts w:hint="eastAsia" w:ascii="仿宋" w:hAnsi="仿宋" w:eastAsia="仿宋" w:cs="仿宋"/>
          <w:i w:val="0"/>
          <w:iCs w:val="0"/>
          <w:color w:val="auto"/>
          <w:sz w:val="24"/>
          <w:szCs w:val="24"/>
          <w:lang w:val="en-US" w:eastAsia="zh-CN"/>
        </w:rPr>
        <w:t>）云南本地投标人如之前已在云南CA在线数字证书办理网进行过注册并办理过企业数字证书（CA），直接绑定即可，无需重复办理（2022年1月1日前办理的云南CA需到云南CA办理处进行升级）。</w:t>
      </w:r>
    </w:p>
    <w:p w14:paraId="157E204F">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4.售价：0元</w:t>
      </w:r>
    </w:p>
    <w:p w14:paraId="1FD694AA">
      <w:pPr>
        <w:keepNext w:val="0"/>
        <w:keepLines w:val="0"/>
        <w:pageBreakBefore w:val="0"/>
        <w:widowControl w:val="0"/>
        <w:kinsoku/>
        <w:wordWrap/>
        <w:overflowPunct/>
        <w:topLinePunct w:val="0"/>
        <w:autoSpaceDE/>
        <w:autoSpaceDN/>
        <w:bidi w:val="0"/>
        <w:adjustRightInd/>
        <w:snapToGrid/>
        <w:spacing w:line="420" w:lineRule="atLeast"/>
        <w:ind w:left="0" w:leftChars="0" w:firstLine="482" w:firstLineChars="200"/>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四、投标文件提交</w:t>
      </w:r>
    </w:p>
    <w:p w14:paraId="7C435306">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截止时间：</w:t>
      </w:r>
      <w:r>
        <w:rPr>
          <w:rFonts w:hint="eastAsia" w:ascii="仿宋" w:hAnsi="仿宋" w:eastAsia="仿宋" w:cs="仿宋"/>
          <w:bCs/>
          <w:color w:val="auto"/>
          <w:kern w:val="2"/>
          <w:sz w:val="24"/>
          <w:szCs w:val="24"/>
          <w:u w:val="single"/>
          <w:lang w:val="en-US" w:eastAsia="zh-CN" w:bidi="ar-SA"/>
        </w:rPr>
        <w:t>2025年1月</w:t>
      </w:r>
      <w:r>
        <w:rPr>
          <w:rFonts w:hint="eastAsia" w:ascii="仿宋" w:hAnsi="仿宋" w:eastAsia="仿宋" w:cs="仿宋"/>
          <w:bCs/>
          <w:color w:val="auto"/>
          <w:kern w:val="2"/>
          <w:sz w:val="24"/>
          <w:szCs w:val="24"/>
          <w:u w:val="single"/>
          <w:shd w:val="clear" w:fill="FFC000" w:themeFill="accent4"/>
          <w:lang w:val="en-US" w:eastAsia="zh-CN" w:bidi="ar-SA"/>
        </w:rPr>
        <w:t>8</w:t>
      </w:r>
      <w:r>
        <w:rPr>
          <w:rFonts w:hint="eastAsia" w:ascii="仿宋" w:hAnsi="仿宋" w:eastAsia="仿宋" w:cs="仿宋"/>
          <w:bCs/>
          <w:color w:val="auto"/>
          <w:kern w:val="2"/>
          <w:sz w:val="24"/>
          <w:szCs w:val="24"/>
          <w:u w:val="single"/>
          <w:lang w:val="en-US" w:eastAsia="zh-CN" w:bidi="ar-SA"/>
        </w:rPr>
        <w:t>日</w:t>
      </w:r>
      <w:r>
        <w:rPr>
          <w:rFonts w:hint="eastAsia" w:ascii="仿宋" w:hAnsi="仿宋" w:eastAsia="仿宋" w:cs="仿宋"/>
          <w:i w:val="0"/>
          <w:iCs w:val="0"/>
          <w:color w:val="auto"/>
          <w:sz w:val="24"/>
          <w:szCs w:val="24"/>
          <w:lang w:val="en-US" w:eastAsia="zh-CN"/>
        </w:rPr>
        <w:t>14：00（北京时间）</w:t>
      </w:r>
    </w:p>
    <w:p w14:paraId="4A7F4B94">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地点：政采云平台。供应商应按照本项目采购文件和"政采云"平台的要求编制、加密后在投标文件提交截止时间前上传至"政采云"平台，投标文件提交截止时间前未完成投标文件上传的，视为撤回投标文件。供应商在“政采云"平台提交电子版投标文件时，请填写参加远程采购活动经办人联系方式。</w:t>
      </w:r>
    </w:p>
    <w:p w14:paraId="501BD004">
      <w:pPr>
        <w:keepNext w:val="0"/>
        <w:keepLines w:val="0"/>
        <w:pageBreakBefore w:val="0"/>
        <w:widowControl w:val="0"/>
        <w:kinsoku/>
        <w:wordWrap/>
        <w:overflowPunct/>
        <w:topLinePunct w:val="0"/>
        <w:autoSpaceDE/>
        <w:autoSpaceDN/>
        <w:bidi w:val="0"/>
        <w:adjustRightInd/>
        <w:snapToGrid/>
        <w:spacing w:line="420" w:lineRule="atLeast"/>
        <w:ind w:left="0" w:leftChars="0" w:firstLine="482" w:firstLineChars="200"/>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五、开启</w:t>
      </w:r>
    </w:p>
    <w:p w14:paraId="6782F226">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时间：</w:t>
      </w:r>
      <w:r>
        <w:rPr>
          <w:rFonts w:hint="eastAsia" w:ascii="仿宋" w:hAnsi="仿宋" w:eastAsia="仿宋" w:cs="仿宋"/>
          <w:bCs/>
          <w:color w:val="auto"/>
          <w:kern w:val="2"/>
          <w:sz w:val="24"/>
          <w:szCs w:val="24"/>
          <w:u w:val="single"/>
          <w:lang w:val="en-US" w:eastAsia="zh-CN" w:bidi="ar-SA"/>
        </w:rPr>
        <w:t>2025年1月</w:t>
      </w:r>
      <w:r>
        <w:rPr>
          <w:rFonts w:hint="eastAsia" w:ascii="仿宋" w:hAnsi="仿宋" w:eastAsia="仿宋" w:cs="仿宋"/>
          <w:bCs/>
          <w:color w:val="auto"/>
          <w:kern w:val="2"/>
          <w:sz w:val="24"/>
          <w:szCs w:val="24"/>
          <w:u w:val="single"/>
          <w:shd w:val="clear" w:fill="FFC000" w:themeFill="accent4"/>
          <w:lang w:val="en-US" w:eastAsia="zh-CN" w:bidi="ar-SA"/>
        </w:rPr>
        <w:t>8</w:t>
      </w:r>
      <w:r>
        <w:rPr>
          <w:rFonts w:hint="eastAsia" w:ascii="仿宋" w:hAnsi="仿宋" w:eastAsia="仿宋" w:cs="仿宋"/>
          <w:bCs/>
          <w:color w:val="auto"/>
          <w:kern w:val="2"/>
          <w:sz w:val="24"/>
          <w:szCs w:val="24"/>
          <w:u w:val="single"/>
          <w:lang w:val="en-US" w:eastAsia="zh-CN" w:bidi="ar-SA"/>
        </w:rPr>
        <w:t>日</w:t>
      </w:r>
      <w:r>
        <w:rPr>
          <w:rFonts w:hint="eastAsia" w:ascii="仿宋" w:hAnsi="仿宋" w:eastAsia="仿宋" w:cs="仿宋"/>
          <w:i w:val="0"/>
          <w:iCs w:val="0"/>
          <w:color w:val="auto"/>
          <w:sz w:val="24"/>
          <w:szCs w:val="24"/>
          <w:lang w:val="en-US" w:eastAsia="zh-CN"/>
        </w:rPr>
        <w:t>14：00（北京时间）</w:t>
      </w:r>
    </w:p>
    <w:p w14:paraId="55319EA2">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地点：政采云平台电子开标厅。</w:t>
      </w:r>
    </w:p>
    <w:p w14:paraId="1117FBA7">
      <w:pPr>
        <w:keepNext w:val="0"/>
        <w:keepLines w:val="0"/>
        <w:pageBreakBefore w:val="0"/>
        <w:widowControl w:val="0"/>
        <w:kinsoku/>
        <w:wordWrap/>
        <w:overflowPunct/>
        <w:topLinePunct w:val="0"/>
        <w:autoSpaceDE/>
        <w:autoSpaceDN/>
        <w:bidi w:val="0"/>
        <w:adjustRightInd/>
        <w:snapToGrid/>
        <w:spacing w:line="420" w:lineRule="atLeast"/>
        <w:ind w:left="0" w:leftChars="0" w:firstLine="482" w:firstLineChars="200"/>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六、公告期限</w:t>
      </w:r>
    </w:p>
    <w:p w14:paraId="7A7A7EDE">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自本公告发布之日起5个工作日。</w:t>
      </w:r>
    </w:p>
    <w:p w14:paraId="4DCA9D2E">
      <w:pPr>
        <w:keepNext w:val="0"/>
        <w:keepLines w:val="0"/>
        <w:pageBreakBefore w:val="0"/>
        <w:widowControl w:val="0"/>
        <w:kinsoku/>
        <w:wordWrap/>
        <w:overflowPunct/>
        <w:topLinePunct w:val="0"/>
        <w:autoSpaceDE/>
        <w:autoSpaceDN/>
        <w:bidi w:val="0"/>
        <w:adjustRightInd/>
        <w:snapToGrid/>
        <w:spacing w:line="420" w:lineRule="atLeast"/>
        <w:ind w:left="0" w:leftChars="0" w:firstLine="482" w:firstLineChars="200"/>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七、其他补充事宜</w:t>
      </w:r>
    </w:p>
    <w:p w14:paraId="4D92E3F6">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开标方式：网上开标</w:t>
      </w:r>
    </w:p>
    <w:p w14:paraId="64CB06AE">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是否需要缴纳投标保证金：是</w:t>
      </w:r>
    </w:p>
    <w:p w14:paraId="08DD0D03">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 xml:space="preserve">其他：本次招标公告在云南省政府采购网及政府采购云平台公布，请各供应商在递交投标文件前随时查看，以获取最新信息。因供应商不留意网站公告，导致后果由其自行负责，采购人及代理机构不承担任何责任。如有其它网站转载公告，采购人及代理机构不承担任何责任。 </w:t>
      </w:r>
    </w:p>
    <w:p w14:paraId="309AAA56">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 xml:space="preserve">注：1.本项目为不见面开标，供应商无需到达现场； </w:t>
      </w:r>
    </w:p>
    <w:p w14:paraId="606B52E4">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 xml:space="preserve">2.本项目实行网上投标，采用电子投标文件； </w:t>
      </w:r>
    </w:p>
    <w:p w14:paraId="6F23CBA2">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3.各</w:t>
      </w:r>
      <w:r>
        <w:rPr>
          <w:rFonts w:hint="eastAsia" w:ascii="仿宋" w:hAnsi="仿宋" w:eastAsia="仿宋" w:cs="仿宋"/>
          <w:color w:val="auto"/>
          <w:sz w:val="24"/>
          <w:lang w:val="en-US" w:eastAsia="zh-CN"/>
        </w:rPr>
        <w:t>投标人</w:t>
      </w:r>
      <w:r>
        <w:rPr>
          <w:rFonts w:hint="eastAsia" w:ascii="仿宋" w:hAnsi="仿宋" w:eastAsia="仿宋" w:cs="仿宋"/>
          <w:i w:val="0"/>
          <w:iCs w:val="0"/>
          <w:color w:val="auto"/>
          <w:sz w:val="24"/>
          <w:szCs w:val="24"/>
          <w:lang w:val="en-US" w:eastAsia="zh-CN"/>
        </w:rPr>
        <w:t>应在开标前应确保成为政采云平台供应商，并完成CA数字证书申领。因未注册入库、未办理CA数字证书等原因造成无法投标或投标失败等后果由</w:t>
      </w:r>
      <w:r>
        <w:rPr>
          <w:rFonts w:hint="eastAsia" w:ascii="仿宋" w:hAnsi="仿宋" w:eastAsia="仿宋" w:cs="仿宋"/>
          <w:color w:val="auto"/>
          <w:sz w:val="24"/>
          <w:lang w:val="en-US" w:eastAsia="zh-CN"/>
        </w:rPr>
        <w:t>投标人</w:t>
      </w:r>
      <w:r>
        <w:rPr>
          <w:rFonts w:hint="eastAsia" w:ascii="仿宋" w:hAnsi="仿宋" w:eastAsia="仿宋" w:cs="仿宋"/>
          <w:i w:val="0"/>
          <w:iCs w:val="0"/>
          <w:color w:val="auto"/>
          <w:sz w:val="24"/>
          <w:szCs w:val="24"/>
          <w:lang w:val="en-US" w:eastAsia="zh-CN"/>
        </w:rPr>
        <w:t>自行承担。 凡有意参加投标的</w:t>
      </w:r>
      <w:r>
        <w:rPr>
          <w:rFonts w:hint="eastAsia" w:ascii="仿宋" w:hAnsi="仿宋" w:eastAsia="仿宋" w:cs="仿宋"/>
          <w:color w:val="auto"/>
          <w:sz w:val="24"/>
          <w:lang w:val="en-US" w:eastAsia="zh-CN"/>
        </w:rPr>
        <w:t>投标人</w:t>
      </w:r>
      <w:r>
        <w:rPr>
          <w:rFonts w:hint="eastAsia" w:ascii="仿宋" w:hAnsi="仿宋" w:eastAsia="仿宋" w:cs="仿宋"/>
          <w:i w:val="0"/>
          <w:iCs w:val="0"/>
          <w:color w:val="auto"/>
          <w:sz w:val="24"/>
          <w:szCs w:val="24"/>
          <w:lang w:val="en-US" w:eastAsia="zh-CN"/>
        </w:rPr>
        <w:t>，须在政采云平台办理数字证书（CA）CA申领链接：https://middle.zcygov.cn/ca/apply/list?_app_=zcy.sys，并通过政采云绑定数字证书（CA）后在网上获取采购文件及其它采购资料，数字证书（CA）详见其办理流程；</w:t>
      </w:r>
    </w:p>
    <w:p w14:paraId="61491C51">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4.</w:t>
      </w:r>
      <w:r>
        <w:rPr>
          <w:rFonts w:hint="eastAsia" w:ascii="仿宋" w:hAnsi="仿宋" w:eastAsia="仿宋" w:cs="仿宋"/>
          <w:color w:val="auto"/>
          <w:sz w:val="24"/>
          <w:lang w:val="en-US" w:eastAsia="zh-CN"/>
        </w:rPr>
        <w:t>投标人</w:t>
      </w:r>
      <w:r>
        <w:rPr>
          <w:rFonts w:hint="eastAsia" w:ascii="仿宋" w:hAnsi="仿宋" w:eastAsia="仿宋" w:cs="仿宋"/>
          <w:i w:val="0"/>
          <w:iCs w:val="0"/>
          <w:color w:val="auto"/>
          <w:sz w:val="24"/>
          <w:szCs w:val="24"/>
          <w:lang w:val="en-US" w:eastAsia="zh-CN"/>
        </w:rPr>
        <w:t>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或5763进行咨询以及云南CA操作问题：请致电云南CA，4006727666； 云南CA紧急联系方式：15288315056。</w:t>
      </w:r>
    </w:p>
    <w:p w14:paraId="4A5DFAD4">
      <w:pPr>
        <w:keepNext w:val="0"/>
        <w:keepLines w:val="0"/>
        <w:pageBreakBefore w:val="0"/>
        <w:widowControl w:val="0"/>
        <w:kinsoku/>
        <w:wordWrap/>
        <w:overflowPunct/>
        <w:topLinePunct w:val="0"/>
        <w:autoSpaceDE/>
        <w:autoSpaceDN/>
        <w:bidi w:val="0"/>
        <w:adjustRightInd/>
        <w:snapToGrid/>
        <w:spacing w:line="420" w:lineRule="atLeast"/>
        <w:ind w:left="0" w:leftChars="0" w:firstLine="482" w:firstLineChars="200"/>
        <w:textAlignment w:val="auto"/>
        <w:rPr>
          <w:rFonts w:hint="eastAsia" w:ascii="仿宋" w:hAnsi="仿宋" w:eastAsia="仿宋" w:cs="仿宋"/>
          <w:b/>
          <w:bCs/>
          <w:i w:val="0"/>
          <w:iCs w:val="0"/>
          <w:color w:val="auto"/>
          <w:sz w:val="24"/>
          <w:szCs w:val="24"/>
          <w:lang w:val="en-US" w:eastAsia="zh-CN"/>
        </w:rPr>
      </w:pPr>
      <w:r>
        <w:rPr>
          <w:rFonts w:hint="eastAsia" w:ascii="仿宋" w:hAnsi="仿宋" w:eastAsia="仿宋" w:cs="仿宋"/>
          <w:b/>
          <w:bCs/>
          <w:i w:val="0"/>
          <w:iCs w:val="0"/>
          <w:color w:val="auto"/>
          <w:sz w:val="24"/>
          <w:szCs w:val="24"/>
          <w:lang w:val="en-US" w:eastAsia="zh-CN"/>
        </w:rPr>
        <w:t>八、凡对本次采购提出询问，请按以下方式联系。</w:t>
      </w:r>
    </w:p>
    <w:p w14:paraId="77B68DCA">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1.采购人信息</w:t>
      </w:r>
    </w:p>
    <w:p w14:paraId="093E0588">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名    称：</w:t>
      </w:r>
      <w:r>
        <w:rPr>
          <w:rFonts w:hint="eastAsia" w:ascii="仿宋" w:hAnsi="仿宋" w:eastAsia="仿宋" w:cs="仿宋"/>
          <w:color w:val="auto"/>
          <w:sz w:val="24"/>
          <w:szCs w:val="24"/>
          <w:u w:val="none"/>
          <w:lang w:val="en-US" w:eastAsia="zh-CN"/>
        </w:rPr>
        <w:t>昆明市第三人民医院</w:t>
      </w:r>
    </w:p>
    <w:p w14:paraId="24751E92">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地    址：昆明市官渡区太和街道吴井路319号</w:t>
      </w:r>
    </w:p>
    <w:p w14:paraId="0063E8CD">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联系方式：李老师 0871-63511200</w:t>
      </w:r>
    </w:p>
    <w:p w14:paraId="10D1938D">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bookmarkStart w:id="14" w:name="_Toc28359087"/>
      <w:bookmarkStart w:id="15" w:name="_Toc28359010"/>
      <w:r>
        <w:rPr>
          <w:rFonts w:hint="eastAsia" w:ascii="仿宋" w:hAnsi="仿宋" w:eastAsia="仿宋" w:cs="仿宋"/>
          <w:i w:val="0"/>
          <w:iCs w:val="0"/>
          <w:color w:val="auto"/>
          <w:sz w:val="24"/>
          <w:szCs w:val="24"/>
          <w:lang w:val="en-US" w:eastAsia="zh-CN"/>
        </w:rPr>
        <w:t>2.采购代理机构： 云南帮克工程咨询有限公司</w:t>
      </w:r>
    </w:p>
    <w:p w14:paraId="58AD337B">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地    址：云南省昆明市盘龙区白龙路149号云南省市场监督管理学校6楼</w:t>
      </w:r>
    </w:p>
    <w:p w14:paraId="70B6C902">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联 系 人：何木、陈睿</w:t>
      </w:r>
    </w:p>
    <w:p w14:paraId="73B344D8">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联系电话：13330534490、18288766558</w:t>
      </w:r>
    </w:p>
    <w:p w14:paraId="1DC92E99">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eastAsia"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3.项目联系方式</w:t>
      </w:r>
      <w:bookmarkEnd w:id="14"/>
      <w:bookmarkEnd w:id="15"/>
    </w:p>
    <w:p w14:paraId="1A3FE834">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项目联系人：何木、陈睿</w:t>
      </w:r>
    </w:p>
    <w:p w14:paraId="0A6FD6AA">
      <w:pPr>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textAlignment w:val="auto"/>
        <w:rPr>
          <w:rFonts w:hint="default" w:ascii="仿宋" w:hAnsi="仿宋" w:eastAsia="仿宋" w:cs="仿宋"/>
          <w:i w:val="0"/>
          <w:iCs w:val="0"/>
          <w:color w:val="auto"/>
          <w:sz w:val="24"/>
          <w:szCs w:val="24"/>
          <w:lang w:val="en-US" w:eastAsia="zh-CN"/>
        </w:rPr>
      </w:pPr>
      <w:r>
        <w:rPr>
          <w:rFonts w:hint="eastAsia" w:ascii="仿宋" w:hAnsi="仿宋" w:eastAsia="仿宋" w:cs="仿宋"/>
          <w:i w:val="0"/>
          <w:iCs w:val="0"/>
          <w:color w:val="auto"/>
          <w:sz w:val="24"/>
          <w:szCs w:val="24"/>
          <w:lang w:val="en-US" w:eastAsia="zh-CN"/>
        </w:rPr>
        <w:t>电    话：13330534490、18288766558</w:t>
      </w:r>
    </w:p>
    <w:p w14:paraId="55607AC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仿宋" w:hAnsi="仿宋" w:eastAsia="仿宋" w:cs="仿宋"/>
          <w:color w:val="auto"/>
          <w:sz w:val="24"/>
          <w:szCs w:val="24"/>
          <w:u w:val="single"/>
          <w:lang w:val="en-US" w:eastAsia="zh-CN"/>
        </w:rPr>
      </w:pPr>
    </w:p>
    <w:p w14:paraId="76D9BF8B">
      <w:pPr>
        <w:rPr>
          <w:rFonts w:hint="eastAsia" w:ascii="仿宋" w:hAnsi="仿宋" w:eastAsia="仿宋" w:cs="仿宋"/>
          <w:bCs/>
          <w:color w:val="auto"/>
          <w:sz w:val="36"/>
        </w:rPr>
      </w:pPr>
      <w:r>
        <w:rPr>
          <w:rFonts w:hint="eastAsia" w:ascii="仿宋" w:hAnsi="仿宋" w:eastAsia="仿宋" w:cs="仿宋"/>
          <w:bCs/>
          <w:color w:val="auto"/>
          <w:sz w:val="36"/>
        </w:rPr>
        <w:br w:type="page"/>
      </w:r>
    </w:p>
    <w:p w14:paraId="4C5DC229">
      <w:pPr>
        <w:pStyle w:val="3"/>
        <w:numPr>
          <w:ilvl w:val="0"/>
          <w:numId w:val="0"/>
        </w:numPr>
        <w:spacing w:before="0" w:line="240" w:lineRule="auto"/>
        <w:jc w:val="center"/>
        <w:rPr>
          <w:rFonts w:hint="eastAsia" w:ascii="仿宋" w:hAnsi="仿宋" w:eastAsia="仿宋" w:cs="仿宋"/>
          <w:bCs/>
          <w:color w:val="auto"/>
          <w:sz w:val="36"/>
          <w:szCs w:val="36"/>
        </w:rPr>
      </w:pPr>
      <w:bookmarkStart w:id="16" w:name="_Toc19476"/>
      <w:bookmarkStart w:id="17" w:name="_Toc17763"/>
      <w:r>
        <w:rPr>
          <w:rFonts w:hint="eastAsia" w:ascii="仿宋" w:hAnsi="仿宋" w:eastAsia="仿宋" w:cs="仿宋"/>
          <w:bCs/>
          <w:color w:val="auto"/>
          <w:sz w:val="36"/>
        </w:rPr>
        <w:t xml:space="preserve">第二章 </w:t>
      </w:r>
      <w:r>
        <w:rPr>
          <w:rFonts w:hint="eastAsia" w:ascii="仿宋" w:hAnsi="仿宋" w:eastAsia="仿宋" w:cs="仿宋"/>
          <w:bCs/>
          <w:color w:val="auto"/>
          <w:sz w:val="36"/>
          <w:lang w:val="en-US" w:eastAsia="zh-CN"/>
        </w:rPr>
        <w:t xml:space="preserve"> </w:t>
      </w:r>
      <w:r>
        <w:rPr>
          <w:rFonts w:hint="eastAsia" w:ascii="仿宋" w:hAnsi="仿宋" w:eastAsia="仿宋" w:cs="仿宋"/>
          <w:bCs/>
          <w:color w:val="auto"/>
          <w:sz w:val="36"/>
        </w:rPr>
        <w:t>投标人须知</w:t>
      </w:r>
      <w:bookmarkEnd w:id="6"/>
      <w:bookmarkEnd w:id="7"/>
      <w:bookmarkEnd w:id="8"/>
      <w:bookmarkEnd w:id="16"/>
      <w:bookmarkEnd w:id="17"/>
    </w:p>
    <w:p w14:paraId="67395D2D">
      <w:pPr>
        <w:pStyle w:val="4"/>
        <w:keepNext/>
        <w:keepLines w:val="0"/>
        <w:pageBreakBefore w:val="0"/>
        <w:widowControl w:val="0"/>
        <w:numPr>
          <w:ilvl w:val="0"/>
          <w:numId w:val="0"/>
        </w:numPr>
        <w:kinsoku/>
        <w:wordWrap w:val="0"/>
        <w:overflowPunct/>
        <w:topLinePunct w:val="0"/>
        <w:autoSpaceDE/>
        <w:autoSpaceDN/>
        <w:bidi w:val="0"/>
        <w:adjustRightInd w:val="0"/>
        <w:snapToGrid/>
        <w:spacing w:before="0" w:line="240" w:lineRule="auto"/>
        <w:ind w:left="0"/>
        <w:jc w:val="center"/>
        <w:textAlignment w:val="baseline"/>
        <w:rPr>
          <w:rFonts w:hint="eastAsia" w:ascii="仿宋" w:hAnsi="仿宋" w:eastAsia="仿宋" w:cs="仿宋"/>
          <w:b/>
          <w:bCs/>
          <w:color w:val="auto"/>
          <w:sz w:val="32"/>
          <w:szCs w:val="32"/>
          <w:lang w:eastAsia="zh-CN"/>
        </w:rPr>
      </w:pPr>
      <w:bookmarkStart w:id="18" w:name="_Toc17378"/>
      <w:r>
        <w:rPr>
          <w:rFonts w:hint="eastAsia" w:ascii="仿宋" w:hAnsi="仿宋" w:eastAsia="仿宋" w:cs="仿宋"/>
          <w:b/>
          <w:bCs/>
          <w:color w:val="auto"/>
          <w:sz w:val="32"/>
          <w:szCs w:val="32"/>
        </w:rPr>
        <w:t>投标人须知前附</w:t>
      </w:r>
      <w:bookmarkEnd w:id="18"/>
      <w:r>
        <w:rPr>
          <w:rFonts w:hint="eastAsia" w:ascii="仿宋" w:hAnsi="仿宋" w:eastAsia="仿宋" w:cs="仿宋"/>
          <w:b/>
          <w:bCs/>
          <w:color w:val="auto"/>
          <w:sz w:val="32"/>
          <w:szCs w:val="32"/>
          <w:lang w:eastAsia="zh-CN"/>
        </w:rPr>
        <w:t>表</w:t>
      </w:r>
    </w:p>
    <w:tbl>
      <w:tblPr>
        <w:tblStyle w:val="25"/>
        <w:tblpPr w:leftFromText="180" w:rightFromText="180" w:vertAnchor="text" w:tblpXSpec="center" w:tblpY="1"/>
        <w:tblOverlap w:val="never"/>
        <w:tblW w:w="10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1726"/>
        <w:gridCol w:w="7399"/>
      </w:tblGrid>
      <w:tr w14:paraId="7FB2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1D7CE7D0">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条款号</w:t>
            </w:r>
          </w:p>
        </w:tc>
        <w:tc>
          <w:tcPr>
            <w:tcW w:w="1726" w:type="dxa"/>
            <w:noWrap w:val="0"/>
            <w:tcMar>
              <w:top w:w="0" w:type="dxa"/>
              <w:left w:w="108" w:type="dxa"/>
              <w:bottom w:w="0" w:type="dxa"/>
              <w:right w:w="108" w:type="dxa"/>
            </w:tcMar>
            <w:vAlign w:val="center"/>
          </w:tcPr>
          <w:p w14:paraId="431F74AE">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条款名称</w:t>
            </w:r>
          </w:p>
        </w:tc>
        <w:tc>
          <w:tcPr>
            <w:tcW w:w="7399" w:type="dxa"/>
            <w:noWrap w:val="0"/>
            <w:tcMar>
              <w:top w:w="0" w:type="dxa"/>
              <w:left w:w="108" w:type="dxa"/>
              <w:bottom w:w="0" w:type="dxa"/>
              <w:right w:w="108" w:type="dxa"/>
            </w:tcMar>
            <w:vAlign w:val="center"/>
          </w:tcPr>
          <w:p w14:paraId="713F67C0">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编列内容</w:t>
            </w:r>
          </w:p>
        </w:tc>
      </w:tr>
      <w:tr w14:paraId="1330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vMerge w:val="restart"/>
            <w:noWrap w:val="0"/>
            <w:tcMar>
              <w:top w:w="0" w:type="dxa"/>
              <w:left w:w="108" w:type="dxa"/>
              <w:bottom w:w="0" w:type="dxa"/>
              <w:right w:w="108" w:type="dxa"/>
            </w:tcMar>
            <w:vAlign w:val="center"/>
          </w:tcPr>
          <w:p w14:paraId="0466B51E">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26" w:type="dxa"/>
            <w:noWrap w:val="0"/>
            <w:tcMar>
              <w:top w:w="0" w:type="dxa"/>
              <w:left w:w="108" w:type="dxa"/>
              <w:bottom w:w="0" w:type="dxa"/>
              <w:right w:w="108" w:type="dxa"/>
            </w:tcMar>
            <w:vAlign w:val="center"/>
          </w:tcPr>
          <w:p w14:paraId="794760DE">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w:t>
            </w:r>
          </w:p>
        </w:tc>
        <w:tc>
          <w:tcPr>
            <w:tcW w:w="7399" w:type="dxa"/>
            <w:noWrap w:val="0"/>
            <w:tcMar>
              <w:top w:w="0" w:type="dxa"/>
              <w:left w:w="108" w:type="dxa"/>
              <w:bottom w:w="0" w:type="dxa"/>
              <w:right w:w="108" w:type="dxa"/>
            </w:tcMar>
            <w:vAlign w:val="center"/>
          </w:tcPr>
          <w:p w14:paraId="6A23A7ED">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昆明市第三人民医院</w:t>
            </w:r>
          </w:p>
        </w:tc>
      </w:tr>
      <w:tr w14:paraId="684D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vMerge w:val="continue"/>
            <w:noWrap w:val="0"/>
            <w:tcMar>
              <w:top w:w="0" w:type="dxa"/>
              <w:left w:w="108" w:type="dxa"/>
              <w:bottom w:w="0" w:type="dxa"/>
              <w:right w:w="108" w:type="dxa"/>
            </w:tcMar>
            <w:vAlign w:val="center"/>
          </w:tcPr>
          <w:p w14:paraId="6107EFFB">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p>
        </w:tc>
        <w:tc>
          <w:tcPr>
            <w:tcW w:w="1726" w:type="dxa"/>
            <w:noWrap w:val="0"/>
            <w:tcMar>
              <w:top w:w="0" w:type="dxa"/>
              <w:left w:w="108" w:type="dxa"/>
              <w:bottom w:w="0" w:type="dxa"/>
              <w:right w:w="108" w:type="dxa"/>
            </w:tcMar>
            <w:vAlign w:val="center"/>
          </w:tcPr>
          <w:p w14:paraId="049B4A6B">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采购代理机构</w:t>
            </w:r>
          </w:p>
        </w:tc>
        <w:tc>
          <w:tcPr>
            <w:tcW w:w="7399" w:type="dxa"/>
            <w:noWrap w:val="0"/>
            <w:tcMar>
              <w:top w:w="0" w:type="dxa"/>
              <w:left w:w="108" w:type="dxa"/>
              <w:bottom w:w="0" w:type="dxa"/>
              <w:right w:w="108" w:type="dxa"/>
            </w:tcMar>
            <w:vAlign w:val="center"/>
          </w:tcPr>
          <w:p w14:paraId="66518D4E">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i w:val="0"/>
                <w:iCs w:val="0"/>
                <w:color w:val="auto"/>
                <w:sz w:val="24"/>
                <w:szCs w:val="24"/>
                <w:lang w:val="en-US" w:eastAsia="zh-CN"/>
              </w:rPr>
              <w:t>云南帮克工程咨询有限公司</w:t>
            </w:r>
          </w:p>
        </w:tc>
      </w:tr>
      <w:tr w14:paraId="7B5E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vMerge w:val="continue"/>
            <w:noWrap w:val="0"/>
            <w:tcMar>
              <w:top w:w="0" w:type="dxa"/>
              <w:left w:w="108" w:type="dxa"/>
              <w:bottom w:w="0" w:type="dxa"/>
              <w:right w:w="108" w:type="dxa"/>
            </w:tcMar>
            <w:vAlign w:val="center"/>
          </w:tcPr>
          <w:p w14:paraId="3892E6F1">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p>
        </w:tc>
        <w:tc>
          <w:tcPr>
            <w:tcW w:w="1726" w:type="dxa"/>
            <w:noWrap w:val="0"/>
            <w:tcMar>
              <w:top w:w="0" w:type="dxa"/>
              <w:left w:w="108" w:type="dxa"/>
              <w:bottom w:w="0" w:type="dxa"/>
              <w:right w:w="108" w:type="dxa"/>
            </w:tcMar>
            <w:vAlign w:val="center"/>
          </w:tcPr>
          <w:p w14:paraId="2BC38619">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项目名称及</w:t>
            </w:r>
            <w:r>
              <w:rPr>
                <w:rFonts w:hint="eastAsia" w:ascii="仿宋" w:hAnsi="仿宋" w:eastAsia="仿宋" w:cs="仿宋"/>
                <w:color w:val="auto"/>
                <w:sz w:val="24"/>
                <w:szCs w:val="24"/>
                <w:lang w:eastAsia="zh-CN"/>
              </w:rPr>
              <w:t>项目编号</w:t>
            </w:r>
          </w:p>
        </w:tc>
        <w:tc>
          <w:tcPr>
            <w:tcW w:w="7399" w:type="dxa"/>
            <w:noWrap w:val="0"/>
            <w:tcMar>
              <w:top w:w="0" w:type="dxa"/>
              <w:left w:w="108" w:type="dxa"/>
              <w:bottom w:w="0" w:type="dxa"/>
              <w:right w:w="108" w:type="dxa"/>
            </w:tcMar>
            <w:vAlign w:val="center"/>
          </w:tcPr>
          <w:p w14:paraId="75A52763">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val="en-US" w:eastAsia="zh-CN"/>
              </w:rPr>
              <w:t>昆明市第三人民医院医疗设备（64排CT)维护和保养服务项目</w:t>
            </w:r>
          </w:p>
          <w:p w14:paraId="433818E8">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lang w:eastAsia="zh-CN"/>
              </w:rPr>
              <w:t>项目编号</w:t>
            </w:r>
            <w:r>
              <w:rPr>
                <w:rFonts w:hint="eastAsia" w:ascii="仿宋" w:hAnsi="仿宋" w:eastAsia="仿宋" w:cs="仿宋"/>
                <w:color w:val="auto"/>
                <w:sz w:val="24"/>
                <w:szCs w:val="24"/>
              </w:rPr>
              <w:t>：</w:t>
            </w:r>
            <w:r>
              <w:rPr>
                <w:rFonts w:hint="eastAsia" w:ascii="仿宋" w:hAnsi="仿宋" w:eastAsia="仿宋" w:cs="仿宋"/>
                <w:i w:val="0"/>
                <w:iCs w:val="0"/>
                <w:caps w:val="0"/>
                <w:color w:val="606060"/>
                <w:spacing w:val="0"/>
                <w:sz w:val="24"/>
                <w:szCs w:val="24"/>
                <w:shd w:val="clear" w:fill="FFFFFF"/>
              </w:rPr>
              <w:t>KMZC2024-G3-03265-YNBK-0025</w:t>
            </w:r>
          </w:p>
        </w:tc>
      </w:tr>
      <w:tr w14:paraId="4A2C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53FDB08A">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726" w:type="dxa"/>
            <w:noWrap w:val="0"/>
            <w:tcMar>
              <w:top w:w="0" w:type="dxa"/>
              <w:left w:w="108" w:type="dxa"/>
              <w:bottom w:w="0" w:type="dxa"/>
              <w:right w:w="108" w:type="dxa"/>
            </w:tcMar>
            <w:vAlign w:val="center"/>
          </w:tcPr>
          <w:p w14:paraId="02D35ED8">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资金情况</w:t>
            </w:r>
          </w:p>
        </w:tc>
        <w:tc>
          <w:tcPr>
            <w:tcW w:w="7399" w:type="dxa"/>
            <w:noWrap w:val="0"/>
            <w:tcMar>
              <w:top w:w="0" w:type="dxa"/>
              <w:left w:w="108" w:type="dxa"/>
              <w:bottom w:w="0" w:type="dxa"/>
              <w:right w:w="108" w:type="dxa"/>
            </w:tcMar>
            <w:vAlign w:val="center"/>
          </w:tcPr>
          <w:p w14:paraId="0DC32C3F">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资金已落实</w:t>
            </w:r>
          </w:p>
        </w:tc>
      </w:tr>
      <w:tr w14:paraId="29AC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253D0AEB">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3.1</w:t>
            </w:r>
          </w:p>
        </w:tc>
        <w:tc>
          <w:tcPr>
            <w:tcW w:w="1726" w:type="dxa"/>
            <w:noWrap w:val="0"/>
            <w:tcMar>
              <w:top w:w="0" w:type="dxa"/>
              <w:left w:w="108" w:type="dxa"/>
              <w:bottom w:w="0" w:type="dxa"/>
              <w:right w:w="108" w:type="dxa"/>
            </w:tcMar>
            <w:vAlign w:val="center"/>
          </w:tcPr>
          <w:p w14:paraId="46678669">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范围</w:t>
            </w:r>
          </w:p>
        </w:tc>
        <w:tc>
          <w:tcPr>
            <w:tcW w:w="7399" w:type="dxa"/>
            <w:noWrap w:val="0"/>
            <w:tcMar>
              <w:top w:w="0" w:type="dxa"/>
              <w:left w:w="108" w:type="dxa"/>
              <w:bottom w:w="0" w:type="dxa"/>
              <w:right w:w="108" w:type="dxa"/>
            </w:tcMar>
            <w:vAlign w:val="center"/>
          </w:tcPr>
          <w:p w14:paraId="46CB3DAE">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具体</w:t>
            </w:r>
            <w:r>
              <w:rPr>
                <w:rFonts w:hint="eastAsia" w:ascii="仿宋" w:hAnsi="仿宋" w:eastAsia="仿宋" w:cs="仿宋"/>
                <w:color w:val="auto"/>
                <w:sz w:val="24"/>
                <w:szCs w:val="24"/>
              </w:rPr>
              <w:t>详见招标文件第五章</w:t>
            </w:r>
            <w:r>
              <w:rPr>
                <w:rFonts w:hint="eastAsia" w:ascii="仿宋" w:hAnsi="仿宋" w:eastAsia="仿宋" w:cs="仿宋"/>
                <w:color w:val="auto"/>
                <w:sz w:val="24"/>
                <w:szCs w:val="24"/>
                <w:lang w:eastAsia="zh-CN"/>
              </w:rPr>
              <w:t>“采购需求及技术参数”</w:t>
            </w:r>
          </w:p>
        </w:tc>
      </w:tr>
      <w:tr w14:paraId="03D1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52D492D4">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1726" w:type="dxa"/>
            <w:noWrap w:val="0"/>
            <w:tcMar>
              <w:top w:w="0" w:type="dxa"/>
              <w:left w:w="108" w:type="dxa"/>
              <w:bottom w:w="0" w:type="dxa"/>
              <w:right w:w="108" w:type="dxa"/>
            </w:tcMar>
            <w:vAlign w:val="center"/>
          </w:tcPr>
          <w:p w14:paraId="3FDCC73A">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合同履行要求</w:t>
            </w:r>
          </w:p>
        </w:tc>
        <w:tc>
          <w:tcPr>
            <w:tcW w:w="7399" w:type="dxa"/>
            <w:noWrap w:val="0"/>
            <w:tcMar>
              <w:top w:w="0" w:type="dxa"/>
              <w:left w:w="108" w:type="dxa"/>
              <w:bottom w:w="0" w:type="dxa"/>
              <w:right w:w="108" w:type="dxa"/>
            </w:tcMar>
            <w:vAlign w:val="center"/>
          </w:tcPr>
          <w:p w14:paraId="5F9B721D">
            <w:pPr>
              <w:keepNext w:val="0"/>
              <w:keepLines w:val="0"/>
              <w:pageBreakBefore w:val="0"/>
              <w:kinsoku/>
              <w:wordWrap/>
              <w:overflowPunct/>
              <w:topLinePunct w:val="0"/>
              <w:autoSpaceDE/>
              <w:autoSpaceDN/>
              <w:bidi w:val="0"/>
              <w:adjustRightInd/>
              <w:snapToGrid/>
              <w:spacing w:line="420" w:lineRule="atLeast"/>
              <w:ind w:firstLine="24" w:firstLineChars="10"/>
              <w:textAlignment w:val="auto"/>
              <w:rPr>
                <w:rFonts w:hint="eastAsia" w:ascii="仿宋" w:hAnsi="仿宋" w:eastAsia="仿宋" w:cs="仿宋"/>
                <w:b w:val="0"/>
                <w:bCs w:val="0"/>
                <w:color w:val="auto"/>
                <w:sz w:val="24"/>
                <w:highlight w:val="none"/>
                <w:u w:val="single"/>
                <w:lang w:eastAsia="zh-CN"/>
              </w:rPr>
            </w:pPr>
            <w:r>
              <w:rPr>
                <w:rFonts w:hint="eastAsia" w:ascii="仿宋" w:hAnsi="仿宋" w:eastAsia="仿宋" w:cs="仿宋"/>
                <w:b/>
                <w:bCs/>
                <w:color w:val="auto"/>
                <w:sz w:val="24"/>
                <w:highlight w:val="none"/>
                <w:u w:val="none"/>
                <w:lang w:eastAsia="zh-CN"/>
              </w:rPr>
              <w:t>合同履行期限：</w:t>
            </w:r>
            <w:r>
              <w:rPr>
                <w:rFonts w:hint="eastAsia" w:ascii="仿宋" w:hAnsi="仿宋" w:eastAsia="仿宋" w:cs="仿宋"/>
                <w:b w:val="0"/>
                <w:bCs w:val="0"/>
                <w:color w:val="auto"/>
                <w:sz w:val="24"/>
                <w:highlight w:val="none"/>
                <w:u w:val="single"/>
                <w:lang w:val="en-US" w:eastAsia="zh-CN"/>
              </w:rPr>
              <w:t>3年期全保，保证具备提供3年以上备件供应及维修服务能力；</w:t>
            </w:r>
          </w:p>
          <w:p w14:paraId="4EE724A9">
            <w:pPr>
              <w:keepNext w:val="0"/>
              <w:keepLines w:val="0"/>
              <w:pageBreakBefore w:val="0"/>
              <w:kinsoku/>
              <w:wordWrap/>
              <w:overflowPunct/>
              <w:topLinePunct w:val="0"/>
              <w:autoSpaceDE/>
              <w:autoSpaceDN/>
              <w:bidi w:val="0"/>
              <w:adjustRightInd/>
              <w:snapToGrid/>
              <w:spacing w:line="420" w:lineRule="atLeast"/>
              <w:ind w:firstLine="24" w:firstLineChars="10"/>
              <w:textAlignment w:val="auto"/>
              <w:rPr>
                <w:rFonts w:hint="default"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eastAsia="zh-CN"/>
              </w:rPr>
              <w:t>合同履行地点：</w:t>
            </w:r>
            <w:r>
              <w:rPr>
                <w:rFonts w:hint="eastAsia" w:ascii="仿宋" w:hAnsi="仿宋" w:eastAsia="仿宋" w:cs="仿宋"/>
                <w:b w:val="0"/>
                <w:bCs w:val="0"/>
                <w:color w:val="auto"/>
                <w:sz w:val="24"/>
                <w:szCs w:val="24"/>
                <w:highlight w:val="none"/>
                <w:u w:val="single"/>
                <w:lang w:val="en-US" w:eastAsia="zh-CN"/>
              </w:rPr>
              <w:t>昆明市第三人民医院（招标人指定地点）。</w:t>
            </w:r>
          </w:p>
        </w:tc>
      </w:tr>
      <w:tr w14:paraId="3E6A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974" w:type="dxa"/>
            <w:noWrap w:val="0"/>
            <w:tcMar>
              <w:top w:w="0" w:type="dxa"/>
              <w:left w:w="108" w:type="dxa"/>
              <w:bottom w:w="0" w:type="dxa"/>
              <w:right w:w="108" w:type="dxa"/>
            </w:tcMar>
            <w:vAlign w:val="center"/>
          </w:tcPr>
          <w:p w14:paraId="2E662E2F">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4.1</w:t>
            </w:r>
          </w:p>
        </w:tc>
        <w:tc>
          <w:tcPr>
            <w:tcW w:w="1726" w:type="dxa"/>
            <w:noWrap w:val="0"/>
            <w:tcMar>
              <w:top w:w="0" w:type="dxa"/>
              <w:left w:w="108" w:type="dxa"/>
              <w:bottom w:w="0" w:type="dxa"/>
              <w:right w:w="108" w:type="dxa"/>
            </w:tcMar>
            <w:vAlign w:val="center"/>
          </w:tcPr>
          <w:p w14:paraId="69BDBCA9">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投标人的</w:t>
            </w:r>
            <w:r>
              <w:rPr>
                <w:rFonts w:hint="eastAsia" w:ascii="仿宋" w:hAnsi="仿宋" w:eastAsia="仿宋" w:cs="仿宋"/>
                <w:color w:val="000000" w:themeColor="text1"/>
                <w:sz w:val="24"/>
                <w:szCs w:val="24"/>
                <w14:textFill>
                  <w14:solidFill>
                    <w14:schemeClr w14:val="tx1"/>
                  </w14:solidFill>
                </w14:textFill>
              </w:rPr>
              <w:t>资格要求</w:t>
            </w:r>
          </w:p>
        </w:tc>
        <w:tc>
          <w:tcPr>
            <w:tcW w:w="7399" w:type="dxa"/>
            <w:noWrap w:val="0"/>
            <w:tcMar>
              <w:top w:w="0" w:type="dxa"/>
              <w:left w:w="108" w:type="dxa"/>
              <w:bottom w:w="0" w:type="dxa"/>
              <w:right w:w="108" w:type="dxa"/>
            </w:tcMar>
            <w:vAlign w:val="center"/>
          </w:tcPr>
          <w:p w14:paraId="70D4B5E6">
            <w:pPr>
              <w:keepNext w:val="0"/>
              <w:keepLines w:val="0"/>
              <w:pageBreakBefore w:val="0"/>
              <w:widowControl w:val="0"/>
              <w:kinsoku/>
              <w:wordWrap/>
              <w:overflowPunct/>
              <w:topLinePunct w:val="0"/>
              <w:autoSpaceDE/>
              <w:autoSpaceDN/>
              <w:bidi w:val="0"/>
              <w:adjustRightInd/>
              <w:snapToGrid/>
              <w:spacing w:line="420" w:lineRule="atLeas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详见第一章招标公告“二、投标人的资格要求”</w:t>
            </w:r>
          </w:p>
        </w:tc>
      </w:tr>
      <w:tr w14:paraId="39E7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1F100454">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w:t>
            </w:r>
          </w:p>
        </w:tc>
        <w:tc>
          <w:tcPr>
            <w:tcW w:w="1726" w:type="dxa"/>
            <w:noWrap w:val="0"/>
            <w:tcMar>
              <w:top w:w="0" w:type="dxa"/>
              <w:left w:w="108" w:type="dxa"/>
              <w:bottom w:w="0" w:type="dxa"/>
              <w:right w:w="108" w:type="dxa"/>
            </w:tcMar>
            <w:vAlign w:val="center"/>
          </w:tcPr>
          <w:p w14:paraId="651F4908">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是否接受联合体投标</w:t>
            </w:r>
          </w:p>
        </w:tc>
        <w:tc>
          <w:tcPr>
            <w:tcW w:w="7399" w:type="dxa"/>
            <w:noWrap w:val="0"/>
            <w:tcMar>
              <w:top w:w="0" w:type="dxa"/>
              <w:left w:w="108" w:type="dxa"/>
              <w:bottom w:w="0" w:type="dxa"/>
              <w:right w:w="108" w:type="dxa"/>
            </w:tcMar>
            <w:vAlign w:val="center"/>
          </w:tcPr>
          <w:p w14:paraId="556449F0">
            <w:pPr>
              <w:keepNext w:val="0"/>
              <w:keepLines w:val="0"/>
              <w:pageBreakBefore w:val="0"/>
              <w:kinsoku/>
              <w:wordWrap/>
              <w:overflowPunct/>
              <w:topLinePunct w:val="0"/>
              <w:autoSpaceDE/>
              <w:autoSpaceDN/>
              <w:bidi w:val="0"/>
              <w:adjustRightInd/>
              <w:snapToGrid/>
              <w:spacing w:line="420" w:lineRule="atLeast"/>
              <w:ind w:firstLine="24" w:firstLineChars="1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□接受    </w:t>
            </w:r>
            <w:r>
              <w:rPr>
                <w:rFonts w:ascii="Wingdings" w:hAnsi="Wingdings" w:eastAsia="仿宋" w:cs="仿宋"/>
                <w:color w:val="auto"/>
                <w:sz w:val="24"/>
                <w:szCs w:val="24"/>
              </w:rPr>
              <w:t>þ</w:t>
            </w:r>
            <w:r>
              <w:rPr>
                <w:rFonts w:hint="eastAsia" w:ascii="仿宋" w:hAnsi="仿宋" w:eastAsia="仿宋" w:cs="仿宋"/>
                <w:color w:val="auto"/>
                <w:sz w:val="24"/>
                <w:szCs w:val="24"/>
              </w:rPr>
              <w:t>不接受</w:t>
            </w:r>
          </w:p>
        </w:tc>
      </w:tr>
      <w:tr w14:paraId="1A5D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974" w:type="dxa"/>
            <w:noWrap w:val="0"/>
            <w:tcMar>
              <w:top w:w="0" w:type="dxa"/>
              <w:left w:w="108" w:type="dxa"/>
              <w:bottom w:w="0" w:type="dxa"/>
              <w:right w:w="108" w:type="dxa"/>
            </w:tcMar>
            <w:vAlign w:val="center"/>
          </w:tcPr>
          <w:p w14:paraId="735A9EA8">
            <w:pPr>
              <w:keepNext w:val="0"/>
              <w:keepLines w:val="0"/>
              <w:pageBreakBefore w:val="0"/>
              <w:kinsoku/>
              <w:overflowPunct/>
              <w:topLinePunct w:val="0"/>
              <w:autoSpaceDE/>
              <w:autoSpaceDN/>
              <w:bidi w:val="0"/>
              <w:spacing w:line="42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5.3</w:t>
            </w:r>
          </w:p>
        </w:tc>
        <w:tc>
          <w:tcPr>
            <w:tcW w:w="1726" w:type="dxa"/>
            <w:noWrap w:val="0"/>
            <w:tcMar>
              <w:top w:w="0" w:type="dxa"/>
              <w:left w:w="108" w:type="dxa"/>
              <w:bottom w:w="0" w:type="dxa"/>
              <w:right w:w="108" w:type="dxa"/>
            </w:tcMar>
            <w:vAlign w:val="center"/>
          </w:tcPr>
          <w:p w14:paraId="4FD71F6F">
            <w:pPr>
              <w:pStyle w:val="12"/>
              <w:keepNext w:val="0"/>
              <w:keepLines w:val="0"/>
              <w:pageBreakBefore w:val="0"/>
              <w:kinsoku/>
              <w:wordWrap/>
              <w:overflowPunct/>
              <w:topLinePunct w:val="0"/>
              <w:autoSpaceDE/>
              <w:autoSpaceDN/>
              <w:bidi w:val="0"/>
              <w:adjustRightInd/>
              <w:snapToGrid/>
              <w:spacing w:line="440" w:lineRule="exact"/>
              <w:ind w:firstLine="24" w:firstLineChars="10"/>
              <w:jc w:val="center"/>
              <w:textAlignment w:val="auto"/>
              <w:rPr>
                <w:rFonts w:hint="eastAsia" w:ascii="仿宋" w:hAnsi="仿宋" w:eastAsia="仿宋" w:cs="仿宋"/>
                <w:color w:val="0000FF"/>
                <w:sz w:val="24"/>
                <w:szCs w:val="24"/>
              </w:rPr>
            </w:pPr>
            <w:r>
              <w:rPr>
                <w:rFonts w:hint="eastAsia" w:ascii="仿宋" w:hAnsi="仿宋" w:eastAsia="仿宋" w:cs="仿宋"/>
                <w:color w:val="auto"/>
                <w:kern w:val="2"/>
                <w:sz w:val="24"/>
                <w:szCs w:val="24"/>
                <w:lang w:val="en-US" w:eastAsia="zh-CN" w:bidi="ar-SA"/>
              </w:rPr>
              <w:t>中标服务费</w:t>
            </w:r>
          </w:p>
        </w:tc>
        <w:tc>
          <w:tcPr>
            <w:tcW w:w="7399" w:type="dxa"/>
            <w:noWrap w:val="0"/>
            <w:tcMar>
              <w:top w:w="0" w:type="dxa"/>
              <w:left w:w="108" w:type="dxa"/>
              <w:bottom w:w="0" w:type="dxa"/>
              <w:right w:w="108" w:type="dxa"/>
            </w:tcMar>
            <w:vAlign w:val="center"/>
          </w:tcPr>
          <w:p w14:paraId="58D6BEB0">
            <w:pPr>
              <w:pStyle w:val="12"/>
              <w:keepLines w:val="0"/>
              <w:pageBreakBefore w:val="0"/>
              <w:kinsoku/>
              <w:wordWrap/>
              <w:overflowPunct/>
              <w:topLinePunct w:val="0"/>
              <w:autoSpaceDE/>
              <w:autoSpaceDN/>
              <w:bidi w:val="0"/>
              <w:snapToGrid/>
              <w:spacing w:line="420" w:lineRule="exact"/>
              <w:rPr>
                <w:rFonts w:hint="eastAsia" w:ascii="仿宋" w:hAnsi="仿宋" w:eastAsia="仿宋" w:cs="仿宋"/>
                <w:color w:val="0000FF"/>
                <w:sz w:val="24"/>
                <w:szCs w:val="24"/>
              </w:rPr>
            </w:pPr>
            <w:r>
              <w:rPr>
                <w:rFonts w:hint="eastAsia" w:ascii="仿宋" w:hAnsi="仿宋" w:eastAsia="仿宋" w:cs="仿宋"/>
                <w:color w:val="auto"/>
                <w:sz w:val="24"/>
                <w:szCs w:val="24"/>
                <w:lang w:val="en-US" w:eastAsia="zh-CN"/>
              </w:rPr>
              <w:t>按照原《国家计委关于印发的通知》（计价格［2002］1980号）收费标准，以项目中标金额为基准，按差额定率累进法计算下浮20%后向中标人收取。</w:t>
            </w:r>
          </w:p>
        </w:tc>
      </w:tr>
      <w:tr w14:paraId="3446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61FBFD8E">
            <w:pPr>
              <w:keepNext w:val="0"/>
              <w:keepLines w:val="0"/>
              <w:pageBreakBefore w:val="0"/>
              <w:kinsoku/>
              <w:overflowPunct/>
              <w:topLinePunct w:val="0"/>
              <w:autoSpaceDE/>
              <w:autoSpaceDN/>
              <w:bidi w:val="0"/>
              <w:spacing w:line="42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7.2</w:t>
            </w:r>
          </w:p>
        </w:tc>
        <w:tc>
          <w:tcPr>
            <w:tcW w:w="1726" w:type="dxa"/>
            <w:noWrap w:val="0"/>
            <w:tcMar>
              <w:top w:w="0" w:type="dxa"/>
              <w:left w:w="108" w:type="dxa"/>
              <w:bottom w:w="0" w:type="dxa"/>
              <w:right w:w="108" w:type="dxa"/>
            </w:tcMar>
            <w:vAlign w:val="center"/>
          </w:tcPr>
          <w:p w14:paraId="34A7F237">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本级财政部门</w:t>
            </w:r>
          </w:p>
        </w:tc>
        <w:tc>
          <w:tcPr>
            <w:tcW w:w="7399" w:type="dxa"/>
            <w:shd w:val="clear" w:color="auto" w:fill="auto"/>
            <w:noWrap w:val="0"/>
            <w:tcMar>
              <w:top w:w="0" w:type="dxa"/>
              <w:left w:w="108" w:type="dxa"/>
              <w:bottom w:w="0" w:type="dxa"/>
              <w:right w:w="108" w:type="dxa"/>
            </w:tcMar>
            <w:vAlign w:val="center"/>
          </w:tcPr>
          <w:p w14:paraId="5787D568">
            <w:pPr>
              <w:keepNext w:val="0"/>
              <w:keepLines w:val="0"/>
              <w:pageBreakBefore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昆明市财政局（政府采购管理处）</w:t>
            </w:r>
          </w:p>
          <w:p w14:paraId="283636D9">
            <w:pPr>
              <w:keepNext w:val="0"/>
              <w:keepLines w:val="0"/>
              <w:pageBreakBefore w:val="0"/>
              <w:kinsoku/>
              <w:wordWrap/>
              <w:overflowPunct/>
              <w:topLinePunct w:val="0"/>
              <w:autoSpaceDE/>
              <w:autoSpaceDN/>
              <w:bidi w:val="0"/>
              <w:adjustRightInd/>
              <w:snapToGrid/>
              <w:spacing w:line="420" w:lineRule="atLeast"/>
              <w:jc w:val="lef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电话：0871-65940985      </w:t>
            </w:r>
          </w:p>
        </w:tc>
      </w:tr>
      <w:tr w14:paraId="4BB5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0943C59A">
            <w:pPr>
              <w:keepNext w:val="0"/>
              <w:keepLines w:val="0"/>
              <w:pageBreakBefore w:val="0"/>
              <w:kinsoku/>
              <w:overflowPunct/>
              <w:topLinePunct w:val="0"/>
              <w:autoSpaceDE/>
              <w:autoSpaceDN/>
              <w:bidi w:val="0"/>
              <w:spacing w:line="42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w:t>
            </w:r>
          </w:p>
        </w:tc>
        <w:tc>
          <w:tcPr>
            <w:tcW w:w="1726" w:type="dxa"/>
            <w:noWrap w:val="0"/>
            <w:tcMar>
              <w:top w:w="0" w:type="dxa"/>
              <w:left w:w="108" w:type="dxa"/>
              <w:bottom w:w="0" w:type="dxa"/>
              <w:right w:w="108" w:type="dxa"/>
            </w:tcMar>
            <w:vAlign w:val="center"/>
          </w:tcPr>
          <w:p w14:paraId="67A21722">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投标人对招标文件提出质疑的时间</w:t>
            </w:r>
          </w:p>
        </w:tc>
        <w:tc>
          <w:tcPr>
            <w:tcW w:w="7399" w:type="dxa"/>
            <w:noWrap w:val="0"/>
            <w:tcMar>
              <w:top w:w="0" w:type="dxa"/>
              <w:left w:w="108" w:type="dxa"/>
              <w:bottom w:w="0" w:type="dxa"/>
              <w:right w:w="108" w:type="dxa"/>
            </w:tcMar>
            <w:vAlign w:val="center"/>
          </w:tcPr>
          <w:p w14:paraId="2A950385">
            <w:pPr>
              <w:keepNext w:val="0"/>
              <w:keepLines w:val="0"/>
              <w:pageBreakBefore w:val="0"/>
              <w:kinsoku/>
              <w:wordWrap/>
              <w:overflowPunct/>
              <w:topLinePunct w:val="0"/>
              <w:autoSpaceDE/>
              <w:autoSpaceDN/>
              <w:bidi w:val="0"/>
              <w:adjustRightInd/>
              <w:snapToGrid/>
              <w:spacing w:line="420" w:lineRule="atLeast"/>
              <w:jc w:val="left"/>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sz w:val="24"/>
                <w:lang w:val="en-US" w:eastAsia="zh-CN"/>
              </w:rPr>
              <w:t>投标人获取招标文件或者招标公告期限届满之日起7个工作日内</w:t>
            </w:r>
          </w:p>
        </w:tc>
      </w:tr>
      <w:tr w14:paraId="74A3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326343B8">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726" w:type="dxa"/>
            <w:noWrap w:val="0"/>
            <w:tcMar>
              <w:top w:w="0" w:type="dxa"/>
              <w:left w:w="108" w:type="dxa"/>
              <w:bottom w:w="0" w:type="dxa"/>
              <w:right w:w="108" w:type="dxa"/>
            </w:tcMar>
            <w:vAlign w:val="center"/>
          </w:tcPr>
          <w:p w14:paraId="058AA0FA">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招标文件的澄清或者修改</w:t>
            </w:r>
          </w:p>
        </w:tc>
        <w:tc>
          <w:tcPr>
            <w:tcW w:w="7399" w:type="dxa"/>
            <w:noWrap w:val="0"/>
            <w:tcMar>
              <w:top w:w="0" w:type="dxa"/>
              <w:left w:w="108" w:type="dxa"/>
              <w:bottom w:w="0" w:type="dxa"/>
              <w:right w:w="108" w:type="dxa"/>
            </w:tcMar>
            <w:vAlign w:val="center"/>
          </w:tcPr>
          <w:p w14:paraId="1B312258">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对招标文件</w:t>
            </w:r>
            <w:r>
              <w:rPr>
                <w:rFonts w:hint="eastAsia" w:ascii="仿宋" w:hAnsi="仿宋" w:eastAsia="仿宋" w:cs="仿宋"/>
                <w:color w:val="auto"/>
                <w:sz w:val="24"/>
                <w:szCs w:val="24"/>
                <w:lang w:eastAsia="zh-CN"/>
              </w:rPr>
              <w:t>作出</w:t>
            </w:r>
            <w:r>
              <w:rPr>
                <w:rFonts w:hint="eastAsia" w:ascii="仿宋" w:hAnsi="仿宋" w:eastAsia="仿宋" w:cs="仿宋"/>
                <w:color w:val="auto"/>
                <w:sz w:val="24"/>
                <w:szCs w:val="24"/>
              </w:rPr>
              <w:t>的澄清或修改，将在</w:t>
            </w:r>
            <w:r>
              <w:rPr>
                <w:rFonts w:hint="eastAsia" w:ascii="仿宋" w:hAnsi="仿宋" w:eastAsia="仿宋" w:cs="仿宋"/>
                <w:b/>
                <w:bCs/>
                <w:color w:val="auto"/>
                <w:sz w:val="24"/>
                <w:szCs w:val="24"/>
                <w:lang w:eastAsia="zh-CN"/>
              </w:rPr>
              <w:t>政采云平台</w:t>
            </w:r>
            <w:r>
              <w:rPr>
                <w:rFonts w:hint="eastAsia" w:ascii="仿宋" w:hAnsi="仿宋" w:eastAsia="仿宋" w:cs="仿宋"/>
                <w:color w:val="auto"/>
                <w:sz w:val="24"/>
                <w:szCs w:val="24"/>
              </w:rPr>
              <w:t>发布</w:t>
            </w:r>
            <w:r>
              <w:rPr>
                <w:rFonts w:hint="eastAsia" w:ascii="仿宋" w:hAnsi="仿宋" w:eastAsia="仿宋" w:cs="仿宋"/>
                <w:color w:val="auto"/>
                <w:sz w:val="24"/>
                <w:szCs w:val="24"/>
                <w:lang w:eastAsia="zh-CN"/>
              </w:rPr>
              <w:t>澄清公告及</w:t>
            </w:r>
            <w:r>
              <w:rPr>
                <w:rFonts w:hint="eastAsia" w:ascii="仿宋" w:hAnsi="仿宋" w:eastAsia="仿宋" w:cs="仿宋"/>
                <w:color w:val="auto"/>
                <w:sz w:val="24"/>
                <w:szCs w:val="24"/>
              </w:rPr>
              <w:t>补遗文件进行说明</w:t>
            </w:r>
            <w:r>
              <w:rPr>
                <w:rFonts w:hint="eastAsia" w:ascii="仿宋" w:hAnsi="仿宋" w:eastAsia="仿宋" w:cs="仿宋"/>
                <w:color w:val="auto"/>
                <w:sz w:val="24"/>
                <w:szCs w:val="24"/>
                <w:lang w:eastAsia="zh-CN"/>
              </w:rPr>
              <w:t>，在云南省政府采购网上发布澄清公告</w:t>
            </w:r>
            <w:r>
              <w:rPr>
                <w:rFonts w:hint="eastAsia" w:ascii="仿宋" w:hAnsi="仿宋" w:eastAsia="仿宋" w:cs="仿宋"/>
                <w:color w:val="auto"/>
                <w:sz w:val="24"/>
                <w:szCs w:val="24"/>
              </w:rPr>
              <w:t>。当招标文件、补遗文件内容前后相互矛盾时，以最后发出的为准</w:t>
            </w:r>
            <w:r>
              <w:rPr>
                <w:rFonts w:hint="eastAsia" w:ascii="仿宋" w:hAnsi="仿宋" w:eastAsia="仿宋" w:cs="仿宋"/>
                <w:color w:val="auto"/>
                <w:sz w:val="24"/>
                <w:szCs w:val="24"/>
                <w:lang w:eastAsia="zh-CN"/>
              </w:rPr>
              <w:t>。</w:t>
            </w:r>
          </w:p>
          <w:p w14:paraId="5E0B84AB">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rPr>
              <w:t>提交投标文件截止时间十五日前</w:t>
            </w:r>
          </w:p>
        </w:tc>
      </w:tr>
      <w:tr w14:paraId="05B1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4CF91D14">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13.1</w:t>
            </w:r>
          </w:p>
        </w:tc>
        <w:tc>
          <w:tcPr>
            <w:tcW w:w="1726" w:type="dxa"/>
            <w:noWrap w:val="0"/>
            <w:tcMar>
              <w:top w:w="0" w:type="dxa"/>
              <w:left w:w="108" w:type="dxa"/>
              <w:bottom w:w="0" w:type="dxa"/>
              <w:right w:w="108" w:type="dxa"/>
            </w:tcMar>
            <w:vAlign w:val="center"/>
          </w:tcPr>
          <w:p w14:paraId="362270AF">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构成投标文件的其他资料</w:t>
            </w:r>
          </w:p>
        </w:tc>
        <w:tc>
          <w:tcPr>
            <w:tcW w:w="7399" w:type="dxa"/>
            <w:noWrap w:val="0"/>
            <w:tcMar>
              <w:top w:w="0" w:type="dxa"/>
              <w:left w:w="108" w:type="dxa"/>
              <w:bottom w:w="0" w:type="dxa"/>
              <w:right w:w="108" w:type="dxa"/>
            </w:tcMar>
            <w:vAlign w:val="center"/>
          </w:tcPr>
          <w:p w14:paraId="6E15D6CD">
            <w:pPr>
              <w:keepNext w:val="0"/>
              <w:keepLines w:val="0"/>
              <w:pageBreakBefore w:val="0"/>
              <w:kinsoku/>
              <w:overflowPunct/>
              <w:topLinePunct w:val="0"/>
              <w:autoSpaceDE/>
              <w:autoSpaceDN/>
              <w:bidi w:val="0"/>
              <w:spacing w:line="420" w:lineRule="exact"/>
              <w:jc w:val="left"/>
              <w:textAlignment w:val="auto"/>
              <w:rPr>
                <w:rFonts w:hint="eastAsia" w:ascii="仿宋" w:hAnsi="仿宋" w:eastAsia="仿宋" w:cs="仿宋"/>
              </w:rPr>
            </w:pPr>
            <w:r>
              <w:rPr>
                <w:rFonts w:hint="eastAsia" w:ascii="仿宋" w:hAnsi="仿宋" w:eastAsia="仿宋" w:cs="仿宋"/>
                <w:color w:val="auto"/>
                <w:sz w:val="24"/>
                <w:szCs w:val="24"/>
              </w:rPr>
              <w:t>招标文件中所涉及到的相关资料及证明文件或投标人认为必须提供的其他相关资料。</w:t>
            </w:r>
          </w:p>
        </w:tc>
      </w:tr>
      <w:tr w14:paraId="561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1434917E">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15.</w:t>
            </w:r>
            <w:r>
              <w:rPr>
                <w:rFonts w:hint="eastAsia" w:ascii="仿宋" w:hAnsi="仿宋" w:eastAsia="仿宋" w:cs="仿宋"/>
                <w:color w:val="auto"/>
                <w:sz w:val="24"/>
                <w:szCs w:val="24"/>
                <w:lang w:val="en-US" w:eastAsia="zh-CN"/>
              </w:rPr>
              <w:t>3</w:t>
            </w:r>
          </w:p>
        </w:tc>
        <w:tc>
          <w:tcPr>
            <w:tcW w:w="1726" w:type="dxa"/>
            <w:noWrap w:val="0"/>
            <w:tcMar>
              <w:top w:w="0" w:type="dxa"/>
              <w:left w:w="108" w:type="dxa"/>
              <w:bottom w:w="0" w:type="dxa"/>
              <w:right w:w="108" w:type="dxa"/>
            </w:tcMar>
            <w:vAlign w:val="center"/>
          </w:tcPr>
          <w:p w14:paraId="37637E35">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最高限价</w:t>
            </w:r>
          </w:p>
        </w:tc>
        <w:tc>
          <w:tcPr>
            <w:tcW w:w="7399" w:type="dxa"/>
            <w:noWrap w:val="0"/>
            <w:tcMar>
              <w:top w:w="0" w:type="dxa"/>
              <w:left w:w="108" w:type="dxa"/>
              <w:bottom w:w="0" w:type="dxa"/>
              <w:right w:w="108" w:type="dxa"/>
            </w:tcMar>
            <w:vAlign w:val="center"/>
          </w:tcPr>
          <w:p w14:paraId="236B0C88">
            <w:pPr>
              <w:keepNext w:val="0"/>
              <w:keepLines w:val="0"/>
              <w:pageBreakBefore w:val="0"/>
              <w:kinsoku/>
              <w:overflowPunct/>
              <w:topLinePunct w:val="0"/>
              <w:autoSpaceDE/>
              <w:autoSpaceDN/>
              <w:bidi w:val="0"/>
              <w:spacing w:line="420" w:lineRule="exact"/>
              <w:textAlignment w:val="auto"/>
              <w:rPr>
                <w:rFonts w:hint="default" w:ascii="仿宋" w:hAnsi="仿宋" w:eastAsia="仿宋" w:cs="仿宋"/>
                <w:b/>
                <w:bCs/>
                <w:color w:val="auto"/>
                <w:sz w:val="24"/>
                <w:szCs w:val="24"/>
                <w:lang w:val="en-US" w:eastAsia="zh-CN"/>
              </w:rPr>
            </w:pPr>
            <w:r>
              <w:rPr>
                <w:rFonts w:hint="default" w:ascii="Arial" w:hAnsi="Arial" w:eastAsia="仿宋" w:cs="Arial"/>
                <w:b/>
                <w:bCs/>
                <w:color w:val="auto"/>
                <w:sz w:val="24"/>
                <w:szCs w:val="24"/>
                <w:lang w:val="en-US" w:eastAsia="zh-CN"/>
              </w:rPr>
              <w:t>¥</w:t>
            </w:r>
            <w:r>
              <w:rPr>
                <w:rFonts w:hint="eastAsia" w:ascii="Arial" w:hAnsi="Arial" w:eastAsia="仿宋" w:cs="Arial"/>
                <w:b/>
                <w:bCs/>
                <w:color w:val="auto"/>
                <w:sz w:val="24"/>
                <w:szCs w:val="24"/>
                <w:lang w:val="en-US" w:eastAsia="zh-CN"/>
              </w:rPr>
              <w:t>95.00</w:t>
            </w:r>
            <w:r>
              <w:rPr>
                <w:rFonts w:hint="default" w:ascii="Arial" w:hAnsi="Arial" w:eastAsia="仿宋" w:cs="Arial"/>
                <w:b/>
                <w:bCs/>
                <w:color w:val="auto"/>
                <w:sz w:val="24"/>
                <w:szCs w:val="24"/>
                <w:lang w:val="en-US" w:eastAsia="zh-CN"/>
              </w:rPr>
              <w:t>万</w:t>
            </w:r>
            <w:r>
              <w:rPr>
                <w:rFonts w:hint="eastAsia" w:ascii="仿宋" w:hAnsi="仿宋" w:eastAsia="仿宋" w:cs="仿宋"/>
                <w:b/>
                <w:bCs/>
                <w:color w:val="auto"/>
                <w:sz w:val="24"/>
                <w:szCs w:val="24"/>
                <w:lang w:val="en-US" w:eastAsia="zh-CN"/>
              </w:rPr>
              <w:t>元（人民币玖拾万元整）</w:t>
            </w:r>
          </w:p>
        </w:tc>
      </w:tr>
      <w:tr w14:paraId="4B13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229479C3">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15.4</w:t>
            </w:r>
          </w:p>
        </w:tc>
        <w:tc>
          <w:tcPr>
            <w:tcW w:w="1726" w:type="dxa"/>
            <w:noWrap w:val="0"/>
            <w:tcMar>
              <w:top w:w="0" w:type="dxa"/>
              <w:left w:w="108" w:type="dxa"/>
              <w:bottom w:w="0" w:type="dxa"/>
              <w:right w:w="108" w:type="dxa"/>
            </w:tcMar>
            <w:vAlign w:val="center"/>
          </w:tcPr>
          <w:p w14:paraId="25BD5D85">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投标报价</w:t>
            </w:r>
          </w:p>
        </w:tc>
        <w:tc>
          <w:tcPr>
            <w:tcW w:w="7399" w:type="dxa"/>
            <w:noWrap w:val="0"/>
            <w:tcMar>
              <w:top w:w="0" w:type="dxa"/>
              <w:left w:w="108" w:type="dxa"/>
              <w:bottom w:w="0" w:type="dxa"/>
              <w:right w:w="108" w:type="dxa"/>
            </w:tcMar>
            <w:vAlign w:val="center"/>
          </w:tcPr>
          <w:p w14:paraId="6F28CCA2">
            <w:pPr>
              <w:pStyle w:val="12"/>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kern w:val="0"/>
                <w:sz w:val="24"/>
                <w:lang w:val="en-US" w:eastAsia="zh-CN"/>
              </w:rPr>
            </w:pPr>
            <w:r>
              <w:rPr>
                <w:rFonts w:hint="eastAsia" w:ascii="仿宋" w:hAnsi="仿宋" w:eastAsia="仿宋" w:cs="仿宋"/>
                <w:color w:val="auto"/>
                <w:sz w:val="24"/>
                <w:lang w:eastAsia="zh-CN"/>
              </w:rPr>
              <w:t>投标人投标报价不得高于采购人</w:t>
            </w:r>
            <w:r>
              <w:rPr>
                <w:rFonts w:hint="eastAsia" w:ascii="仿宋" w:hAnsi="仿宋" w:eastAsia="仿宋" w:cs="仿宋"/>
                <w:color w:val="auto"/>
                <w:sz w:val="24"/>
                <w:lang w:val="en-US" w:eastAsia="zh-CN"/>
              </w:rPr>
              <w:t>最高</w:t>
            </w:r>
            <w:r>
              <w:rPr>
                <w:rFonts w:hint="eastAsia" w:ascii="仿宋" w:hAnsi="仿宋" w:eastAsia="仿宋" w:cs="仿宋"/>
                <w:b w:val="0"/>
                <w:bCs w:val="0"/>
                <w:color w:val="auto"/>
                <w:kern w:val="0"/>
                <w:sz w:val="24"/>
                <w:szCs w:val="24"/>
                <w:lang w:val="en-US" w:eastAsia="zh-CN"/>
              </w:rPr>
              <w:t>限价</w:t>
            </w:r>
            <w:r>
              <w:rPr>
                <w:rFonts w:hint="eastAsia" w:ascii="仿宋" w:hAnsi="仿宋" w:eastAsia="仿宋" w:cs="仿宋"/>
                <w:color w:val="auto"/>
                <w:sz w:val="24"/>
                <w:lang w:eastAsia="zh-CN"/>
              </w:rPr>
              <w:t>，否则按</w:t>
            </w:r>
            <w:r>
              <w:rPr>
                <w:rFonts w:hint="eastAsia" w:ascii="仿宋" w:hAnsi="仿宋" w:eastAsia="仿宋" w:cs="仿宋"/>
                <w:color w:val="auto"/>
                <w:sz w:val="24"/>
                <w:lang w:val="en-US" w:eastAsia="zh-CN"/>
              </w:rPr>
              <w:t>不实质性响应招标文件</w:t>
            </w:r>
            <w:r>
              <w:rPr>
                <w:rFonts w:hint="eastAsia" w:ascii="仿宋" w:hAnsi="仿宋" w:eastAsia="仿宋" w:cs="仿宋"/>
                <w:color w:val="auto"/>
                <w:sz w:val="24"/>
                <w:lang w:eastAsia="zh-CN"/>
              </w:rPr>
              <w:t>处理</w:t>
            </w:r>
            <w:r>
              <w:rPr>
                <w:rFonts w:hint="eastAsia" w:ascii="仿宋" w:hAnsi="仿宋" w:eastAsia="仿宋" w:cs="仿宋"/>
                <w:color w:val="auto"/>
                <w:spacing w:val="10"/>
                <w:sz w:val="24"/>
                <w:lang w:val="en-US" w:eastAsia="zh-CN"/>
              </w:rPr>
              <w:t>。</w:t>
            </w:r>
          </w:p>
        </w:tc>
      </w:tr>
      <w:tr w14:paraId="5359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4283FCA2">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17.1</w:t>
            </w:r>
          </w:p>
        </w:tc>
        <w:tc>
          <w:tcPr>
            <w:tcW w:w="1726" w:type="dxa"/>
            <w:noWrap w:val="0"/>
            <w:tcMar>
              <w:top w:w="0" w:type="dxa"/>
              <w:left w:w="108" w:type="dxa"/>
              <w:bottom w:w="0" w:type="dxa"/>
              <w:right w:w="108" w:type="dxa"/>
            </w:tcMar>
            <w:vAlign w:val="center"/>
          </w:tcPr>
          <w:p w14:paraId="563D043C">
            <w:pPr>
              <w:keepNext w:val="0"/>
              <w:keepLines w:val="0"/>
              <w:pageBreakBefore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7399" w:type="dxa"/>
            <w:noWrap w:val="0"/>
            <w:tcMar>
              <w:top w:w="0" w:type="dxa"/>
              <w:left w:w="108" w:type="dxa"/>
              <w:bottom w:w="0" w:type="dxa"/>
              <w:right w:w="108" w:type="dxa"/>
            </w:tcMar>
            <w:vAlign w:val="center"/>
          </w:tcPr>
          <w:p w14:paraId="2C849727">
            <w:pPr>
              <w:keepNext w:val="0"/>
              <w:keepLines w:val="0"/>
              <w:pageBreakBefore w:val="0"/>
              <w:kinsoku/>
              <w:wordWrap/>
              <w:overflowPunct/>
              <w:topLinePunct w:val="0"/>
              <w:autoSpaceDE/>
              <w:autoSpaceDN/>
              <w:bidi w:val="0"/>
              <w:adjustRightInd/>
              <w:snapToGrid/>
              <w:spacing w:line="420" w:lineRule="atLeas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从递交投标文件截止之日起</w:t>
            </w:r>
            <w:r>
              <w:rPr>
                <w:rFonts w:hint="eastAsia" w:ascii="仿宋" w:hAnsi="仿宋" w:eastAsia="仿宋" w:cs="仿宋"/>
                <w:color w:val="auto"/>
                <w:sz w:val="24"/>
                <w:szCs w:val="24"/>
                <w:u w:val="single"/>
              </w:rPr>
              <w:t>90</w:t>
            </w:r>
            <w:r>
              <w:rPr>
                <w:rFonts w:hint="eastAsia" w:ascii="仿宋" w:hAnsi="仿宋" w:eastAsia="仿宋" w:cs="仿宋"/>
                <w:color w:val="auto"/>
                <w:sz w:val="24"/>
                <w:szCs w:val="24"/>
              </w:rPr>
              <w:t>日历天</w:t>
            </w:r>
          </w:p>
        </w:tc>
      </w:tr>
      <w:tr w14:paraId="392D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74" w:type="dxa"/>
            <w:noWrap w:val="0"/>
            <w:tcMar>
              <w:top w:w="0" w:type="dxa"/>
              <w:left w:w="108" w:type="dxa"/>
              <w:bottom w:w="0" w:type="dxa"/>
              <w:right w:w="108" w:type="dxa"/>
            </w:tcMar>
            <w:vAlign w:val="center"/>
          </w:tcPr>
          <w:p w14:paraId="5B8F55E1">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1726" w:type="dxa"/>
            <w:noWrap w:val="0"/>
            <w:tcMar>
              <w:top w:w="0" w:type="dxa"/>
              <w:left w:w="108" w:type="dxa"/>
              <w:bottom w:w="0" w:type="dxa"/>
              <w:right w:w="108" w:type="dxa"/>
            </w:tcMar>
            <w:vAlign w:val="center"/>
          </w:tcPr>
          <w:p w14:paraId="182EF00B">
            <w:pPr>
              <w:keepNext w:val="0"/>
              <w:keepLines w:val="0"/>
              <w:pageBreakBefore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0000FF"/>
                <w:sz w:val="24"/>
                <w:szCs w:val="24"/>
              </w:rPr>
            </w:pPr>
            <w:r>
              <w:rPr>
                <w:rFonts w:hint="eastAsia" w:ascii="仿宋" w:hAnsi="仿宋" w:eastAsia="仿宋" w:cs="仿宋"/>
                <w:color w:val="auto"/>
                <w:kern w:val="2"/>
                <w:sz w:val="24"/>
                <w:szCs w:val="24"/>
                <w:lang w:val="en-US" w:eastAsia="zh-CN" w:bidi="ar-SA"/>
              </w:rPr>
              <w:t>投标保证金</w:t>
            </w:r>
          </w:p>
        </w:tc>
        <w:tc>
          <w:tcPr>
            <w:tcW w:w="7399" w:type="dxa"/>
            <w:noWrap w:val="0"/>
            <w:tcMar>
              <w:top w:w="0" w:type="dxa"/>
              <w:left w:w="108" w:type="dxa"/>
              <w:bottom w:w="0" w:type="dxa"/>
              <w:right w:w="108" w:type="dxa"/>
            </w:tcMar>
            <w:vAlign w:val="center"/>
          </w:tcPr>
          <w:p w14:paraId="42C42063">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input265 \* MERGEFORMAT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不要求递交投标保证金</w:t>
            </w:r>
          </w:p>
          <w:p w14:paraId="663ED495">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input266 \* MERGEFORMAT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要求递交投标保证金</w:t>
            </w:r>
          </w:p>
          <w:p w14:paraId="5CAA8F25">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一、投标保证金提交方式</w:t>
            </w:r>
          </w:p>
          <w:p w14:paraId="07A2A09D">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保证金递交形式仅接受支票、汇票、本票、保函、银行转账等非现金方式</w:t>
            </w:r>
            <w:r>
              <w:rPr>
                <w:rFonts w:hint="eastAsia" w:ascii="仿宋" w:hAnsi="仿宋" w:eastAsia="仿宋" w:cs="仿宋"/>
                <w:color w:val="auto"/>
                <w:sz w:val="24"/>
                <w:szCs w:val="24"/>
                <w:lang w:eastAsia="zh-CN"/>
              </w:rPr>
              <w:t>。</w:t>
            </w:r>
          </w:p>
          <w:p w14:paraId="2214DB88">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保证金金额</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人民币伍仟元整（小写￥5000.00元）</w:t>
            </w:r>
            <w:r>
              <w:rPr>
                <w:rFonts w:hint="eastAsia" w:ascii="仿宋" w:hAnsi="仿宋" w:eastAsia="仿宋" w:cs="仿宋"/>
                <w:b/>
                <w:bCs/>
                <w:color w:val="auto"/>
                <w:sz w:val="24"/>
                <w:szCs w:val="24"/>
              </w:rPr>
              <w:t>。</w:t>
            </w:r>
          </w:p>
          <w:p w14:paraId="5D42D845">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二、投标保证金的提交时间</w:t>
            </w:r>
          </w:p>
          <w:p w14:paraId="3926CF23">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投标人需在投标截止时间前递交保证金，到账时间以实际到达专用账号时间为准，未在投标截止时间前到账的保证金视为未提交；银行保函必须在规定的投标截止时间前递交。</w:t>
            </w:r>
          </w:p>
          <w:p w14:paraId="17000753">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三、投标保证金的办理程序</w:t>
            </w:r>
          </w:p>
          <w:p w14:paraId="5BBDEA16">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☑（一）采用银行转账方式：</w:t>
            </w:r>
          </w:p>
          <w:p w14:paraId="16FC37B9">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val="en-US" w:eastAsia="zh-CN"/>
              </w:rPr>
              <w:t>昆明市第三人民医院医疗设备（64排CT)维护和保养服务项目</w:t>
            </w:r>
            <w:r>
              <w:rPr>
                <w:rFonts w:hint="eastAsia" w:ascii="仿宋" w:hAnsi="仿宋" w:eastAsia="仿宋" w:cs="仿宋"/>
                <w:color w:val="auto"/>
                <w:sz w:val="24"/>
                <w:szCs w:val="24"/>
              </w:rPr>
              <w:t>，</w:t>
            </w:r>
          </w:p>
          <w:p w14:paraId="123BC720">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户名：</w:t>
            </w:r>
            <w:r>
              <w:rPr>
                <w:rFonts w:hint="eastAsia" w:ascii="仿宋" w:hAnsi="仿宋" w:eastAsia="仿宋" w:cs="仿宋"/>
                <w:color w:val="auto"/>
                <w:sz w:val="24"/>
                <w:szCs w:val="24"/>
                <w:lang w:val="en-US" w:eastAsia="zh-CN"/>
              </w:rPr>
              <w:t>云南帮克工程咨询有限公司</w:t>
            </w:r>
            <w:r>
              <w:rPr>
                <w:rFonts w:hint="eastAsia" w:ascii="仿宋" w:hAnsi="仿宋" w:eastAsia="仿宋" w:cs="仿宋"/>
                <w:color w:val="auto"/>
                <w:sz w:val="24"/>
                <w:szCs w:val="24"/>
              </w:rPr>
              <w:t>，</w:t>
            </w:r>
          </w:p>
          <w:p w14:paraId="688DAFF0">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开户行：</w:t>
            </w:r>
            <w:r>
              <w:rPr>
                <w:rFonts w:hint="eastAsia" w:ascii="仿宋" w:hAnsi="仿宋" w:eastAsia="仿宋" w:cs="仿宋"/>
                <w:color w:val="auto"/>
                <w:sz w:val="24"/>
                <w:szCs w:val="24"/>
                <w:lang w:val="en-US" w:eastAsia="zh-CN"/>
              </w:rPr>
              <w:t>华夏银行股份有限公司昆明翠湖支行</w:t>
            </w:r>
            <w:r>
              <w:rPr>
                <w:rFonts w:hint="eastAsia" w:ascii="仿宋" w:hAnsi="仿宋" w:eastAsia="仿宋" w:cs="仿宋"/>
                <w:color w:val="auto"/>
                <w:sz w:val="24"/>
                <w:szCs w:val="24"/>
              </w:rPr>
              <w:t>，</w:t>
            </w:r>
          </w:p>
          <w:p w14:paraId="17FC8972">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保证金提交账号</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input472 \* MERGEFORMAT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10764000000545604</w:t>
            </w:r>
            <w:r>
              <w:rPr>
                <w:rFonts w:hint="eastAsia" w:ascii="仿宋" w:hAnsi="仿宋" w:eastAsia="仿宋" w:cs="仿宋"/>
                <w:color w:val="auto"/>
                <w:sz w:val="24"/>
                <w:szCs w:val="24"/>
              </w:rPr>
              <w:fldChar w:fldCharType="end"/>
            </w:r>
          </w:p>
          <w:p w14:paraId="73528B73">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AUTOTEXT  input534 \* MERGEFORMAT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（二）采用</w:t>
            </w:r>
            <w:r>
              <w:rPr>
                <w:rFonts w:hint="eastAsia" w:ascii="仿宋" w:hAnsi="仿宋" w:eastAsia="仿宋" w:cs="仿宋"/>
                <w:color w:val="auto"/>
                <w:sz w:val="24"/>
                <w:szCs w:val="24"/>
                <w:lang w:val="en-US" w:eastAsia="zh-CN"/>
              </w:rPr>
              <w:t>其他</w:t>
            </w:r>
            <w:r>
              <w:rPr>
                <w:rFonts w:hint="eastAsia" w:ascii="仿宋" w:hAnsi="仿宋" w:eastAsia="仿宋" w:cs="仿宋"/>
                <w:color w:val="auto"/>
                <w:sz w:val="24"/>
                <w:szCs w:val="24"/>
              </w:rPr>
              <w:t>方式：</w:t>
            </w:r>
          </w:p>
          <w:p w14:paraId="14D52EBB">
            <w:pPr>
              <w:keepNext w:val="0"/>
              <w:keepLines w:val="0"/>
              <w:pageBreakBefore w:val="0"/>
              <w:kinsoku/>
              <w:overflowPunct/>
              <w:topLinePunct w:val="0"/>
              <w:autoSpaceDE/>
              <w:autoSpaceDN/>
              <w:bidi w:val="0"/>
              <w:spacing w:line="420" w:lineRule="exact"/>
              <w:textAlignment w:val="auto"/>
              <w:rPr>
                <w:rFonts w:hint="default" w:ascii="仿宋" w:hAnsi="仿宋" w:eastAsia="仿宋" w:cs="仿宋"/>
                <w:color w:val="auto"/>
                <w:sz w:val="24"/>
                <w:szCs w:val="24"/>
                <w:lang w:val="en-US"/>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val="en-US" w:eastAsia="zh-CN"/>
              </w:rPr>
              <w:t>昆明市第三人民医院医疗设备（64排CT)维护和保养服务项目</w:t>
            </w:r>
          </w:p>
          <w:p w14:paraId="38101CF3">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4"/>
                <w:szCs w:val="24"/>
              </w:rPr>
              <w:t>）注意事项：</w:t>
            </w:r>
          </w:p>
          <w:p w14:paraId="32DF330D">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b/>
                <w:bCs/>
                <w:i w:val="0"/>
                <w:iCs w:val="0"/>
                <w:color w:val="auto"/>
                <w:sz w:val="24"/>
                <w:szCs w:val="24"/>
                <w:highlight w:val="yellow"/>
              </w:rPr>
              <w:t>保证金必须从投标人的法人基本账户划出</w:t>
            </w:r>
            <w:r>
              <w:rPr>
                <w:rFonts w:hint="eastAsia" w:ascii="仿宋" w:hAnsi="仿宋" w:eastAsia="仿宋" w:cs="仿宋"/>
                <w:b/>
                <w:bCs/>
                <w:i w:val="0"/>
                <w:iCs w:val="0"/>
                <w:color w:val="auto"/>
                <w:sz w:val="24"/>
                <w:szCs w:val="24"/>
                <w:highlight w:val="yellow"/>
                <w:lang w:eastAsia="zh-CN"/>
              </w:rPr>
              <w:t>，办理缴纳投标保证金手续时，请务必在银行进账单或电汇单的用途栏或空白栏上注明</w:t>
            </w:r>
            <w:r>
              <w:rPr>
                <w:rFonts w:hint="eastAsia" w:ascii="仿宋" w:hAnsi="仿宋" w:eastAsia="仿宋" w:cs="仿宋"/>
                <w:b/>
                <w:bCs/>
                <w:i w:val="0"/>
                <w:iCs w:val="0"/>
                <w:color w:val="auto"/>
                <w:sz w:val="24"/>
                <w:szCs w:val="24"/>
                <w:highlight w:val="yellow"/>
                <w:lang w:val="en-US" w:eastAsia="zh-CN"/>
              </w:rPr>
              <w:t>所投项目名称</w:t>
            </w:r>
            <w:r>
              <w:rPr>
                <w:rFonts w:hint="eastAsia" w:ascii="仿宋" w:hAnsi="仿宋" w:eastAsia="仿宋" w:cs="仿宋"/>
                <w:b/>
                <w:bCs/>
                <w:i w:val="0"/>
                <w:iCs w:val="0"/>
                <w:color w:val="auto"/>
                <w:sz w:val="24"/>
                <w:szCs w:val="24"/>
                <w:highlight w:val="yellow"/>
                <w:lang w:eastAsia="zh-CN"/>
              </w:rPr>
              <w:t>。</w:t>
            </w:r>
          </w:p>
          <w:p w14:paraId="796EA345">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、保证金到账时间以保证金专用账户实际到账时间为准，未在投标截止时间前到账的保证金无效；</w:t>
            </w:r>
          </w:p>
          <w:p w14:paraId="4E3F4814">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、拒绝私人账户汇款及银行存现。</w:t>
            </w:r>
          </w:p>
          <w:p w14:paraId="73E45851">
            <w:pPr>
              <w:keepNext w:val="0"/>
              <w:keepLines w:val="0"/>
              <w:pageBreakBefore w:val="0"/>
              <w:kinsoku/>
              <w:overflowPunct/>
              <w:topLinePunct w:val="0"/>
              <w:autoSpaceDE/>
              <w:autoSpaceDN/>
              <w:bidi w:val="0"/>
              <w:spacing w:line="420" w:lineRule="exact"/>
              <w:textAlignment w:val="auto"/>
              <w:rPr>
                <w:rFonts w:hint="default" w:ascii="仿宋" w:hAnsi="仿宋" w:eastAsia="仿宋" w:cs="仿宋"/>
                <w:color w:val="0000FF"/>
                <w:sz w:val="24"/>
                <w:szCs w:val="24"/>
                <w:lang w:val="en-US" w:eastAsia="zh-CN"/>
              </w:rPr>
            </w:pPr>
            <w:r>
              <w:rPr>
                <w:rFonts w:hint="eastAsia" w:ascii="仿宋" w:hAnsi="仿宋" w:eastAsia="仿宋" w:cs="仿宋"/>
                <w:color w:val="auto"/>
                <w:sz w:val="24"/>
                <w:szCs w:val="24"/>
              </w:rPr>
              <w:t>请潜在投标人在跨行转账时考虑以下因素：1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按照人民银行相关规定，跨行转账在工作日下午4点半前办理手续，可以保证实时跨行到账；2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跨行转账尽量采用电汇方式。</w:t>
            </w:r>
          </w:p>
        </w:tc>
      </w:tr>
      <w:tr w14:paraId="70D7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974" w:type="dxa"/>
            <w:noWrap w:val="0"/>
            <w:tcMar>
              <w:top w:w="0" w:type="dxa"/>
              <w:left w:w="108" w:type="dxa"/>
              <w:bottom w:w="0" w:type="dxa"/>
              <w:right w:w="108" w:type="dxa"/>
            </w:tcMar>
            <w:vAlign w:val="center"/>
          </w:tcPr>
          <w:p w14:paraId="584C0860">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20.1</w:t>
            </w:r>
          </w:p>
        </w:tc>
        <w:tc>
          <w:tcPr>
            <w:tcW w:w="1726" w:type="dxa"/>
            <w:noWrap w:val="0"/>
            <w:tcMar>
              <w:top w:w="0" w:type="dxa"/>
              <w:left w:w="108" w:type="dxa"/>
              <w:bottom w:w="0" w:type="dxa"/>
              <w:right w:w="108" w:type="dxa"/>
            </w:tcMar>
            <w:vAlign w:val="center"/>
          </w:tcPr>
          <w:p w14:paraId="7E24AA12">
            <w:pPr>
              <w:pStyle w:val="12"/>
              <w:keepNext w:val="0"/>
              <w:keepLines w:val="0"/>
              <w:pageBreakBefore w:val="0"/>
              <w:kinsoku/>
              <w:wordWrap/>
              <w:overflowPunct/>
              <w:topLinePunct w:val="0"/>
              <w:autoSpaceDE/>
              <w:autoSpaceDN/>
              <w:bidi w:val="0"/>
              <w:adjustRightInd/>
              <w:snapToGrid/>
              <w:spacing w:line="440" w:lineRule="exact"/>
              <w:ind w:firstLine="24" w:firstLineChars="10"/>
              <w:jc w:val="center"/>
              <w:textAlignment w:val="auto"/>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rPr>
              <w:t>电子投标文件的递交</w:t>
            </w:r>
          </w:p>
        </w:tc>
        <w:tc>
          <w:tcPr>
            <w:tcW w:w="7399" w:type="dxa"/>
            <w:noWrap w:val="0"/>
            <w:tcMar>
              <w:top w:w="0" w:type="dxa"/>
              <w:left w:w="108" w:type="dxa"/>
              <w:bottom w:w="0" w:type="dxa"/>
              <w:right w:w="108" w:type="dxa"/>
            </w:tcMar>
            <w:vAlign w:val="center"/>
          </w:tcPr>
          <w:p w14:paraId="4A0288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auto"/>
                <w:spacing w:val="-2"/>
                <w:sz w:val="24"/>
                <w:szCs w:val="24"/>
                <w:lang w:val="en-US" w:eastAsia="zh-CN"/>
              </w:rPr>
            </w:pPr>
            <w:r>
              <w:rPr>
                <w:rFonts w:hint="eastAsia" w:ascii="仿宋" w:hAnsi="仿宋" w:eastAsia="仿宋" w:cs="仿宋"/>
                <w:b/>
                <w:bCs/>
                <w:color w:val="auto"/>
                <w:sz w:val="24"/>
              </w:rPr>
              <w:t>电子版文件：</w:t>
            </w:r>
            <w:r>
              <w:rPr>
                <w:rFonts w:hint="eastAsia" w:ascii="仿宋" w:hAnsi="仿宋" w:eastAsia="仿宋" w:cs="仿宋"/>
                <w:bCs/>
                <w:color w:val="auto"/>
                <w:spacing w:val="-2"/>
                <w:sz w:val="24"/>
                <w:szCs w:val="24"/>
                <w:lang w:val="en-US" w:eastAsia="zh-CN"/>
              </w:rPr>
              <w:t>电子投标文件在递交截止时间前上传至“政采云”平台（https://www.zcygov.cn）须在投标截止时间前完成投标文件的电子签章、加密及上传，投标截止时间前未完成投标文件上传的，视为撤回投标文件。</w:t>
            </w:r>
          </w:p>
          <w:p w14:paraId="014A31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rPr>
              <w:t>纸质版文件：</w:t>
            </w:r>
            <w:r>
              <w:rPr>
                <w:rFonts w:hint="eastAsia" w:ascii="仿宋" w:hAnsi="仿宋" w:eastAsia="仿宋" w:cs="仿宋"/>
                <w:bCs/>
                <w:color w:val="auto"/>
                <w:spacing w:val="-2"/>
                <w:sz w:val="24"/>
                <w:szCs w:val="24"/>
                <w:lang w:val="en-US" w:eastAsia="zh-CN"/>
              </w:rPr>
              <w:t>中标人需在签订合同时另提供两套纸质版投标文件给采购人，纸质版投标文件内容与上传的电子投标文件内容一致，并且胶装成册，费用由中标人承担。</w:t>
            </w:r>
          </w:p>
        </w:tc>
      </w:tr>
      <w:tr w14:paraId="1B17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012A84F2">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w:t>
            </w:r>
          </w:p>
        </w:tc>
        <w:tc>
          <w:tcPr>
            <w:tcW w:w="1726" w:type="dxa"/>
            <w:noWrap w:val="0"/>
            <w:tcMar>
              <w:top w:w="0" w:type="dxa"/>
              <w:left w:w="108" w:type="dxa"/>
              <w:bottom w:w="0" w:type="dxa"/>
              <w:right w:w="108" w:type="dxa"/>
            </w:tcMar>
            <w:vAlign w:val="center"/>
          </w:tcPr>
          <w:p w14:paraId="2073B26A">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提交</w:t>
            </w:r>
            <w:r>
              <w:rPr>
                <w:rFonts w:hint="eastAsia" w:ascii="仿宋" w:hAnsi="仿宋" w:eastAsia="仿宋" w:cs="仿宋"/>
                <w:color w:val="auto"/>
                <w:sz w:val="24"/>
                <w:szCs w:val="24"/>
              </w:rPr>
              <w:t>投标文件截止时间</w:t>
            </w:r>
          </w:p>
        </w:tc>
        <w:tc>
          <w:tcPr>
            <w:tcW w:w="7399" w:type="dxa"/>
            <w:noWrap w:val="0"/>
            <w:tcMar>
              <w:top w:w="0" w:type="dxa"/>
              <w:left w:w="108" w:type="dxa"/>
              <w:bottom w:w="0" w:type="dxa"/>
              <w:right w:w="108" w:type="dxa"/>
            </w:tcMar>
            <w:vAlign w:val="center"/>
          </w:tcPr>
          <w:p w14:paraId="200092C1">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highlight w:val="yellow"/>
                <w:lang w:val="en-US" w:eastAsia="zh-CN"/>
              </w:rPr>
              <w:t>年1月8日</w:t>
            </w:r>
            <w:r>
              <w:rPr>
                <w:rFonts w:hint="eastAsia" w:ascii="仿宋" w:hAnsi="仿宋" w:eastAsia="仿宋" w:cs="仿宋"/>
                <w:color w:val="auto"/>
                <w:sz w:val="24"/>
                <w:szCs w:val="24"/>
                <w:lang w:val="en-US" w:eastAsia="zh-CN"/>
              </w:rPr>
              <w:t>14时00分（北京时间）；</w:t>
            </w:r>
          </w:p>
        </w:tc>
      </w:tr>
      <w:tr w14:paraId="41BD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60824437">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w:t>
            </w:r>
          </w:p>
        </w:tc>
        <w:tc>
          <w:tcPr>
            <w:tcW w:w="1726" w:type="dxa"/>
            <w:noWrap w:val="0"/>
            <w:tcMar>
              <w:top w:w="0" w:type="dxa"/>
              <w:left w:w="108" w:type="dxa"/>
              <w:bottom w:w="0" w:type="dxa"/>
              <w:right w:w="108" w:type="dxa"/>
            </w:tcMar>
            <w:vAlign w:val="center"/>
          </w:tcPr>
          <w:p w14:paraId="7D02ABBB">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提交</w:t>
            </w:r>
            <w:r>
              <w:rPr>
                <w:rFonts w:hint="eastAsia" w:ascii="仿宋" w:hAnsi="仿宋" w:eastAsia="仿宋" w:cs="仿宋"/>
                <w:color w:val="auto"/>
                <w:sz w:val="24"/>
                <w:szCs w:val="24"/>
              </w:rPr>
              <w:t>投标文件地点</w:t>
            </w:r>
          </w:p>
        </w:tc>
        <w:tc>
          <w:tcPr>
            <w:tcW w:w="7399" w:type="dxa"/>
            <w:noWrap w:val="0"/>
            <w:tcMar>
              <w:top w:w="0" w:type="dxa"/>
              <w:left w:w="108" w:type="dxa"/>
              <w:bottom w:w="0" w:type="dxa"/>
              <w:right w:w="108" w:type="dxa"/>
            </w:tcMar>
            <w:vAlign w:val="center"/>
          </w:tcPr>
          <w:p w14:paraId="7C50088E">
            <w:pPr>
              <w:keepNext w:val="0"/>
              <w:keepLines/>
              <w:pageBreakBefore w:val="0"/>
              <w:widowControl w:val="0"/>
              <w:kinsoku/>
              <w:wordWrap w:val="0"/>
              <w:overflowPunct/>
              <w:topLinePunct/>
              <w:autoSpaceDE/>
              <w:autoSpaceDN/>
              <w:bidi w:val="0"/>
              <w:adjustRightInd/>
              <w:snapToGrid/>
              <w:spacing w:line="420" w:lineRule="exac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“政采云”平台（https://www.zcygov.cn）</w:t>
            </w:r>
          </w:p>
        </w:tc>
      </w:tr>
      <w:tr w14:paraId="1455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2534210D">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21.3</w:t>
            </w:r>
          </w:p>
        </w:tc>
        <w:tc>
          <w:tcPr>
            <w:tcW w:w="1726" w:type="dxa"/>
            <w:noWrap w:val="0"/>
            <w:tcMar>
              <w:top w:w="0" w:type="dxa"/>
              <w:left w:w="108" w:type="dxa"/>
              <w:bottom w:w="0" w:type="dxa"/>
              <w:right w:w="108" w:type="dxa"/>
            </w:tcMar>
            <w:vAlign w:val="center"/>
          </w:tcPr>
          <w:p w14:paraId="5D0BD258">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投标文件的</w:t>
            </w:r>
          </w:p>
          <w:p w14:paraId="1837FFEC">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退还</w:t>
            </w:r>
          </w:p>
        </w:tc>
        <w:tc>
          <w:tcPr>
            <w:tcW w:w="7399" w:type="dxa"/>
            <w:noWrap w:val="0"/>
            <w:tcMar>
              <w:top w:w="0" w:type="dxa"/>
              <w:left w:w="108" w:type="dxa"/>
              <w:bottom w:w="0" w:type="dxa"/>
              <w:right w:w="108" w:type="dxa"/>
            </w:tcMar>
            <w:vAlign w:val="center"/>
          </w:tcPr>
          <w:p w14:paraId="4E5D3BB9">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ascii="Wingdings" w:hAnsi="Wingdings" w:eastAsia="仿宋" w:cs="仿宋"/>
                <w:color w:val="auto"/>
                <w:sz w:val="24"/>
                <w:szCs w:val="24"/>
              </w:rPr>
              <w:t>þ</w:t>
            </w:r>
            <w:r>
              <w:rPr>
                <w:rFonts w:hint="eastAsia" w:ascii="仿宋" w:hAnsi="仿宋" w:eastAsia="仿宋" w:cs="仿宋"/>
                <w:color w:val="auto"/>
                <w:sz w:val="24"/>
                <w:szCs w:val="24"/>
              </w:rPr>
              <w:t>不予退还   □退还</w:t>
            </w:r>
          </w:p>
        </w:tc>
      </w:tr>
      <w:tr w14:paraId="0FD2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16FA86F9">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22.1</w:t>
            </w:r>
          </w:p>
        </w:tc>
        <w:tc>
          <w:tcPr>
            <w:tcW w:w="1726" w:type="dxa"/>
            <w:noWrap w:val="0"/>
            <w:tcMar>
              <w:top w:w="0" w:type="dxa"/>
              <w:left w:w="108" w:type="dxa"/>
              <w:bottom w:w="0" w:type="dxa"/>
              <w:right w:w="108" w:type="dxa"/>
            </w:tcMar>
            <w:vAlign w:val="center"/>
          </w:tcPr>
          <w:p w14:paraId="310C083C">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开标时间和</w:t>
            </w:r>
          </w:p>
          <w:p w14:paraId="0E001C65">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地点</w:t>
            </w:r>
          </w:p>
        </w:tc>
        <w:tc>
          <w:tcPr>
            <w:tcW w:w="7399" w:type="dxa"/>
            <w:noWrap w:val="0"/>
            <w:tcMar>
              <w:top w:w="0" w:type="dxa"/>
              <w:left w:w="108" w:type="dxa"/>
              <w:bottom w:w="0" w:type="dxa"/>
              <w:right w:w="108" w:type="dxa"/>
            </w:tcMar>
            <w:vAlign w:val="center"/>
          </w:tcPr>
          <w:p w14:paraId="4ED65B46">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开标时间：同</w:t>
            </w:r>
            <w:r>
              <w:rPr>
                <w:rFonts w:hint="eastAsia" w:ascii="仿宋" w:hAnsi="仿宋" w:eastAsia="仿宋" w:cs="仿宋"/>
                <w:color w:val="auto"/>
                <w:sz w:val="24"/>
                <w:szCs w:val="24"/>
                <w:lang w:eastAsia="zh-CN"/>
              </w:rPr>
              <w:t>递交</w:t>
            </w:r>
            <w:r>
              <w:rPr>
                <w:rFonts w:hint="eastAsia" w:ascii="仿宋" w:hAnsi="仿宋" w:eastAsia="仿宋" w:cs="仿宋"/>
                <w:color w:val="auto"/>
                <w:sz w:val="24"/>
                <w:szCs w:val="24"/>
              </w:rPr>
              <w:t>投标文件截止时间；</w:t>
            </w:r>
          </w:p>
          <w:p w14:paraId="67A2AA11">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开标地点：同</w:t>
            </w:r>
            <w:r>
              <w:rPr>
                <w:rFonts w:hint="eastAsia" w:ascii="仿宋" w:hAnsi="仿宋" w:eastAsia="仿宋" w:cs="仿宋"/>
                <w:color w:val="auto"/>
                <w:sz w:val="24"/>
                <w:szCs w:val="24"/>
                <w:lang w:eastAsia="zh-CN"/>
              </w:rPr>
              <w:t>递交</w:t>
            </w:r>
            <w:r>
              <w:rPr>
                <w:rFonts w:hint="eastAsia" w:ascii="仿宋" w:hAnsi="仿宋" w:eastAsia="仿宋" w:cs="仿宋"/>
                <w:color w:val="auto"/>
                <w:sz w:val="24"/>
                <w:szCs w:val="24"/>
              </w:rPr>
              <w:t>投标文件地点。</w:t>
            </w:r>
          </w:p>
        </w:tc>
      </w:tr>
      <w:tr w14:paraId="112A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58A4EB1E">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23.</w:t>
            </w:r>
            <w:r>
              <w:rPr>
                <w:rFonts w:hint="eastAsia" w:ascii="仿宋" w:hAnsi="仿宋" w:eastAsia="仿宋" w:cs="仿宋"/>
                <w:color w:val="auto"/>
                <w:sz w:val="24"/>
                <w:szCs w:val="24"/>
                <w:lang w:val="en-US" w:eastAsia="zh-CN"/>
              </w:rPr>
              <w:t>4</w:t>
            </w:r>
          </w:p>
        </w:tc>
        <w:tc>
          <w:tcPr>
            <w:tcW w:w="1726" w:type="dxa"/>
            <w:noWrap w:val="0"/>
            <w:tcMar>
              <w:top w:w="0" w:type="dxa"/>
              <w:left w:w="108" w:type="dxa"/>
              <w:bottom w:w="0" w:type="dxa"/>
              <w:right w:w="108" w:type="dxa"/>
            </w:tcMar>
            <w:vAlign w:val="center"/>
          </w:tcPr>
          <w:p w14:paraId="6584BEB6">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评标方法</w:t>
            </w:r>
          </w:p>
        </w:tc>
        <w:tc>
          <w:tcPr>
            <w:tcW w:w="7399" w:type="dxa"/>
            <w:noWrap w:val="0"/>
            <w:tcMar>
              <w:top w:w="0" w:type="dxa"/>
              <w:left w:w="108" w:type="dxa"/>
              <w:bottom w:w="0" w:type="dxa"/>
              <w:right w:w="108" w:type="dxa"/>
            </w:tcMar>
            <w:vAlign w:val="center"/>
          </w:tcPr>
          <w:p w14:paraId="6235B227">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□最低评标价法</w:t>
            </w:r>
          </w:p>
          <w:p w14:paraId="5E04227D">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ascii="Wingdings" w:hAnsi="Wingdings" w:eastAsia="仿宋" w:cs="仿宋"/>
                <w:color w:val="auto"/>
                <w:sz w:val="24"/>
                <w:szCs w:val="24"/>
              </w:rPr>
              <w:t>þ</w:t>
            </w:r>
            <w:r>
              <w:rPr>
                <w:rFonts w:hint="eastAsia" w:ascii="仿宋" w:hAnsi="仿宋" w:eastAsia="仿宋" w:cs="仿宋"/>
                <w:color w:val="auto"/>
                <w:sz w:val="24"/>
                <w:szCs w:val="24"/>
              </w:rPr>
              <w:t>综合评分法</w:t>
            </w:r>
          </w:p>
        </w:tc>
      </w:tr>
      <w:tr w14:paraId="1B2B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5462F745">
            <w:pPr>
              <w:keepNext w:val="0"/>
              <w:keepLines w:val="0"/>
              <w:pageBreakBefore w:val="0"/>
              <w:kinsoku/>
              <w:overflowPunct/>
              <w:topLinePunct w:val="0"/>
              <w:autoSpaceDE/>
              <w:autoSpaceDN/>
              <w:bidi w:val="0"/>
              <w:spacing w:line="42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23.6</w:t>
            </w:r>
          </w:p>
        </w:tc>
        <w:tc>
          <w:tcPr>
            <w:tcW w:w="1726" w:type="dxa"/>
            <w:noWrap w:val="0"/>
            <w:tcMar>
              <w:top w:w="0" w:type="dxa"/>
              <w:left w:w="108" w:type="dxa"/>
              <w:bottom w:w="0" w:type="dxa"/>
              <w:right w:w="108" w:type="dxa"/>
            </w:tcMar>
            <w:vAlign w:val="center"/>
          </w:tcPr>
          <w:p w14:paraId="00446154">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核心产品</w:t>
            </w:r>
          </w:p>
        </w:tc>
        <w:tc>
          <w:tcPr>
            <w:tcW w:w="7399" w:type="dxa"/>
            <w:noWrap w:val="0"/>
            <w:tcMar>
              <w:top w:w="0" w:type="dxa"/>
              <w:left w:w="108" w:type="dxa"/>
              <w:bottom w:w="0" w:type="dxa"/>
              <w:right w:w="108" w:type="dxa"/>
            </w:tcMar>
            <w:vAlign w:val="center"/>
          </w:tcPr>
          <w:p w14:paraId="5CD43D3F">
            <w:pPr>
              <w:keepNext w:val="0"/>
              <w:keepLines w:val="0"/>
              <w:pageBreakBefore w:val="0"/>
              <w:kinsoku/>
              <w:overflowPunct/>
              <w:topLinePunct w:val="0"/>
              <w:autoSpaceDE/>
              <w:autoSpaceDN/>
              <w:bidi w:val="0"/>
              <w:spacing w:line="420" w:lineRule="exac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r w14:paraId="1C42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25CCAF5B">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28.1</w:t>
            </w:r>
          </w:p>
        </w:tc>
        <w:tc>
          <w:tcPr>
            <w:tcW w:w="1726" w:type="dxa"/>
            <w:noWrap w:val="0"/>
            <w:tcMar>
              <w:top w:w="0" w:type="dxa"/>
              <w:left w:w="108" w:type="dxa"/>
              <w:bottom w:w="0" w:type="dxa"/>
              <w:right w:w="108" w:type="dxa"/>
            </w:tcMar>
            <w:vAlign w:val="center"/>
          </w:tcPr>
          <w:p w14:paraId="380F98F5">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履约担保</w:t>
            </w:r>
          </w:p>
        </w:tc>
        <w:tc>
          <w:tcPr>
            <w:tcW w:w="7399" w:type="dxa"/>
            <w:noWrap w:val="0"/>
            <w:tcMar>
              <w:top w:w="0" w:type="dxa"/>
              <w:left w:w="108" w:type="dxa"/>
              <w:bottom w:w="0" w:type="dxa"/>
              <w:right w:w="108" w:type="dxa"/>
            </w:tcMar>
            <w:vAlign w:val="center"/>
          </w:tcPr>
          <w:p w14:paraId="0BC6EB90">
            <w:pPr>
              <w:keepNext w:val="0"/>
              <w:keepLines w:val="0"/>
              <w:pageBreakBefore w:val="0"/>
              <w:kinsoku/>
              <w:overflowPunct/>
              <w:topLinePunct w:val="0"/>
              <w:autoSpaceDE/>
              <w:autoSpaceDN/>
              <w:bidi w:val="0"/>
              <w:spacing w:line="420" w:lineRule="exact"/>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否</w:t>
            </w:r>
          </w:p>
        </w:tc>
      </w:tr>
      <w:tr w14:paraId="3FDC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3F1FDF22">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30.1</w:t>
            </w:r>
          </w:p>
        </w:tc>
        <w:tc>
          <w:tcPr>
            <w:tcW w:w="1726" w:type="dxa"/>
            <w:noWrap w:val="0"/>
            <w:tcMar>
              <w:top w:w="0" w:type="dxa"/>
              <w:left w:w="108" w:type="dxa"/>
              <w:bottom w:w="0" w:type="dxa"/>
              <w:right w:w="108" w:type="dxa"/>
            </w:tcMar>
            <w:vAlign w:val="center"/>
          </w:tcPr>
          <w:p w14:paraId="1A224E8C">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备选方案</w:t>
            </w:r>
          </w:p>
        </w:tc>
        <w:tc>
          <w:tcPr>
            <w:tcW w:w="7399" w:type="dxa"/>
            <w:noWrap w:val="0"/>
            <w:tcMar>
              <w:top w:w="0" w:type="dxa"/>
              <w:left w:w="108" w:type="dxa"/>
              <w:bottom w:w="0" w:type="dxa"/>
              <w:right w:w="108" w:type="dxa"/>
            </w:tcMar>
            <w:vAlign w:val="center"/>
          </w:tcPr>
          <w:p w14:paraId="00F7A0E8">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□接受     </w:t>
            </w:r>
            <w:r>
              <w:rPr>
                <w:rFonts w:ascii="Wingdings" w:hAnsi="Wingdings" w:eastAsia="仿宋" w:cs="仿宋"/>
                <w:color w:val="auto"/>
                <w:sz w:val="24"/>
                <w:szCs w:val="24"/>
              </w:rPr>
              <w:t>þ</w:t>
            </w:r>
            <w:r>
              <w:rPr>
                <w:rFonts w:hint="eastAsia" w:ascii="仿宋" w:hAnsi="仿宋" w:eastAsia="仿宋" w:cs="仿宋"/>
                <w:color w:val="auto"/>
                <w:sz w:val="24"/>
                <w:szCs w:val="24"/>
              </w:rPr>
              <w:t>不接受</w:t>
            </w:r>
          </w:p>
          <w:p w14:paraId="72B0E0B4">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（接受备选方案的，应在开标一览表格式及相关报价表中，列出主选方案和备选方案的相关内容）</w:t>
            </w:r>
          </w:p>
        </w:tc>
      </w:tr>
      <w:tr w14:paraId="7363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74" w:type="dxa"/>
            <w:noWrap w:val="0"/>
            <w:tcMar>
              <w:top w:w="0" w:type="dxa"/>
              <w:left w:w="108" w:type="dxa"/>
              <w:bottom w:w="0" w:type="dxa"/>
              <w:right w:w="108" w:type="dxa"/>
            </w:tcMar>
            <w:vAlign w:val="center"/>
          </w:tcPr>
          <w:p w14:paraId="103B9E44">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30.2</w:t>
            </w:r>
          </w:p>
        </w:tc>
        <w:tc>
          <w:tcPr>
            <w:tcW w:w="9125" w:type="dxa"/>
            <w:gridSpan w:val="2"/>
            <w:noWrap w:val="0"/>
            <w:tcMar>
              <w:top w:w="0" w:type="dxa"/>
              <w:left w:w="108" w:type="dxa"/>
              <w:bottom w:w="0" w:type="dxa"/>
              <w:right w:w="108" w:type="dxa"/>
            </w:tcMar>
            <w:vAlign w:val="center"/>
          </w:tcPr>
          <w:p w14:paraId="42DB8631">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需要补充的其他内容</w:t>
            </w:r>
          </w:p>
        </w:tc>
      </w:tr>
      <w:tr w14:paraId="7DD0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06252F40">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9125" w:type="dxa"/>
            <w:gridSpan w:val="2"/>
            <w:noWrap w:val="0"/>
            <w:tcMar>
              <w:top w:w="0" w:type="dxa"/>
              <w:left w:w="108" w:type="dxa"/>
              <w:bottom w:w="0" w:type="dxa"/>
              <w:right w:w="108" w:type="dxa"/>
            </w:tcMar>
            <w:vAlign w:val="center"/>
          </w:tcPr>
          <w:p w14:paraId="67D7DFDA">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lang w:val="en-US" w:eastAsia="zh-CN"/>
              </w:rPr>
            </w:pPr>
            <w:r>
              <w:rPr>
                <w:rFonts w:hint="eastAsia" w:ascii="仿宋" w:hAnsi="仿宋" w:eastAsia="仿宋" w:cs="仿宋"/>
                <w:color w:val="auto"/>
                <w:sz w:val="24"/>
                <w:szCs w:val="24"/>
                <w:highlight w:val="none"/>
                <w:lang w:val="en-US" w:eastAsia="zh-CN"/>
              </w:rPr>
              <w:t>本项目为全流程电子化项目，登录“政采云”平台（https://www.zcygov.cn）</w:t>
            </w:r>
            <w:r>
              <w:rPr>
                <w:rFonts w:hint="eastAsia" w:ascii="仿宋" w:hAnsi="仿宋" w:eastAsia="仿宋" w:cs="仿宋"/>
                <w:color w:val="auto"/>
                <w:sz w:val="24"/>
                <w:szCs w:val="24"/>
                <w:lang w:val="en-US" w:eastAsia="zh-CN"/>
              </w:rPr>
              <w:t>服务系统</w:t>
            </w:r>
            <w:r>
              <w:rPr>
                <w:rFonts w:hint="eastAsia" w:ascii="仿宋" w:hAnsi="仿宋" w:eastAsia="仿宋" w:cs="仿宋"/>
                <w:color w:val="auto"/>
                <w:sz w:val="24"/>
                <w:szCs w:val="24"/>
                <w:highlight w:val="none"/>
                <w:lang w:val="en-US" w:eastAsia="zh-CN"/>
              </w:rPr>
              <w:t>实行在线电子投标，</w:t>
            </w:r>
            <w:r>
              <w:rPr>
                <w:rFonts w:hint="eastAsia" w:ascii="仿宋" w:hAnsi="仿宋" w:eastAsia="仿宋" w:cs="仿宋"/>
                <w:b/>
                <w:bCs/>
                <w:color w:val="auto"/>
                <w:sz w:val="24"/>
                <w:szCs w:val="24"/>
                <w:highlight w:val="none"/>
                <w:lang w:val="en-US" w:eastAsia="zh-CN"/>
              </w:rPr>
              <w:t>投标人无需到开标现场</w:t>
            </w:r>
            <w:r>
              <w:rPr>
                <w:rFonts w:hint="eastAsia" w:ascii="仿宋" w:hAnsi="仿宋" w:eastAsia="仿宋" w:cs="仿宋"/>
                <w:color w:val="auto"/>
                <w:sz w:val="24"/>
                <w:szCs w:val="24"/>
                <w:highlight w:val="none"/>
                <w:lang w:val="en-US" w:eastAsia="zh-CN"/>
              </w:rPr>
              <w:t>。</w:t>
            </w:r>
          </w:p>
        </w:tc>
      </w:tr>
      <w:tr w14:paraId="0359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2A7C938F">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9125" w:type="dxa"/>
            <w:gridSpan w:val="2"/>
            <w:noWrap w:val="0"/>
            <w:tcMar>
              <w:top w:w="0" w:type="dxa"/>
              <w:left w:w="108" w:type="dxa"/>
              <w:bottom w:w="0" w:type="dxa"/>
              <w:right w:w="108" w:type="dxa"/>
            </w:tcMar>
            <w:vAlign w:val="center"/>
          </w:tcPr>
          <w:p w14:paraId="6D399447">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样品：本项目</w:t>
            </w:r>
            <w:r>
              <w:rPr>
                <w:rFonts w:ascii="Wingdings" w:hAnsi="Wingdings" w:eastAsia="仿宋" w:cs="仿宋"/>
                <w:color w:val="auto"/>
                <w:sz w:val="24"/>
                <w:szCs w:val="24"/>
              </w:rPr>
              <w:t>þ</w:t>
            </w:r>
            <w:r>
              <w:rPr>
                <w:rFonts w:hint="eastAsia" w:ascii="仿宋" w:hAnsi="仿宋" w:eastAsia="仿宋" w:cs="仿宋"/>
                <w:color w:val="auto"/>
                <w:sz w:val="24"/>
                <w:szCs w:val="24"/>
              </w:rPr>
              <w:t xml:space="preserve">不要求提供样品 </w:t>
            </w:r>
          </w:p>
          <w:p w14:paraId="1C3A90EB">
            <w:pPr>
              <w:keepNext w:val="0"/>
              <w:keepLines w:val="0"/>
              <w:pageBreakBefore w:val="0"/>
              <w:kinsoku/>
              <w:overflowPunct/>
              <w:topLinePunct w:val="0"/>
              <w:autoSpaceDE/>
              <w:autoSpaceDN/>
              <w:bidi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ascii="Wingdings" w:hAnsi="Wingdings" w:eastAsia="仿宋" w:cs="仿宋"/>
                <w:color w:val="auto"/>
                <w:sz w:val="24"/>
                <w:szCs w:val="24"/>
              </w:rPr>
              <w:t>¨</w:t>
            </w:r>
            <w:r>
              <w:rPr>
                <w:rFonts w:hint="eastAsia" w:ascii="仿宋" w:hAnsi="仿宋" w:eastAsia="仿宋" w:cs="仿宋"/>
                <w:color w:val="auto"/>
                <w:sz w:val="24"/>
                <w:szCs w:val="24"/>
              </w:rPr>
              <w:t xml:space="preserve">要求提供样品     </w:t>
            </w:r>
          </w:p>
        </w:tc>
      </w:tr>
      <w:tr w14:paraId="611D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7F6560C5">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30.3</w:t>
            </w:r>
          </w:p>
        </w:tc>
        <w:tc>
          <w:tcPr>
            <w:tcW w:w="9125" w:type="dxa"/>
            <w:gridSpan w:val="2"/>
            <w:noWrap w:val="0"/>
            <w:tcMar>
              <w:top w:w="0" w:type="dxa"/>
              <w:left w:w="108" w:type="dxa"/>
              <w:bottom w:w="0" w:type="dxa"/>
              <w:right w:w="108" w:type="dxa"/>
            </w:tcMar>
            <w:vAlign w:val="center"/>
          </w:tcPr>
          <w:p w14:paraId="4285D154">
            <w:pPr>
              <w:keepNext w:val="0"/>
              <w:keepLines w:val="0"/>
              <w:pageBreakBefore w:val="0"/>
              <w:widowControl w:val="0"/>
              <w:kinsoku/>
              <w:wordWrap/>
              <w:overflowPunct/>
              <w:topLinePunct w:val="0"/>
              <w:autoSpaceDE/>
              <w:autoSpaceDN/>
              <w:bidi w:val="0"/>
              <w:adjustRightInd/>
              <w:snapToGrid/>
              <w:spacing w:line="420" w:lineRule="exact"/>
              <w:ind w:firstLine="24" w:firstLineChars="1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不专门安排时间进行现场踏勘，</w:t>
            </w:r>
            <w:r>
              <w:rPr>
                <w:rFonts w:hint="eastAsia" w:ascii="仿宋" w:hAnsi="仿宋" w:eastAsia="仿宋" w:cs="仿宋"/>
                <w:color w:val="auto"/>
                <w:sz w:val="24"/>
                <w:szCs w:val="24"/>
                <w:lang w:eastAsia="zh-CN"/>
              </w:rPr>
              <w:t>投标人可自行现场踏勘，</w:t>
            </w:r>
            <w:r>
              <w:rPr>
                <w:rFonts w:hint="eastAsia" w:ascii="仿宋" w:hAnsi="仿宋" w:eastAsia="仿宋" w:cs="仿宋"/>
                <w:color w:val="auto"/>
                <w:sz w:val="24"/>
                <w:szCs w:val="24"/>
              </w:rPr>
              <w:t>现场踏勘所发生的费用和安全问题由投标人自行负责。</w:t>
            </w:r>
          </w:p>
          <w:p w14:paraId="75324A04">
            <w:pPr>
              <w:keepNext w:val="0"/>
              <w:keepLines w:val="0"/>
              <w:pageBreakBefore w:val="0"/>
              <w:widowControl w:val="0"/>
              <w:kinsoku/>
              <w:wordWrap/>
              <w:overflowPunct/>
              <w:topLinePunct w:val="0"/>
              <w:autoSpaceDE/>
              <w:autoSpaceDN/>
              <w:bidi w:val="0"/>
              <w:adjustRightInd/>
              <w:snapToGrid/>
              <w:spacing w:line="420" w:lineRule="exact"/>
              <w:ind w:firstLine="24" w:firstLineChars="1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如采购人</w:t>
            </w:r>
            <w:r>
              <w:rPr>
                <w:rFonts w:hint="eastAsia" w:ascii="仿宋" w:hAnsi="仿宋" w:eastAsia="仿宋" w:cs="仿宋"/>
                <w:color w:val="auto"/>
                <w:sz w:val="24"/>
                <w:szCs w:val="24"/>
              </w:rPr>
              <w:t>向投标人提供有关现场的数据和资料，是</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现有的能被投标人利用的资料，</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对投标人做出的任何推论、理解和结论均不负责任。</w:t>
            </w:r>
          </w:p>
        </w:tc>
      </w:tr>
      <w:tr w14:paraId="522E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 w:type="dxa"/>
            <w:noWrap w:val="0"/>
            <w:tcMar>
              <w:top w:w="0" w:type="dxa"/>
              <w:left w:w="108" w:type="dxa"/>
              <w:bottom w:w="0" w:type="dxa"/>
              <w:right w:w="108" w:type="dxa"/>
            </w:tcMar>
            <w:vAlign w:val="center"/>
          </w:tcPr>
          <w:p w14:paraId="68F65616">
            <w:pPr>
              <w:keepNext w:val="0"/>
              <w:keepLines w:val="0"/>
              <w:pageBreakBefore w:val="0"/>
              <w:kinsoku/>
              <w:overflowPunct/>
              <w:topLinePunct w:val="0"/>
              <w:autoSpaceDE/>
              <w:autoSpaceDN/>
              <w:bidi w:val="0"/>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32</w:t>
            </w:r>
          </w:p>
        </w:tc>
        <w:tc>
          <w:tcPr>
            <w:tcW w:w="9125" w:type="dxa"/>
            <w:gridSpan w:val="2"/>
            <w:noWrap w:val="0"/>
            <w:tcMar>
              <w:top w:w="0" w:type="dxa"/>
              <w:left w:w="108" w:type="dxa"/>
              <w:bottom w:w="0" w:type="dxa"/>
              <w:right w:w="108" w:type="dxa"/>
            </w:tcMar>
            <w:vAlign w:val="center"/>
          </w:tcPr>
          <w:p w14:paraId="302BC075">
            <w:pPr>
              <w:keepNext w:val="0"/>
              <w:keepLines w:val="0"/>
              <w:pageBreakBefore w:val="0"/>
              <w:widowControl w:val="0"/>
              <w:kinsoku/>
              <w:wordWrap/>
              <w:overflowPunct/>
              <w:topLinePunct w:val="0"/>
              <w:autoSpaceDE/>
              <w:autoSpaceDN/>
              <w:bidi w:val="0"/>
              <w:adjustRightInd/>
              <w:snapToGrid/>
              <w:spacing w:line="420" w:lineRule="exact"/>
              <w:ind w:firstLine="24" w:firstLineChars="1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关于印发中小企业划型标准规定的通知》(工信部联企业〔2011〕300号)、《政府采购促进中小企业发展管理办法》（财库[2020]46号）、《财政部关于进一步加大政府采购支持中小企业力度的通知》（财库[2022]19号）、</w:t>
            </w:r>
            <w:r>
              <w:rPr>
                <w:rFonts w:hint="eastAsia" w:ascii="仿宋" w:hAnsi="仿宋" w:eastAsia="仿宋" w:cs="仿宋"/>
                <w:color w:val="auto"/>
                <w:kern w:val="0"/>
                <w:sz w:val="24"/>
                <w:szCs w:val="24"/>
                <w:lang w:val="en-US" w:eastAsia="zh-CN" w:bidi="ar-SA"/>
              </w:rPr>
              <w:t>《财政部关于加强财税支持政策落实促进中小企业高质量发展的通知》（财预〔2023〕76号）、</w:t>
            </w:r>
            <w:r>
              <w:rPr>
                <w:rFonts w:hint="eastAsia" w:ascii="仿宋" w:hAnsi="仿宋" w:eastAsia="仿宋" w:cs="仿宋"/>
                <w:color w:val="auto"/>
                <w:sz w:val="24"/>
                <w:szCs w:val="24"/>
                <w:lang w:val="en-US" w:eastAsia="zh-CN"/>
              </w:rPr>
              <w:t>《财政部、司法部关于政府采购支持监狱企业发展有关问题的通知》(财库[2014]68号)、《关于促进残疾人就业政府采购政策的通知》（财库[2017]141号）。扶持中小企业政策：针对</w:t>
            </w:r>
            <w:r>
              <w:rPr>
                <w:rFonts w:hint="eastAsia" w:ascii="仿宋" w:hAnsi="仿宋" w:eastAsia="仿宋" w:cs="仿宋"/>
                <w:b/>
                <w:bCs/>
                <w:color w:val="auto"/>
                <w:sz w:val="24"/>
                <w:szCs w:val="24"/>
                <w:lang w:val="en-US" w:eastAsia="zh-CN"/>
              </w:rPr>
              <w:t>小微企业</w:t>
            </w:r>
            <w:r>
              <w:rPr>
                <w:rFonts w:hint="eastAsia" w:ascii="仿宋" w:hAnsi="仿宋" w:eastAsia="仿宋" w:cs="仿宋"/>
                <w:color w:val="auto"/>
                <w:sz w:val="24"/>
                <w:szCs w:val="24"/>
                <w:lang w:val="en-US" w:eastAsia="zh-CN"/>
              </w:rPr>
              <w:t>报价给予10%的扣除，用扣除后的价格参加评审。监狱企业、残疾人福利性单位提供的产品视同小型、微型企业。</w:t>
            </w:r>
          </w:p>
          <w:p w14:paraId="7278887F">
            <w:pPr>
              <w:keepNext w:val="0"/>
              <w:keepLines w:val="0"/>
              <w:pageBreakBefore w:val="0"/>
              <w:widowControl w:val="0"/>
              <w:kinsoku/>
              <w:wordWrap/>
              <w:overflowPunct/>
              <w:topLinePunct w:val="0"/>
              <w:autoSpaceDE/>
              <w:autoSpaceDN/>
              <w:bidi w:val="0"/>
              <w:adjustRightInd/>
              <w:snapToGrid/>
              <w:spacing w:line="420" w:lineRule="exact"/>
              <w:ind w:firstLine="24" w:firstLineChars="1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本项目招标类型为</w:t>
            </w:r>
            <w:r>
              <w:rPr>
                <w:rFonts w:hint="eastAsia" w:ascii="仿宋" w:hAnsi="仿宋" w:eastAsia="仿宋" w:cs="仿宋"/>
                <w:color w:val="auto"/>
                <w:sz w:val="24"/>
                <w:szCs w:val="24"/>
                <w:u w:val="single"/>
                <w:lang w:val="en-US" w:eastAsia="zh-CN"/>
              </w:rPr>
              <w:t xml:space="preserve"> </w:t>
            </w:r>
            <w:r>
              <w:rPr>
                <w:rFonts w:hint="eastAsia" w:ascii="宋体" w:hAnsi="宋体" w:cs="宋体"/>
                <w:b/>
                <w:bCs/>
                <w:color w:val="auto"/>
                <w:sz w:val="24"/>
                <w:szCs w:val="24"/>
                <w:highlight w:val="none"/>
                <w:u w:val="single"/>
                <w:lang w:val="en-US" w:eastAsia="zh-CN"/>
              </w:rPr>
              <w:t>服务</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tc>
      </w:tr>
    </w:tbl>
    <w:p w14:paraId="0B97DDA1">
      <w:pPr>
        <w:rPr>
          <w:rFonts w:hint="eastAsia" w:ascii="仿宋" w:hAnsi="仿宋" w:eastAsia="仿宋" w:cs="仿宋"/>
          <w:b/>
          <w:color w:val="auto"/>
          <w:sz w:val="28"/>
          <w:szCs w:val="21"/>
        </w:rPr>
      </w:pPr>
      <w:bookmarkStart w:id="19" w:name="_Toc13399"/>
      <w:r>
        <w:rPr>
          <w:rFonts w:hint="eastAsia" w:ascii="仿宋" w:hAnsi="仿宋" w:eastAsia="仿宋" w:cs="仿宋"/>
          <w:b/>
          <w:color w:val="auto"/>
          <w:sz w:val="28"/>
          <w:szCs w:val="21"/>
        </w:rPr>
        <w:br w:type="page"/>
      </w:r>
    </w:p>
    <w:p w14:paraId="340366D7">
      <w:pPr>
        <w:pStyle w:val="12"/>
        <w:spacing w:line="360" w:lineRule="auto"/>
        <w:ind w:left="283" w:hanging="284" w:hangingChars="101"/>
        <w:jc w:val="center"/>
        <w:outlineLvl w:val="1"/>
        <w:rPr>
          <w:rFonts w:hint="eastAsia" w:ascii="仿宋" w:hAnsi="仿宋" w:eastAsia="仿宋" w:cs="仿宋"/>
          <w:b/>
          <w:color w:val="auto"/>
          <w:sz w:val="28"/>
          <w:szCs w:val="21"/>
        </w:rPr>
      </w:pPr>
      <w:r>
        <w:rPr>
          <w:rFonts w:hint="eastAsia" w:ascii="仿宋" w:hAnsi="仿宋" w:eastAsia="仿宋" w:cs="仿宋"/>
          <w:b/>
          <w:color w:val="auto"/>
          <w:sz w:val="28"/>
          <w:szCs w:val="21"/>
        </w:rPr>
        <w:t>一、总  则</w:t>
      </w:r>
      <w:bookmarkEnd w:id="19"/>
    </w:p>
    <w:p w14:paraId="4CE2CAE9">
      <w:pPr>
        <w:pStyle w:val="12"/>
        <w:pageBreakBefore w:val="0"/>
        <w:kinsoku/>
        <w:topLinePunct w:val="0"/>
        <w:bidi w:val="0"/>
        <w:snapToGrid/>
        <w:spacing w:line="420" w:lineRule="exact"/>
        <w:ind w:left="243" w:leftChars="0" w:hanging="243" w:hangingChars="101"/>
        <w:jc w:val="both"/>
        <w:rPr>
          <w:rFonts w:hint="eastAsia" w:ascii="仿宋" w:hAnsi="仿宋" w:eastAsia="仿宋" w:cs="仿宋"/>
          <w:bCs/>
          <w:color w:val="auto"/>
          <w:sz w:val="24"/>
        </w:rPr>
      </w:pPr>
      <w:r>
        <w:rPr>
          <w:rFonts w:hint="eastAsia" w:ascii="仿宋" w:hAnsi="仿宋" w:eastAsia="仿宋" w:cs="仿宋"/>
          <w:b/>
          <w:color w:val="auto"/>
          <w:sz w:val="24"/>
        </w:rPr>
        <w:t>1. 采购人、采购代理机构、项目名称及</w:t>
      </w:r>
      <w:r>
        <w:rPr>
          <w:rFonts w:hint="eastAsia" w:ascii="仿宋" w:hAnsi="仿宋" w:eastAsia="仿宋" w:cs="仿宋"/>
          <w:b/>
          <w:color w:val="auto"/>
          <w:sz w:val="24"/>
          <w:lang w:eastAsia="zh-CN"/>
        </w:rPr>
        <w:t>项目编号、包段名称及包段编号</w:t>
      </w:r>
      <w:r>
        <w:rPr>
          <w:rFonts w:hint="eastAsia" w:ascii="仿宋" w:hAnsi="仿宋" w:eastAsia="仿宋" w:cs="仿宋"/>
          <w:bCs/>
          <w:color w:val="auto"/>
          <w:sz w:val="24"/>
        </w:rPr>
        <w:t>，详见招标文件“投标人须知前附表”。</w:t>
      </w:r>
    </w:p>
    <w:p w14:paraId="43136A99">
      <w:pPr>
        <w:pageBreakBefore w:val="0"/>
        <w:kinsoku/>
        <w:topLinePunct w:val="0"/>
        <w:bidi w:val="0"/>
        <w:snapToGrid/>
        <w:spacing w:line="420" w:lineRule="exact"/>
        <w:ind w:left="0" w:leftChars="0"/>
        <w:jc w:val="both"/>
        <w:rPr>
          <w:rFonts w:hint="eastAsia" w:ascii="仿宋" w:hAnsi="仿宋" w:eastAsia="仿宋" w:cs="仿宋"/>
          <w:bCs/>
          <w:color w:val="auto"/>
          <w:sz w:val="24"/>
          <w:lang w:eastAsia="zh-CN"/>
        </w:rPr>
      </w:pPr>
      <w:r>
        <w:rPr>
          <w:rFonts w:hint="eastAsia" w:ascii="仿宋" w:hAnsi="仿宋" w:eastAsia="仿宋" w:cs="仿宋"/>
          <w:b/>
          <w:color w:val="auto"/>
          <w:sz w:val="24"/>
        </w:rPr>
        <w:t>2. 资金</w:t>
      </w:r>
      <w:r>
        <w:rPr>
          <w:rFonts w:hint="eastAsia" w:ascii="仿宋" w:hAnsi="仿宋" w:eastAsia="仿宋" w:cs="仿宋"/>
          <w:b/>
          <w:color w:val="auto"/>
          <w:sz w:val="24"/>
          <w:lang w:eastAsia="zh-CN"/>
        </w:rPr>
        <w:t>情况</w:t>
      </w:r>
    </w:p>
    <w:p w14:paraId="7EA61A1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bCs/>
          <w:color w:val="auto"/>
          <w:sz w:val="24"/>
        </w:rPr>
      </w:pPr>
      <w:r>
        <w:rPr>
          <w:rFonts w:hint="eastAsia" w:ascii="仿宋" w:hAnsi="仿宋" w:eastAsia="仿宋" w:cs="仿宋"/>
          <w:bCs/>
          <w:color w:val="auto"/>
          <w:sz w:val="24"/>
        </w:rPr>
        <w:t>2.1“投标人须知前附表”中所述的采购资金，用于采购“</w:t>
      </w:r>
      <w:r>
        <w:rPr>
          <w:rFonts w:hint="eastAsia" w:ascii="仿宋" w:hAnsi="仿宋" w:eastAsia="仿宋" w:cs="仿宋"/>
          <w:bCs/>
          <w:color w:val="auto"/>
          <w:sz w:val="24"/>
          <w:lang w:eastAsia="zh-CN"/>
        </w:rPr>
        <w:t>采购需求及技术参数</w:t>
      </w:r>
      <w:r>
        <w:rPr>
          <w:rFonts w:hint="eastAsia" w:ascii="仿宋" w:hAnsi="仿宋" w:eastAsia="仿宋" w:cs="仿宋"/>
          <w:bCs/>
          <w:color w:val="auto"/>
          <w:sz w:val="24"/>
        </w:rPr>
        <w:t>”所列货物</w:t>
      </w:r>
      <w:r>
        <w:rPr>
          <w:rFonts w:hint="eastAsia" w:ascii="仿宋" w:hAnsi="仿宋" w:eastAsia="仿宋" w:cs="仿宋"/>
          <w:bCs/>
          <w:color w:val="auto"/>
          <w:sz w:val="24"/>
          <w:lang w:eastAsia="zh-CN"/>
        </w:rPr>
        <w:t>或服务</w:t>
      </w:r>
      <w:r>
        <w:rPr>
          <w:rFonts w:hint="eastAsia" w:ascii="仿宋" w:hAnsi="仿宋" w:eastAsia="仿宋" w:cs="仿宋"/>
          <w:bCs/>
          <w:color w:val="auto"/>
          <w:sz w:val="24"/>
        </w:rPr>
        <w:t>。</w:t>
      </w:r>
    </w:p>
    <w:p w14:paraId="7AA42BB4">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 xml:space="preserve">3. </w:t>
      </w:r>
      <w:r>
        <w:rPr>
          <w:rFonts w:hint="eastAsia" w:ascii="仿宋" w:hAnsi="仿宋" w:eastAsia="仿宋" w:cs="仿宋"/>
          <w:b/>
          <w:color w:val="auto"/>
          <w:sz w:val="24"/>
          <w:lang w:eastAsia="zh-CN"/>
        </w:rPr>
        <w:t>采购</w:t>
      </w:r>
      <w:r>
        <w:rPr>
          <w:rFonts w:hint="eastAsia" w:ascii="仿宋" w:hAnsi="仿宋" w:eastAsia="仿宋" w:cs="仿宋"/>
          <w:b/>
          <w:color w:val="auto"/>
          <w:sz w:val="24"/>
        </w:rPr>
        <w:t>范围</w:t>
      </w:r>
    </w:p>
    <w:p w14:paraId="7B28943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bCs/>
          <w:color w:val="auto"/>
          <w:sz w:val="24"/>
        </w:rPr>
      </w:pPr>
      <w:r>
        <w:rPr>
          <w:rFonts w:hint="eastAsia" w:ascii="仿宋" w:hAnsi="仿宋" w:eastAsia="仿宋" w:cs="仿宋"/>
          <w:bCs/>
          <w:color w:val="auto"/>
          <w:sz w:val="24"/>
        </w:rPr>
        <w:t>3.1 本项目</w:t>
      </w:r>
      <w:r>
        <w:rPr>
          <w:rFonts w:hint="eastAsia" w:ascii="仿宋" w:hAnsi="仿宋" w:eastAsia="仿宋" w:cs="仿宋"/>
          <w:bCs/>
          <w:color w:val="auto"/>
          <w:sz w:val="24"/>
          <w:lang w:eastAsia="zh-CN"/>
        </w:rPr>
        <w:t>采购</w:t>
      </w:r>
      <w:r>
        <w:rPr>
          <w:rFonts w:hint="eastAsia" w:ascii="仿宋" w:hAnsi="仿宋" w:eastAsia="仿宋" w:cs="仿宋"/>
          <w:bCs/>
          <w:color w:val="auto"/>
          <w:sz w:val="24"/>
        </w:rPr>
        <w:t>范围：见“投标人须知前附表”。</w:t>
      </w:r>
    </w:p>
    <w:p w14:paraId="60EB9FB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bCs/>
          <w:color w:val="auto"/>
          <w:sz w:val="24"/>
        </w:rPr>
      </w:pPr>
      <w:r>
        <w:rPr>
          <w:rFonts w:hint="eastAsia" w:ascii="仿宋" w:hAnsi="仿宋" w:eastAsia="仿宋" w:cs="仿宋"/>
          <w:bCs/>
          <w:color w:val="auto"/>
          <w:sz w:val="24"/>
        </w:rPr>
        <w:t>3.2 本项目</w:t>
      </w:r>
      <w:r>
        <w:rPr>
          <w:rFonts w:hint="eastAsia" w:ascii="仿宋" w:hAnsi="仿宋" w:eastAsia="仿宋" w:cs="仿宋"/>
          <w:bCs/>
          <w:color w:val="auto"/>
          <w:sz w:val="24"/>
          <w:lang w:eastAsia="zh-CN"/>
        </w:rPr>
        <w:t>合同履行要求</w:t>
      </w:r>
      <w:r>
        <w:rPr>
          <w:rFonts w:hint="eastAsia" w:ascii="仿宋" w:hAnsi="仿宋" w:eastAsia="仿宋" w:cs="仿宋"/>
          <w:bCs/>
          <w:color w:val="auto"/>
          <w:sz w:val="24"/>
        </w:rPr>
        <w:t>：见“投标人须知前附表”。</w:t>
      </w:r>
    </w:p>
    <w:p w14:paraId="3B2AA664">
      <w:pPr>
        <w:pageBreakBefore w:val="0"/>
        <w:kinsoku/>
        <w:topLinePunct w:val="0"/>
        <w:bidi w:val="0"/>
        <w:snapToGrid/>
        <w:spacing w:line="420" w:lineRule="exact"/>
        <w:ind w:left="0" w:leftChars="0"/>
        <w:jc w:val="both"/>
        <w:rPr>
          <w:rFonts w:hint="eastAsia" w:ascii="仿宋" w:hAnsi="仿宋" w:eastAsia="仿宋" w:cs="仿宋"/>
          <w:bCs/>
          <w:color w:val="auto"/>
          <w:sz w:val="24"/>
        </w:rPr>
      </w:pPr>
      <w:r>
        <w:rPr>
          <w:rFonts w:hint="eastAsia" w:ascii="仿宋" w:hAnsi="仿宋" w:eastAsia="仿宋" w:cs="仿宋"/>
          <w:b/>
          <w:color w:val="auto"/>
          <w:sz w:val="24"/>
        </w:rPr>
        <w:t>4. 合格的投标人</w:t>
      </w:r>
    </w:p>
    <w:p w14:paraId="76F38CAA">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4.1投标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应符合“投标</w:t>
      </w:r>
      <w:r>
        <w:rPr>
          <w:rFonts w:hint="eastAsia" w:ascii="仿宋" w:hAnsi="仿宋" w:eastAsia="仿宋" w:cs="仿宋"/>
          <w:bCs/>
          <w:color w:val="auto"/>
          <w:sz w:val="24"/>
          <w:lang w:eastAsia="zh-CN"/>
        </w:rPr>
        <w:t>人</w:t>
      </w:r>
      <w:r>
        <w:rPr>
          <w:rFonts w:hint="eastAsia" w:ascii="仿宋" w:hAnsi="仿宋" w:eastAsia="仿宋" w:cs="仿宋"/>
          <w:bCs/>
          <w:color w:val="auto"/>
          <w:sz w:val="24"/>
        </w:rPr>
        <w:t>须知前附表</w:t>
      </w:r>
      <w:r>
        <w:rPr>
          <w:rFonts w:hint="eastAsia" w:ascii="仿宋" w:hAnsi="仿宋" w:eastAsia="仿宋" w:cs="仿宋"/>
          <w:bCs/>
          <w:color w:val="auto"/>
          <w:sz w:val="24"/>
          <w:lang w:eastAsia="zh-CN"/>
        </w:rPr>
        <w:t>”投标人的</w:t>
      </w:r>
      <w:r>
        <w:rPr>
          <w:rFonts w:hint="eastAsia" w:ascii="仿宋" w:hAnsi="仿宋" w:eastAsia="仿宋" w:cs="仿宋"/>
          <w:bCs/>
          <w:color w:val="auto"/>
          <w:sz w:val="24"/>
        </w:rPr>
        <w:t>资格要求</w:t>
      </w:r>
      <w:r>
        <w:rPr>
          <w:rFonts w:hint="eastAsia" w:ascii="仿宋" w:hAnsi="仿宋" w:eastAsia="仿宋" w:cs="仿宋"/>
          <w:bCs/>
          <w:color w:val="auto"/>
          <w:sz w:val="24"/>
          <w:lang w:eastAsia="zh-CN"/>
        </w:rPr>
        <w:t>。</w:t>
      </w:r>
    </w:p>
    <w:p w14:paraId="70F3787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bCs/>
          <w:color w:val="auto"/>
          <w:sz w:val="24"/>
        </w:rPr>
      </w:pPr>
      <w:r>
        <w:rPr>
          <w:rFonts w:hint="eastAsia" w:ascii="仿宋" w:hAnsi="仿宋" w:eastAsia="仿宋" w:cs="仿宋"/>
          <w:bCs/>
          <w:color w:val="auto"/>
          <w:sz w:val="24"/>
        </w:rPr>
        <w:t>4.</w:t>
      </w: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单位负责人为同一人或者存在直接控股、管理关系的不同投标</w:t>
      </w:r>
      <w:r>
        <w:rPr>
          <w:rFonts w:hint="eastAsia" w:ascii="仿宋" w:hAnsi="仿宋" w:eastAsia="仿宋" w:cs="仿宋"/>
          <w:bCs/>
          <w:color w:val="auto"/>
          <w:sz w:val="24"/>
          <w:lang w:eastAsia="zh-CN"/>
        </w:rPr>
        <w:t>投标人</w:t>
      </w:r>
      <w:r>
        <w:rPr>
          <w:rFonts w:hint="eastAsia" w:ascii="仿宋" w:hAnsi="仿宋" w:eastAsia="仿宋" w:cs="仿宋"/>
          <w:bCs/>
          <w:color w:val="auto"/>
          <w:sz w:val="24"/>
        </w:rPr>
        <w:t>，不得参加同一招标项目包的政府采购活动。</w:t>
      </w:r>
    </w:p>
    <w:p w14:paraId="005D610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bCs/>
          <w:color w:val="auto"/>
          <w:sz w:val="24"/>
        </w:rPr>
      </w:pPr>
      <w:r>
        <w:rPr>
          <w:rFonts w:hint="eastAsia" w:ascii="仿宋" w:hAnsi="仿宋" w:eastAsia="仿宋" w:cs="仿宋"/>
          <w:bCs/>
          <w:color w:val="auto"/>
          <w:sz w:val="24"/>
        </w:rPr>
        <w:t>4.</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“投标人须知前附表”规定接受联合体投标的，除应符合本章第4.1~4.</w:t>
      </w: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项的要求外，还应遵守以下规定：</w:t>
      </w:r>
    </w:p>
    <w:p w14:paraId="240B3C2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(1)采购人根据采购项目的特殊要求规定投标人特定条件的，联合体各方中至少应有一方符合采购人规定的特定条件；</w:t>
      </w:r>
    </w:p>
    <w:p w14:paraId="4C938385">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(2)联合体各方之间应当签订共同投标协议，明确约定联合体各方承担的工作和相应的责任；</w:t>
      </w:r>
    </w:p>
    <w:p w14:paraId="4ADC7AF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(3)联合体各方不得再以自己名义单独或参加其他联合体在同一项目中投标。</w:t>
      </w:r>
    </w:p>
    <w:p w14:paraId="584A6FF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b/>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符合上述条件的投标人应承担投标及履约中应承担的全部责任与义务且提供的所有投标资料真实有效，负责产生的一切后果均有投标人承担。</w:t>
      </w:r>
      <w:r>
        <w:rPr>
          <w:rFonts w:hint="eastAsia" w:ascii="仿宋" w:hAnsi="仿宋" w:eastAsia="仿宋" w:cs="仿宋"/>
          <w:color w:val="auto"/>
          <w:sz w:val="24"/>
        </w:rPr>
        <w:cr/>
      </w:r>
      <w:r>
        <w:rPr>
          <w:rFonts w:hint="eastAsia" w:ascii="仿宋" w:hAnsi="仿宋" w:eastAsia="仿宋" w:cs="仿宋"/>
          <w:b/>
          <w:color w:val="auto"/>
          <w:sz w:val="24"/>
        </w:rPr>
        <w:t>5. 投标费用</w:t>
      </w:r>
    </w:p>
    <w:p w14:paraId="0A2DEEE9">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lang w:eastAsia="zh-CN"/>
        </w:rPr>
      </w:pPr>
      <w:r>
        <w:rPr>
          <w:rFonts w:hint="eastAsia" w:ascii="仿宋" w:hAnsi="仿宋" w:eastAsia="仿宋" w:cs="仿宋"/>
          <w:color w:val="auto"/>
          <w:sz w:val="24"/>
        </w:rPr>
        <w:t>5.1不论投标结果如何，投标人均应自行承担所有与准备和参加投标活动有关的全部费用。</w:t>
      </w:r>
      <w:r>
        <w:rPr>
          <w:rFonts w:hint="eastAsia" w:ascii="仿宋" w:hAnsi="仿宋" w:eastAsia="仿宋" w:cs="仿宋"/>
          <w:color w:val="auto"/>
          <w:sz w:val="24"/>
          <w:lang w:eastAsia="zh-CN"/>
        </w:rPr>
        <w:t>中标单位还应承担本项目招标代理服务费用。</w:t>
      </w:r>
    </w:p>
    <w:p w14:paraId="09AAE35A">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5.2中标单位还应承担本项目招标代理服务费用，在领取中标通知书时，一次性支付给采购代理机构。</w:t>
      </w:r>
    </w:p>
    <w:p w14:paraId="6B3829D7">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5.3中标服务费标准：</w:t>
      </w:r>
      <w:r>
        <w:rPr>
          <w:rFonts w:hint="eastAsia" w:ascii="仿宋" w:hAnsi="仿宋" w:eastAsia="仿宋" w:cs="仿宋"/>
          <w:color w:val="auto"/>
          <w:sz w:val="24"/>
          <w:szCs w:val="24"/>
          <w:lang w:val="en-US" w:eastAsia="zh-CN"/>
        </w:rPr>
        <w:t>按照国家发展和改革委员会《关于进一步放开建设项目专业服务价格的通知》（发改价格［2015］299号）的精神，参照原《国家计委关于印发的通知》（计价格［2002］1980号）收费标准，以项目中标金额为基准，按差额定率累进法计算下浮20%后向中标人收取。</w:t>
      </w:r>
    </w:p>
    <w:p w14:paraId="25087F8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color w:val="auto"/>
          <w:sz w:val="24"/>
          <w:lang w:val="en-US" w:eastAsia="zh-CN"/>
        </w:rPr>
      </w:pPr>
      <w:bookmarkStart w:id="20" w:name="_Toc321836356"/>
      <w:r>
        <w:rPr>
          <w:rFonts w:hint="eastAsia" w:ascii="仿宋" w:hAnsi="仿宋" w:eastAsia="仿宋" w:cs="仿宋"/>
          <w:b/>
          <w:color w:val="auto"/>
          <w:sz w:val="24"/>
          <w:lang w:val="en-US" w:eastAsia="zh-CN"/>
        </w:rPr>
        <w:t>6.质疑</w:t>
      </w:r>
      <w:bookmarkEnd w:id="20"/>
    </w:p>
    <w:p w14:paraId="21BD47CA">
      <w:pPr>
        <w:pageBreakBefore w:val="0"/>
        <w:kinsoku/>
        <w:topLinePunct w:val="0"/>
        <w:bidi w:val="0"/>
        <w:snapToGrid/>
        <w:spacing w:line="420" w:lineRule="exact"/>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6.1 投标人认为招标文件、招标过程和中标结果使自己的权益受到损害的，应当在知道或者应知其权益受到损害之日起七个工作日内，以书面形式向下列部门提出质疑。质疑内容不得含有虚假、恶意成分。当事人对自己提出的主张，有责任提供证据，提出质疑时应同时提交相关证据材料和注明事实的确切来源。</w:t>
      </w:r>
    </w:p>
    <w:p w14:paraId="11C11AA8">
      <w:pPr>
        <w:pageBreakBefore w:val="0"/>
        <w:kinsoku/>
        <w:topLinePunct w:val="0"/>
        <w:bidi w:val="0"/>
        <w:snapToGrid/>
        <w:spacing w:line="420" w:lineRule="exact"/>
        <w:ind w:left="0" w:leftChars="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受理质疑</w:t>
      </w:r>
      <w:r>
        <w:rPr>
          <w:rFonts w:hint="eastAsia" w:ascii="仿宋" w:hAnsi="仿宋" w:eastAsia="仿宋" w:cs="仿宋"/>
          <w:color w:val="auto"/>
          <w:sz w:val="24"/>
          <w:szCs w:val="24"/>
          <w:highlight w:val="none"/>
          <w:lang w:val="en-US" w:eastAsia="zh-CN"/>
        </w:rPr>
        <w:t>联系人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陈睿</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18288766558</w:t>
      </w:r>
      <w:r>
        <w:rPr>
          <w:rFonts w:hint="eastAsia" w:ascii="仿宋" w:hAnsi="仿宋" w:eastAsia="仿宋" w:cs="仿宋"/>
          <w:color w:val="auto"/>
          <w:sz w:val="24"/>
          <w:szCs w:val="24"/>
          <w:highlight w:val="none"/>
        </w:rPr>
        <w:t>。</w:t>
      </w:r>
    </w:p>
    <w:p w14:paraId="3841633D">
      <w:pPr>
        <w:pageBreakBefore w:val="0"/>
        <w:kinsoku/>
        <w:topLinePunct w:val="0"/>
        <w:bidi w:val="0"/>
        <w:snapToGrid/>
        <w:spacing w:line="420" w:lineRule="exact"/>
        <w:ind w:left="0" w:leftChars="0" w:firstLine="482" w:firstLineChars="200"/>
        <w:jc w:val="both"/>
        <w:rPr>
          <w:rFonts w:hint="eastAsia" w:ascii="仿宋" w:hAnsi="仿宋" w:eastAsia="仿宋" w:cs="仿宋"/>
          <w:color w:val="auto"/>
          <w:sz w:val="24"/>
          <w:szCs w:val="24"/>
        </w:rPr>
      </w:pPr>
      <w:r>
        <w:rPr>
          <w:rFonts w:hint="eastAsia" w:ascii="仿宋" w:hAnsi="仿宋" w:eastAsia="仿宋" w:cs="仿宋"/>
          <w:b/>
          <w:bCs/>
          <w:color w:val="auto"/>
          <w:sz w:val="24"/>
          <w:szCs w:val="24"/>
          <w:u w:val="single"/>
        </w:rPr>
        <w:t>6.2投标人提供的质疑书应符合中华人民共和国财政部令第94号《政府采购质疑和投诉办法》的规定。</w:t>
      </w:r>
      <w:r>
        <w:rPr>
          <w:rFonts w:hint="eastAsia" w:ascii="仿宋" w:hAnsi="仿宋" w:eastAsia="仿宋" w:cs="仿宋"/>
          <w:color w:val="auto"/>
          <w:sz w:val="24"/>
          <w:szCs w:val="24"/>
        </w:rPr>
        <w:t xml:space="preserve">投标人提供的质疑书（如材料中有外文资料应同时附上中文译本）应当包括以下主要内容： </w:t>
      </w:r>
    </w:p>
    <w:p w14:paraId="7F6F2D62">
      <w:pPr>
        <w:pageBreakBefore w:val="0"/>
        <w:kinsoku/>
        <w:topLinePunct w:val="0"/>
        <w:bidi w:val="0"/>
        <w:snapToGrid/>
        <w:spacing w:line="420" w:lineRule="exact"/>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供应商的姓名或者名称、地址、邮编、联系人及联系电话；（2）质疑项目的名称、编号；（3）具体、明确的质疑事项和与质疑事项相关的请求；（4）事实依据；（5）必要的法律依据；（6）提出质疑的日期。</w:t>
      </w:r>
    </w:p>
    <w:p w14:paraId="6F743374">
      <w:pPr>
        <w:pageBreakBefore w:val="0"/>
        <w:kinsoku/>
        <w:topLinePunct w:val="0"/>
        <w:bidi w:val="0"/>
        <w:snapToGrid/>
        <w:spacing w:line="420" w:lineRule="exact"/>
        <w:ind w:left="0" w:leftChars="0" w:firstLine="482" w:firstLineChars="200"/>
        <w:jc w:val="both"/>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u w:val="single"/>
        </w:rPr>
        <w:t>质疑书实行实名制，并提交由法定代表人或其委托代理人签字且盖单位章的原件。</w:t>
      </w:r>
    </w:p>
    <w:p w14:paraId="302F3EDA">
      <w:pPr>
        <w:pageBreakBefore w:val="0"/>
        <w:kinsoku/>
        <w:topLinePunct w:val="0"/>
        <w:bidi w:val="0"/>
        <w:snapToGrid/>
        <w:spacing w:line="420" w:lineRule="exact"/>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6.3采购代理机构将在收到投标人的书面质疑后七个工作日内作出答复，但答复的内容不涉及商业秘密。</w:t>
      </w:r>
    </w:p>
    <w:p w14:paraId="1C71D080">
      <w:pPr>
        <w:pageBreakBefore w:val="0"/>
        <w:kinsoku/>
        <w:topLinePunct w:val="0"/>
        <w:bidi w:val="0"/>
        <w:snapToGrid/>
        <w:spacing w:line="420" w:lineRule="exact"/>
        <w:ind w:left="0" w:leftChars="0"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6.4参与政府采购活动的投标人对评审过程或者结果提出质疑的，采购代理机构可以组织原评审委员会</w:t>
      </w:r>
      <w:r>
        <w:rPr>
          <w:rFonts w:hint="eastAsia" w:ascii="仿宋" w:hAnsi="仿宋" w:eastAsia="仿宋" w:cs="仿宋"/>
          <w:color w:val="auto"/>
          <w:kern w:val="2"/>
          <w:sz w:val="24"/>
          <w:szCs w:val="24"/>
          <w:lang w:val="en-US" w:eastAsia="zh-CN" w:bidi="ar-SA"/>
        </w:rPr>
        <w:t>协助处理质疑事项，并依据评审委员会出具的意见进行答复。质疑答复导致中标或成交结果改变的，采购人或采购代理机构应当将相关情况报</w:t>
      </w:r>
      <w:r>
        <w:rPr>
          <w:rFonts w:hint="eastAsia" w:ascii="仿宋" w:hAnsi="仿宋" w:eastAsia="仿宋" w:cs="仿宋"/>
          <w:b/>
          <w:bCs/>
          <w:color w:val="auto"/>
          <w:kern w:val="2"/>
          <w:sz w:val="24"/>
          <w:szCs w:val="24"/>
          <w:lang w:val="en-US" w:eastAsia="zh-CN" w:bidi="ar-SA"/>
        </w:rPr>
        <w:t>本级财政部门</w:t>
      </w:r>
      <w:r>
        <w:rPr>
          <w:rFonts w:hint="eastAsia" w:ascii="仿宋" w:hAnsi="仿宋" w:eastAsia="仿宋" w:cs="仿宋"/>
          <w:color w:val="auto"/>
          <w:kern w:val="2"/>
          <w:sz w:val="24"/>
          <w:szCs w:val="24"/>
          <w:lang w:val="en-US" w:eastAsia="zh-CN" w:bidi="ar-SA"/>
        </w:rPr>
        <w:t>备案。</w:t>
      </w:r>
    </w:p>
    <w:p w14:paraId="0A204095">
      <w:pPr>
        <w:pageBreakBefore w:val="0"/>
        <w:kinsoku/>
        <w:topLinePunct w:val="0"/>
        <w:bidi w:val="0"/>
        <w:snapToGrid/>
        <w:spacing w:line="420" w:lineRule="exact"/>
        <w:ind w:left="0" w:leftChars="0"/>
        <w:jc w:val="both"/>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7. 投诉</w:t>
      </w:r>
    </w:p>
    <w:p w14:paraId="6D0353BA">
      <w:pPr>
        <w:pStyle w:val="12"/>
        <w:pageBreakBefore w:val="0"/>
        <w:kinsoku/>
        <w:topLinePunct w:val="0"/>
        <w:bidi w:val="0"/>
        <w:snapToGrid/>
        <w:spacing w:line="420" w:lineRule="exact"/>
        <w:ind w:left="0" w:leftChars="0"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7.1投诉必须首先经过质疑程序。质疑人对采购代理机构的答复不满意，或者采购代理机构未在规定的时间内做出答复的，可以在答复期满后十五个工作日内书面向本级财政部门提出投诉。</w:t>
      </w:r>
    </w:p>
    <w:p w14:paraId="495FBE64">
      <w:pPr>
        <w:keepNext w:val="0"/>
        <w:keepLines/>
        <w:pageBreakBefore w:val="0"/>
        <w:widowControl/>
        <w:kinsoku/>
        <w:wordWrap w:val="0"/>
        <w:overflowPunct/>
        <w:topLinePunct/>
        <w:autoSpaceDE/>
        <w:autoSpaceDN/>
        <w:bidi w:val="0"/>
        <w:adjustRightInd/>
        <w:snapToGrid/>
        <w:spacing w:line="420" w:lineRule="exact"/>
        <w:ind w:left="0" w:firstLine="480" w:firstLineChars="200"/>
        <w:jc w:val="left"/>
        <w:textAlignment w:val="auto"/>
        <w:rPr>
          <w:rFonts w:hint="eastAsia" w:ascii="仿宋" w:hAnsi="仿宋" w:eastAsia="仿宋" w:cs="仿宋"/>
          <w:b/>
          <w:bCs/>
          <w:color w:val="auto"/>
          <w:kern w:val="2"/>
          <w:sz w:val="24"/>
          <w:szCs w:val="24"/>
          <w:highlight w:val="none"/>
          <w:shd w:val="clear" w:color="auto" w:fill="auto"/>
          <w:lang w:val="en-US" w:eastAsia="zh-CN" w:bidi="ar-SA"/>
        </w:rPr>
      </w:pPr>
      <w:bookmarkStart w:id="21" w:name="_Toc4875"/>
      <w:r>
        <w:rPr>
          <w:rFonts w:hint="eastAsia" w:ascii="仿宋" w:hAnsi="仿宋" w:eastAsia="仿宋" w:cs="仿宋"/>
          <w:color w:val="auto"/>
          <w:kern w:val="2"/>
          <w:sz w:val="24"/>
          <w:szCs w:val="24"/>
          <w:highlight w:val="none"/>
          <w:shd w:val="clear" w:color="auto" w:fill="auto"/>
          <w:lang w:val="en-US" w:eastAsia="zh-CN" w:bidi="ar-SA"/>
        </w:rPr>
        <w:t>7.2本级财政部门：</w:t>
      </w:r>
      <w:r>
        <w:rPr>
          <w:rFonts w:hint="eastAsia" w:ascii="仿宋" w:hAnsi="仿宋" w:eastAsia="仿宋" w:cs="仿宋"/>
          <w:b/>
          <w:bCs/>
          <w:color w:val="auto"/>
          <w:kern w:val="2"/>
          <w:sz w:val="24"/>
          <w:szCs w:val="24"/>
          <w:highlight w:val="none"/>
          <w:shd w:val="clear" w:color="auto" w:fill="auto"/>
          <w:lang w:val="en-US" w:eastAsia="zh-CN" w:bidi="ar-SA"/>
        </w:rPr>
        <w:t>昆明市财政局（政府采购管理处）</w:t>
      </w:r>
      <w:r>
        <w:rPr>
          <w:rFonts w:hint="eastAsia" w:ascii="仿宋" w:hAnsi="仿宋" w:eastAsia="仿宋" w:cs="仿宋"/>
          <w:b/>
          <w:bCs/>
          <w:color w:val="auto"/>
          <w:kern w:val="2"/>
          <w:sz w:val="24"/>
          <w:szCs w:val="24"/>
          <w:u w:val="none"/>
          <w:lang w:val="en-US" w:eastAsia="zh-CN" w:bidi="ar-SA"/>
        </w:rPr>
        <w:t>，电话：0871-65940985。</w:t>
      </w:r>
    </w:p>
    <w:p w14:paraId="59B41EA8">
      <w:pPr>
        <w:pStyle w:val="12"/>
        <w:keepNext w:val="0"/>
        <w:keepLines w:val="0"/>
        <w:pageBreakBefore w:val="0"/>
        <w:widowControl w:val="0"/>
        <w:kinsoku/>
        <w:wordWrap/>
        <w:overflowPunct/>
        <w:topLinePunct w:val="0"/>
        <w:autoSpaceDE/>
        <w:autoSpaceDN/>
        <w:bidi w:val="0"/>
        <w:adjustRightInd/>
        <w:snapToGrid/>
        <w:spacing w:before="331" w:beforeLines="100" w:line="420" w:lineRule="exact"/>
        <w:ind w:left="284" w:leftChars="0" w:hanging="284" w:hangingChars="101"/>
        <w:jc w:val="center"/>
        <w:textAlignment w:val="auto"/>
        <w:rPr>
          <w:rFonts w:hint="eastAsia" w:ascii="仿宋" w:hAnsi="仿宋" w:eastAsia="仿宋" w:cs="仿宋"/>
          <w:b/>
          <w:color w:val="auto"/>
          <w:sz w:val="28"/>
          <w:szCs w:val="21"/>
        </w:rPr>
      </w:pPr>
      <w:r>
        <w:rPr>
          <w:rFonts w:hint="eastAsia" w:ascii="仿宋" w:hAnsi="仿宋" w:eastAsia="仿宋" w:cs="仿宋"/>
          <w:b/>
          <w:color w:val="auto"/>
          <w:sz w:val="28"/>
          <w:szCs w:val="21"/>
        </w:rPr>
        <w:t>二、招标文件</w:t>
      </w:r>
      <w:bookmarkEnd w:id="21"/>
    </w:p>
    <w:p w14:paraId="1435076A">
      <w:pPr>
        <w:pStyle w:val="12"/>
        <w:pageBreakBefore w:val="0"/>
        <w:kinsoku/>
        <w:topLinePunct w:val="0"/>
        <w:bidi w:val="0"/>
        <w:snapToGrid/>
        <w:spacing w:line="420" w:lineRule="exact"/>
        <w:ind w:left="0" w:leftChars="0"/>
        <w:jc w:val="both"/>
        <w:rPr>
          <w:rFonts w:hint="eastAsia" w:ascii="仿宋" w:hAnsi="仿宋" w:eastAsia="仿宋" w:cs="仿宋"/>
          <w:b/>
          <w:bCs/>
          <w:color w:val="auto"/>
          <w:sz w:val="24"/>
        </w:rPr>
      </w:pPr>
      <w:r>
        <w:rPr>
          <w:rFonts w:hint="eastAsia" w:ascii="仿宋" w:hAnsi="仿宋" w:eastAsia="仿宋" w:cs="仿宋"/>
          <w:b/>
          <w:bCs/>
          <w:color w:val="auto"/>
          <w:sz w:val="24"/>
        </w:rPr>
        <w:t>8. 招标文件构成</w:t>
      </w:r>
    </w:p>
    <w:p w14:paraId="67CA71A7">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8.1要求提供的货物、采购过程及合同条款在招标文件中均有说明，招标文件共</w:t>
      </w:r>
      <w:r>
        <w:rPr>
          <w:rFonts w:hint="eastAsia" w:ascii="仿宋" w:hAnsi="仿宋" w:eastAsia="仿宋" w:cs="仿宋"/>
          <w:color w:val="auto"/>
          <w:sz w:val="24"/>
          <w:lang w:val="en-US" w:eastAsia="zh-CN"/>
        </w:rPr>
        <w:t>六</w:t>
      </w:r>
      <w:r>
        <w:rPr>
          <w:rFonts w:hint="eastAsia" w:ascii="仿宋" w:hAnsi="仿宋" w:eastAsia="仿宋" w:cs="仿宋"/>
          <w:color w:val="auto"/>
          <w:sz w:val="24"/>
        </w:rPr>
        <w:t>章，各章的内容如下：</w:t>
      </w:r>
    </w:p>
    <w:p w14:paraId="62E8AA69">
      <w:pPr>
        <w:pStyle w:val="12"/>
        <w:pageBreakBefore w:val="0"/>
        <w:kinsoku/>
        <w:topLinePunct w:val="0"/>
        <w:bidi w:val="0"/>
        <w:snapToGrid/>
        <w:spacing w:line="420" w:lineRule="exact"/>
        <w:ind w:left="0" w:leftChars="0" w:firstLine="720" w:firstLineChars="300"/>
        <w:jc w:val="both"/>
        <w:rPr>
          <w:rFonts w:hint="eastAsia" w:ascii="仿宋" w:hAnsi="仿宋" w:eastAsia="仿宋" w:cs="仿宋"/>
          <w:color w:val="auto"/>
          <w:sz w:val="24"/>
        </w:rPr>
      </w:pPr>
      <w:r>
        <w:rPr>
          <w:rFonts w:hint="eastAsia" w:ascii="仿宋" w:hAnsi="仿宋" w:eastAsia="仿宋" w:cs="仿宋"/>
          <w:color w:val="auto"/>
          <w:sz w:val="24"/>
        </w:rPr>
        <w:t>第一章  招标公告</w:t>
      </w:r>
    </w:p>
    <w:p w14:paraId="624F816E">
      <w:pPr>
        <w:pStyle w:val="12"/>
        <w:pageBreakBefore w:val="0"/>
        <w:kinsoku/>
        <w:topLinePunct w:val="0"/>
        <w:bidi w:val="0"/>
        <w:snapToGrid/>
        <w:spacing w:line="420" w:lineRule="exact"/>
        <w:ind w:left="0" w:leftChars="0"/>
        <w:jc w:val="both"/>
        <w:rPr>
          <w:rFonts w:hint="eastAsia" w:ascii="仿宋" w:hAnsi="仿宋" w:eastAsia="仿宋" w:cs="仿宋"/>
          <w:color w:val="auto"/>
          <w:sz w:val="24"/>
        </w:rPr>
      </w:pPr>
      <w:r>
        <w:rPr>
          <w:rFonts w:hint="eastAsia" w:ascii="仿宋" w:hAnsi="仿宋" w:eastAsia="仿宋" w:cs="仿宋"/>
          <w:color w:val="auto"/>
          <w:sz w:val="24"/>
        </w:rPr>
        <w:t xml:space="preserve">      第二章  投标人须知</w:t>
      </w:r>
    </w:p>
    <w:p w14:paraId="6B7E7081">
      <w:pPr>
        <w:pStyle w:val="12"/>
        <w:pageBreakBefore w:val="0"/>
        <w:kinsoku/>
        <w:topLinePunct w:val="0"/>
        <w:bidi w:val="0"/>
        <w:snapToGrid/>
        <w:spacing w:line="420" w:lineRule="exact"/>
        <w:ind w:left="0" w:leftChars="0"/>
        <w:jc w:val="both"/>
        <w:rPr>
          <w:rFonts w:hint="eastAsia" w:ascii="仿宋" w:hAnsi="仿宋" w:eastAsia="仿宋" w:cs="仿宋"/>
          <w:color w:val="auto"/>
          <w:sz w:val="24"/>
        </w:rPr>
      </w:pPr>
      <w:r>
        <w:rPr>
          <w:rFonts w:hint="eastAsia" w:ascii="仿宋" w:hAnsi="仿宋" w:eastAsia="仿宋" w:cs="仿宋"/>
          <w:color w:val="auto"/>
          <w:sz w:val="24"/>
        </w:rPr>
        <w:t xml:space="preserve">      第三章  合同书样式及主要条款</w:t>
      </w:r>
    </w:p>
    <w:p w14:paraId="3B9D8D68">
      <w:pPr>
        <w:pStyle w:val="12"/>
        <w:pageBreakBefore w:val="0"/>
        <w:kinsoku/>
        <w:topLinePunct w:val="0"/>
        <w:bidi w:val="0"/>
        <w:snapToGrid/>
        <w:spacing w:line="420" w:lineRule="exact"/>
        <w:ind w:left="0" w:leftChars="0" w:firstLine="720" w:firstLineChars="300"/>
        <w:jc w:val="both"/>
        <w:rPr>
          <w:rFonts w:hint="eastAsia" w:ascii="仿宋" w:hAnsi="仿宋" w:eastAsia="仿宋" w:cs="仿宋"/>
          <w:color w:val="auto"/>
          <w:sz w:val="24"/>
        </w:rPr>
      </w:pPr>
      <w:r>
        <w:rPr>
          <w:rFonts w:hint="eastAsia" w:ascii="仿宋" w:hAnsi="仿宋" w:eastAsia="仿宋" w:cs="仿宋"/>
          <w:color w:val="auto"/>
          <w:sz w:val="24"/>
        </w:rPr>
        <w:t>第四章  投标文件格式</w:t>
      </w:r>
    </w:p>
    <w:p w14:paraId="35B30192">
      <w:pPr>
        <w:pStyle w:val="12"/>
        <w:pageBreakBefore w:val="0"/>
        <w:kinsoku/>
        <w:topLinePunct w:val="0"/>
        <w:bidi w:val="0"/>
        <w:snapToGrid/>
        <w:spacing w:line="420" w:lineRule="exact"/>
        <w:ind w:left="0" w:leftChars="0"/>
        <w:jc w:val="both"/>
        <w:rPr>
          <w:rFonts w:hint="default" w:ascii="仿宋" w:hAnsi="仿宋" w:eastAsia="仿宋" w:cs="仿宋"/>
          <w:color w:val="auto"/>
          <w:sz w:val="24"/>
          <w:lang w:val="en-US" w:eastAsia="zh-CN"/>
        </w:rPr>
      </w:pPr>
      <w:r>
        <w:rPr>
          <w:rFonts w:hint="eastAsia" w:ascii="仿宋" w:hAnsi="仿宋" w:eastAsia="仿宋" w:cs="仿宋"/>
          <w:color w:val="auto"/>
          <w:sz w:val="24"/>
        </w:rPr>
        <w:t xml:space="preserve">      第五章  </w:t>
      </w:r>
      <w:r>
        <w:rPr>
          <w:rFonts w:hint="eastAsia" w:ascii="仿宋" w:hAnsi="仿宋" w:eastAsia="仿宋" w:cs="仿宋"/>
          <w:color w:val="auto"/>
          <w:sz w:val="24"/>
          <w:lang w:eastAsia="zh-CN"/>
        </w:rPr>
        <w:t>采购需求及</w:t>
      </w:r>
      <w:r>
        <w:rPr>
          <w:rFonts w:hint="eastAsia" w:ascii="仿宋" w:hAnsi="仿宋" w:eastAsia="仿宋" w:cs="仿宋"/>
          <w:color w:val="auto"/>
          <w:sz w:val="24"/>
          <w:lang w:val="en-US" w:eastAsia="zh-CN"/>
        </w:rPr>
        <w:t>服务要求</w:t>
      </w:r>
    </w:p>
    <w:p w14:paraId="0590AE6A">
      <w:pPr>
        <w:pStyle w:val="12"/>
        <w:pageBreakBefore w:val="0"/>
        <w:kinsoku/>
        <w:topLinePunct w:val="0"/>
        <w:bidi w:val="0"/>
        <w:snapToGrid/>
        <w:spacing w:line="420" w:lineRule="exact"/>
        <w:ind w:left="0" w:leftChars="0" w:firstLine="720" w:firstLineChars="300"/>
        <w:jc w:val="both"/>
        <w:rPr>
          <w:rFonts w:hint="eastAsia" w:ascii="仿宋" w:hAnsi="仿宋" w:eastAsia="仿宋" w:cs="仿宋"/>
          <w:color w:val="auto"/>
          <w:sz w:val="24"/>
        </w:rPr>
      </w:pPr>
      <w:r>
        <w:rPr>
          <w:rFonts w:hint="eastAsia" w:ascii="仿宋" w:hAnsi="仿宋" w:eastAsia="仿宋" w:cs="仿宋"/>
          <w:color w:val="auto"/>
          <w:sz w:val="24"/>
        </w:rPr>
        <w:t>第六章  评标方法</w:t>
      </w:r>
    </w:p>
    <w:p w14:paraId="26BA01D9">
      <w:pPr>
        <w:pStyle w:val="12"/>
        <w:pageBreakBefore w:val="0"/>
        <w:kinsoku/>
        <w:topLinePunct w:val="0"/>
        <w:bidi w:val="0"/>
        <w:snapToGrid/>
        <w:spacing w:line="420" w:lineRule="exact"/>
        <w:ind w:left="0" w:leftChars="0"/>
        <w:jc w:val="both"/>
        <w:rPr>
          <w:rFonts w:hint="eastAsia" w:ascii="仿宋" w:hAnsi="仿宋" w:eastAsia="仿宋" w:cs="仿宋"/>
          <w:b/>
          <w:bCs/>
          <w:color w:val="auto"/>
          <w:sz w:val="24"/>
        </w:rPr>
      </w:pPr>
      <w:r>
        <w:rPr>
          <w:rFonts w:hint="eastAsia" w:ascii="仿宋" w:hAnsi="仿宋" w:eastAsia="仿宋" w:cs="仿宋"/>
          <w:b/>
          <w:bCs/>
          <w:color w:val="auto"/>
          <w:sz w:val="24"/>
        </w:rPr>
        <w:t>9. 投标人对招标文件的异议</w:t>
      </w:r>
    </w:p>
    <w:p w14:paraId="4192FEB2">
      <w:pPr>
        <w:keepNext w:val="0"/>
        <w:keepLines w:val="0"/>
        <w:pageBreakBefore w:val="0"/>
        <w:widowControl/>
        <w:suppressLineNumbers w:val="0"/>
        <w:kinsoku/>
        <w:topLinePunct w:val="0"/>
        <w:bidi w:val="0"/>
        <w:snapToGrid/>
        <w:spacing w:line="420" w:lineRule="exact"/>
        <w:ind w:left="0" w:lef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9.1投标人应认真核查招标文件，如有疑问的，投标人</w:t>
      </w:r>
      <w:r>
        <w:rPr>
          <w:rFonts w:hint="eastAsia" w:ascii="仿宋" w:hAnsi="仿宋" w:eastAsia="仿宋" w:cs="仿宋"/>
          <w:color w:val="auto"/>
          <w:sz w:val="24"/>
          <w:lang w:val="en-US" w:eastAsia="zh-CN"/>
        </w:rPr>
        <w:t>应当在获取招标文件或者招标公告期限届满之日起7个工作日内提出。</w:t>
      </w:r>
    </w:p>
    <w:p w14:paraId="0B4349D1">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9.2采购代理机构将在</w:t>
      </w:r>
      <w:r>
        <w:rPr>
          <w:rFonts w:hint="eastAsia" w:ascii="仿宋" w:hAnsi="仿宋" w:eastAsia="仿宋" w:cs="仿宋"/>
          <w:b/>
          <w:bCs/>
          <w:color w:val="auto"/>
          <w:sz w:val="24"/>
          <w:szCs w:val="24"/>
          <w:lang w:eastAsia="zh-CN"/>
        </w:rPr>
        <w:t>政采云平台</w:t>
      </w:r>
      <w:r>
        <w:rPr>
          <w:rFonts w:hint="eastAsia" w:ascii="仿宋" w:hAnsi="仿宋" w:eastAsia="仿宋" w:cs="仿宋"/>
          <w:b w:val="0"/>
          <w:bCs/>
          <w:color w:val="auto"/>
          <w:sz w:val="24"/>
          <w:lang w:val="en-US" w:eastAsia="zh-CN"/>
        </w:rPr>
        <w:t>上</w:t>
      </w:r>
      <w:r>
        <w:rPr>
          <w:rFonts w:hint="eastAsia" w:ascii="仿宋" w:hAnsi="仿宋" w:eastAsia="仿宋" w:cs="仿宋"/>
          <w:color w:val="auto"/>
          <w:sz w:val="24"/>
        </w:rPr>
        <w:t>答复所有购买招标文件的投标人（答复中不包含问题的来源）要求澄清的问题，其他澄清方式为无效。</w:t>
      </w:r>
    </w:p>
    <w:p w14:paraId="3FABD599">
      <w:pPr>
        <w:pStyle w:val="12"/>
        <w:pageBreakBefore w:val="0"/>
        <w:kinsoku/>
        <w:topLinePunct w:val="0"/>
        <w:bidi w:val="0"/>
        <w:snapToGrid/>
        <w:spacing w:line="420" w:lineRule="exact"/>
        <w:ind w:left="0" w:leftChars="0"/>
        <w:jc w:val="both"/>
        <w:rPr>
          <w:rFonts w:hint="eastAsia" w:ascii="仿宋" w:hAnsi="仿宋" w:eastAsia="仿宋" w:cs="仿宋"/>
          <w:b/>
          <w:bCs/>
          <w:color w:val="auto"/>
          <w:sz w:val="24"/>
        </w:rPr>
      </w:pPr>
      <w:r>
        <w:rPr>
          <w:rFonts w:hint="eastAsia" w:ascii="仿宋" w:hAnsi="仿宋" w:eastAsia="仿宋" w:cs="仿宋"/>
          <w:b/>
          <w:bCs/>
          <w:color w:val="auto"/>
          <w:sz w:val="24"/>
        </w:rPr>
        <w:t>10. 招标文件的澄清或者修改</w:t>
      </w:r>
    </w:p>
    <w:p w14:paraId="7E48D899">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10.1采购代理机构对已发出的招标文件进行必要澄清或者修改的，于招标文件要求提交投标文件截止时间十五日前，在指定的政府采购信息发布媒体上发布</w:t>
      </w:r>
      <w:r>
        <w:rPr>
          <w:rFonts w:hint="eastAsia" w:ascii="仿宋" w:hAnsi="仿宋" w:eastAsia="仿宋" w:cs="仿宋"/>
          <w:color w:val="auto"/>
          <w:sz w:val="24"/>
          <w:lang w:eastAsia="zh-CN"/>
        </w:rPr>
        <w:t>澄清</w:t>
      </w:r>
      <w:r>
        <w:rPr>
          <w:rFonts w:hint="eastAsia" w:ascii="仿宋" w:hAnsi="仿宋" w:eastAsia="仿宋" w:cs="仿宋"/>
          <w:color w:val="auto"/>
          <w:sz w:val="24"/>
        </w:rPr>
        <w:t>公告</w:t>
      </w:r>
      <w:r>
        <w:rPr>
          <w:rFonts w:hint="eastAsia" w:ascii="仿宋" w:hAnsi="仿宋" w:eastAsia="仿宋" w:cs="仿宋"/>
          <w:color w:val="auto"/>
          <w:sz w:val="24"/>
          <w:lang w:eastAsia="zh-CN"/>
        </w:rPr>
        <w:t>并</w:t>
      </w:r>
      <w:r>
        <w:rPr>
          <w:rFonts w:hint="eastAsia" w:ascii="仿宋" w:hAnsi="仿宋" w:eastAsia="仿宋" w:cs="仿宋"/>
          <w:color w:val="auto"/>
          <w:sz w:val="24"/>
        </w:rPr>
        <w:t>以书面形式通知所有招标文件收受人。该澄清或者修改的内容为招标文件的组成部分。</w:t>
      </w:r>
    </w:p>
    <w:p w14:paraId="725DA41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10.2采购代理机构和采购单位可以视采购具体情况，延长投标截止时间和开标时间，但至少在招标文件要求提交投标文件的截止时间</w:t>
      </w:r>
      <w:r>
        <w:rPr>
          <w:rFonts w:hint="eastAsia" w:ascii="仿宋" w:hAnsi="仿宋" w:eastAsia="仿宋" w:cs="仿宋"/>
          <w:color w:val="auto"/>
          <w:sz w:val="24"/>
          <w:lang w:eastAsia="zh-CN"/>
        </w:rPr>
        <w:t>至少十五</w:t>
      </w:r>
      <w:r>
        <w:rPr>
          <w:rFonts w:hint="eastAsia" w:ascii="仿宋" w:hAnsi="仿宋" w:eastAsia="仿宋" w:cs="仿宋"/>
          <w:color w:val="auto"/>
          <w:sz w:val="24"/>
        </w:rPr>
        <w:t>日前，将变更时间书面通知所有招标文件收受人，并在财政部门指定的政府采购信息发布媒体上发布公告。</w:t>
      </w:r>
    </w:p>
    <w:p w14:paraId="10C10432">
      <w:pPr>
        <w:pStyle w:val="12"/>
        <w:keepNext w:val="0"/>
        <w:keepLines w:val="0"/>
        <w:pageBreakBefore w:val="0"/>
        <w:widowControl w:val="0"/>
        <w:kinsoku/>
        <w:wordWrap/>
        <w:overflowPunct/>
        <w:topLinePunct w:val="0"/>
        <w:autoSpaceDE/>
        <w:autoSpaceDN/>
        <w:bidi w:val="0"/>
        <w:adjustRightInd/>
        <w:snapToGrid/>
        <w:spacing w:before="331" w:beforeLines="100" w:line="420" w:lineRule="exact"/>
        <w:ind w:left="284" w:leftChars="0" w:hanging="284" w:hangingChars="101"/>
        <w:jc w:val="center"/>
        <w:textAlignment w:val="auto"/>
        <w:rPr>
          <w:rFonts w:hint="eastAsia" w:ascii="仿宋" w:hAnsi="仿宋" w:eastAsia="仿宋" w:cs="仿宋"/>
          <w:b/>
          <w:color w:val="auto"/>
          <w:sz w:val="28"/>
          <w:szCs w:val="21"/>
        </w:rPr>
      </w:pPr>
      <w:bookmarkStart w:id="22" w:name="_Toc1521"/>
      <w:r>
        <w:rPr>
          <w:rFonts w:hint="eastAsia" w:ascii="仿宋" w:hAnsi="仿宋" w:eastAsia="仿宋" w:cs="仿宋"/>
          <w:b/>
          <w:color w:val="auto"/>
          <w:sz w:val="28"/>
          <w:szCs w:val="21"/>
        </w:rPr>
        <w:t>三、投标文件</w:t>
      </w:r>
      <w:bookmarkEnd w:id="22"/>
    </w:p>
    <w:p w14:paraId="27A2AF94">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11. 投标文件编写注意事项</w:t>
      </w:r>
    </w:p>
    <w:p w14:paraId="6B2D4E3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11.1投标人应仔细阅读招标文件及“电子投标文件编制及报送要求”，在完全了解采购的内容、技术性能要求(详见“</w:t>
      </w:r>
      <w:r>
        <w:rPr>
          <w:rFonts w:hint="eastAsia" w:ascii="仿宋" w:hAnsi="仿宋" w:eastAsia="仿宋" w:cs="仿宋"/>
          <w:color w:val="auto"/>
          <w:sz w:val="24"/>
          <w:lang w:eastAsia="zh-CN"/>
        </w:rPr>
        <w:t>采购需求及技术参数</w:t>
      </w:r>
      <w:r>
        <w:rPr>
          <w:rFonts w:hint="eastAsia" w:ascii="仿宋" w:hAnsi="仿宋" w:eastAsia="仿宋" w:cs="仿宋"/>
          <w:color w:val="auto"/>
          <w:sz w:val="24"/>
        </w:rPr>
        <w:t>”)和商务条件后，编写投标文件。投标文件必须响应招标文件的实质性要求和条件。</w:t>
      </w:r>
    </w:p>
    <w:p w14:paraId="27D2222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11.2 对招标文件提出的实质性要求和条件作出响应是指：投标人必须对招标文件中的实质性要求和条件的内容作出满足或者优于原要求和条件的承诺。</w:t>
      </w:r>
    </w:p>
    <w:p w14:paraId="08CAB259">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12. 投标的语言及计量单位</w:t>
      </w:r>
    </w:p>
    <w:p w14:paraId="2E024C69">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12.1投标人的投标文件以及投标人与采购代理机构就有关投标的所有来往函电统一使用中文（特别规定除外）。</w:t>
      </w:r>
    </w:p>
    <w:p w14:paraId="50FF46E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12.2投标文件中使用的计量单位除招标文件中有特殊规定外，一律使用中国法定计量单位。</w:t>
      </w:r>
    </w:p>
    <w:p w14:paraId="556B8E21">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13. 投标文件构成</w:t>
      </w:r>
    </w:p>
    <w:p w14:paraId="00931E1B">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13.1投标人编写的投标文件应按第四章“投标文件格式”要求填写，未提供格式部分自行拟定。</w:t>
      </w:r>
    </w:p>
    <w:p w14:paraId="4A1264E0">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13.2投标人同时投多个</w:t>
      </w:r>
      <w:r>
        <w:rPr>
          <w:rFonts w:hint="eastAsia" w:ascii="仿宋" w:hAnsi="仿宋" w:eastAsia="仿宋" w:cs="仿宋"/>
          <w:color w:val="auto"/>
          <w:sz w:val="24"/>
          <w:lang w:eastAsia="zh-CN"/>
        </w:rPr>
        <w:t>包段</w:t>
      </w:r>
      <w:r>
        <w:rPr>
          <w:rFonts w:hint="eastAsia" w:ascii="仿宋" w:hAnsi="仿宋" w:eastAsia="仿宋" w:cs="仿宋"/>
          <w:color w:val="auto"/>
          <w:sz w:val="24"/>
        </w:rPr>
        <w:t>（若分</w:t>
      </w:r>
      <w:r>
        <w:rPr>
          <w:rFonts w:hint="eastAsia" w:ascii="仿宋" w:hAnsi="仿宋" w:eastAsia="仿宋" w:cs="仿宋"/>
          <w:color w:val="auto"/>
          <w:sz w:val="24"/>
          <w:lang w:eastAsia="zh-CN"/>
        </w:rPr>
        <w:t>包段</w:t>
      </w:r>
      <w:r>
        <w:rPr>
          <w:rFonts w:hint="eastAsia" w:ascii="仿宋" w:hAnsi="仿宋" w:eastAsia="仿宋" w:cs="仿宋"/>
          <w:color w:val="auto"/>
          <w:sz w:val="24"/>
        </w:rPr>
        <w:t>时）的，投标文件应按</w:t>
      </w:r>
      <w:r>
        <w:rPr>
          <w:rFonts w:hint="eastAsia" w:ascii="仿宋" w:hAnsi="仿宋" w:eastAsia="仿宋" w:cs="仿宋"/>
          <w:color w:val="auto"/>
          <w:sz w:val="24"/>
          <w:lang w:eastAsia="zh-CN"/>
        </w:rPr>
        <w:t>包段</w:t>
      </w:r>
      <w:r>
        <w:rPr>
          <w:rFonts w:hint="eastAsia" w:ascii="仿宋" w:hAnsi="仿宋" w:eastAsia="仿宋" w:cs="仿宋"/>
          <w:color w:val="auto"/>
          <w:sz w:val="24"/>
        </w:rPr>
        <w:t>分别编制。</w:t>
      </w:r>
    </w:p>
    <w:p w14:paraId="625201CE">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14. 投标文件的格式要求</w:t>
      </w:r>
    </w:p>
    <w:p w14:paraId="570D0C61">
      <w:pPr>
        <w:pStyle w:val="12"/>
        <w:keepNext w:val="0"/>
        <w:keepLines w:val="0"/>
        <w:pageBreakBefore w:val="0"/>
        <w:widowControl w:val="0"/>
        <w:tabs>
          <w:tab w:val="left" w:pos="3030"/>
        </w:tabs>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14.1投标人应按第四章“投标文件格式”提供的格式完整地填写，未提供格式的投标人自行拟定。</w:t>
      </w:r>
    </w:p>
    <w:p w14:paraId="0864309B">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15. 投标报价</w:t>
      </w:r>
    </w:p>
    <w:p w14:paraId="2CB8344A">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15.1投标人须就“</w:t>
      </w:r>
      <w:r>
        <w:rPr>
          <w:rFonts w:hint="eastAsia" w:ascii="仿宋" w:hAnsi="仿宋" w:eastAsia="仿宋" w:cs="仿宋"/>
          <w:color w:val="auto"/>
          <w:sz w:val="24"/>
          <w:lang w:eastAsia="zh-CN"/>
        </w:rPr>
        <w:t>采购需求及</w:t>
      </w:r>
      <w:r>
        <w:rPr>
          <w:rFonts w:hint="eastAsia" w:ascii="仿宋" w:hAnsi="仿宋" w:eastAsia="仿宋" w:cs="仿宋"/>
          <w:color w:val="auto"/>
          <w:sz w:val="24"/>
          <w:lang w:val="en-US" w:eastAsia="zh-CN"/>
        </w:rPr>
        <w:t>服务要求</w:t>
      </w:r>
      <w:r>
        <w:rPr>
          <w:rFonts w:hint="eastAsia" w:ascii="仿宋" w:hAnsi="仿宋" w:eastAsia="仿宋" w:cs="仿宋"/>
          <w:color w:val="auto"/>
          <w:sz w:val="24"/>
        </w:rPr>
        <w:t>”中的所投包货物</w:t>
      </w:r>
      <w:r>
        <w:rPr>
          <w:rFonts w:hint="eastAsia" w:ascii="仿宋" w:hAnsi="仿宋" w:eastAsia="仿宋" w:cs="仿宋"/>
          <w:color w:val="auto"/>
          <w:sz w:val="24"/>
          <w:lang w:eastAsia="zh-CN"/>
        </w:rPr>
        <w:t>或服务</w:t>
      </w:r>
      <w:r>
        <w:rPr>
          <w:rFonts w:hint="eastAsia" w:ascii="仿宋" w:hAnsi="仿宋" w:eastAsia="仿宋" w:cs="仿宋"/>
          <w:color w:val="auto"/>
          <w:sz w:val="24"/>
        </w:rPr>
        <w:t>内容作完整唯一报价。</w:t>
      </w:r>
    </w:p>
    <w:p w14:paraId="4B6EE8C8">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15.2投标人应依据招标文件的要求及有关资料，按国家或行业现行技术经济标准、定额及规范，自行测算出满足招标要求的投标货物</w:t>
      </w:r>
      <w:r>
        <w:rPr>
          <w:rFonts w:hint="eastAsia" w:ascii="仿宋" w:hAnsi="仿宋" w:eastAsia="仿宋" w:cs="仿宋"/>
          <w:color w:val="auto"/>
          <w:sz w:val="24"/>
          <w:lang w:eastAsia="zh-CN"/>
        </w:rPr>
        <w:t>或服务</w:t>
      </w:r>
      <w:r>
        <w:rPr>
          <w:rFonts w:hint="eastAsia" w:ascii="仿宋" w:hAnsi="仿宋" w:eastAsia="仿宋" w:cs="仿宋"/>
          <w:color w:val="auto"/>
          <w:sz w:val="24"/>
        </w:rPr>
        <w:t>的竞争性报价。</w:t>
      </w:r>
      <w:r>
        <w:rPr>
          <w:rFonts w:hint="eastAsia" w:ascii="仿宋" w:hAnsi="仿宋" w:eastAsia="仿宋" w:cs="仿宋"/>
          <w:bCs/>
          <w:color w:val="auto"/>
          <w:sz w:val="24"/>
        </w:rPr>
        <w:t>投标报价</w:t>
      </w:r>
      <w:r>
        <w:rPr>
          <w:rFonts w:hint="eastAsia" w:ascii="仿宋" w:hAnsi="仿宋" w:eastAsia="仿宋" w:cs="仿宋"/>
          <w:color w:val="auto"/>
          <w:sz w:val="24"/>
        </w:rPr>
        <w:t>指</w:t>
      </w:r>
      <w:r>
        <w:rPr>
          <w:rFonts w:hint="eastAsia" w:ascii="仿宋" w:hAnsi="仿宋" w:eastAsia="仿宋" w:cs="仿宋"/>
          <w:color w:val="auto"/>
          <w:sz w:val="24"/>
          <w:lang w:eastAsia="zh-CN"/>
        </w:rPr>
        <w:t>产品</w:t>
      </w:r>
      <w:r>
        <w:rPr>
          <w:rFonts w:hint="eastAsia" w:ascii="仿宋" w:hAnsi="仿宋" w:eastAsia="仿宋" w:cs="仿宋"/>
          <w:color w:val="auto"/>
          <w:sz w:val="24"/>
        </w:rPr>
        <w:t>的报价和运输、装卸、安装调试、技术服务费、培训费、货物开发所需的各种费用及必要的保险费用和各项税金等所有费用的总和。</w:t>
      </w:r>
    </w:p>
    <w:p w14:paraId="406D535F">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15.3本项目</w:t>
      </w:r>
      <w:r>
        <w:rPr>
          <w:rFonts w:hint="eastAsia" w:ascii="仿宋" w:hAnsi="仿宋" w:eastAsia="仿宋" w:cs="仿宋"/>
          <w:color w:val="auto"/>
          <w:sz w:val="24"/>
          <w:lang w:eastAsia="zh-CN"/>
        </w:rPr>
        <w:t>采购人设定的最高限价</w:t>
      </w:r>
      <w:r>
        <w:rPr>
          <w:rFonts w:hint="eastAsia" w:ascii="仿宋" w:hAnsi="仿宋" w:eastAsia="仿宋" w:cs="仿宋"/>
          <w:color w:val="auto"/>
          <w:sz w:val="24"/>
        </w:rPr>
        <w:t>额见“投标人须知前附表”，若投标人的投标报价超过</w:t>
      </w:r>
      <w:r>
        <w:rPr>
          <w:rFonts w:hint="eastAsia" w:ascii="仿宋" w:hAnsi="仿宋" w:eastAsia="仿宋" w:cs="仿宋"/>
          <w:color w:val="auto"/>
          <w:sz w:val="24"/>
          <w:lang w:eastAsia="zh-CN"/>
        </w:rPr>
        <w:t>采购人设定的最高限价</w:t>
      </w:r>
      <w:r>
        <w:rPr>
          <w:rFonts w:hint="eastAsia" w:ascii="仿宋" w:hAnsi="仿宋" w:eastAsia="仿宋" w:cs="仿宋"/>
          <w:color w:val="auto"/>
          <w:sz w:val="24"/>
        </w:rPr>
        <w:t>金额，按不实质性响应招标文件要求处理。</w:t>
      </w:r>
    </w:p>
    <w:p w14:paraId="634DF98F">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15.4</w:t>
      </w:r>
      <w:r>
        <w:rPr>
          <w:rFonts w:hint="eastAsia" w:ascii="仿宋" w:hAnsi="仿宋" w:eastAsia="仿宋" w:cs="仿宋"/>
          <w:color w:val="auto"/>
          <w:kern w:val="2"/>
          <w:sz w:val="24"/>
          <w:szCs w:val="24"/>
          <w:lang w:val="en-US" w:eastAsia="zh-CN" w:bidi="ar-SA"/>
        </w:rPr>
        <w:t>投标报价：</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的报价，应是完成本须知所列</w:t>
      </w:r>
      <w:r>
        <w:rPr>
          <w:rFonts w:hint="eastAsia" w:ascii="仿宋" w:hAnsi="仿宋" w:eastAsia="仿宋" w:cs="仿宋"/>
          <w:color w:val="auto"/>
          <w:sz w:val="24"/>
          <w:szCs w:val="24"/>
          <w:lang w:eastAsia="zh-CN"/>
        </w:rPr>
        <w:t>招标</w:t>
      </w:r>
      <w:r>
        <w:rPr>
          <w:rFonts w:hint="eastAsia" w:ascii="仿宋" w:hAnsi="仿宋" w:eastAsia="仿宋" w:cs="仿宋"/>
          <w:color w:val="auto"/>
          <w:sz w:val="24"/>
          <w:szCs w:val="24"/>
        </w:rPr>
        <w:t>范围及</w:t>
      </w:r>
      <w:r>
        <w:rPr>
          <w:rFonts w:hint="eastAsia" w:ascii="仿宋" w:hAnsi="仿宋" w:eastAsia="仿宋" w:cs="仿宋"/>
          <w:color w:val="auto"/>
          <w:sz w:val="24"/>
          <w:szCs w:val="24"/>
          <w:lang w:eastAsia="zh-CN"/>
        </w:rPr>
        <w:t>合同履行期限</w:t>
      </w:r>
      <w:r>
        <w:rPr>
          <w:rFonts w:hint="eastAsia" w:ascii="仿宋" w:hAnsi="仿宋" w:eastAsia="仿宋" w:cs="仿宋"/>
          <w:color w:val="auto"/>
          <w:sz w:val="24"/>
          <w:szCs w:val="24"/>
        </w:rPr>
        <w:t>内的全部，不得以任何理由予以重复</w:t>
      </w:r>
      <w:r>
        <w:rPr>
          <w:rFonts w:hint="eastAsia" w:ascii="仿宋" w:hAnsi="仿宋" w:eastAsia="仿宋" w:cs="仿宋"/>
          <w:color w:val="auto"/>
          <w:kern w:val="2"/>
          <w:sz w:val="24"/>
          <w:szCs w:val="24"/>
          <w:lang w:val="en-US" w:eastAsia="zh-CN" w:bidi="ar-SA"/>
        </w:rPr>
        <w:t>。投标人投标报价不得高于采购人预算单价及预算总价，否则按</w:t>
      </w:r>
      <w:r>
        <w:rPr>
          <w:rFonts w:hint="eastAsia" w:ascii="仿宋" w:hAnsi="仿宋" w:eastAsia="仿宋" w:cs="仿宋"/>
          <w:color w:val="auto"/>
          <w:sz w:val="24"/>
          <w:lang w:val="en-US" w:eastAsia="zh-CN"/>
        </w:rPr>
        <w:t>不实质性响应招标文件</w:t>
      </w:r>
      <w:r>
        <w:rPr>
          <w:rFonts w:hint="eastAsia" w:ascii="仿宋" w:hAnsi="仿宋" w:eastAsia="仿宋" w:cs="仿宋"/>
          <w:color w:val="auto"/>
          <w:kern w:val="2"/>
          <w:sz w:val="24"/>
          <w:szCs w:val="24"/>
          <w:lang w:val="en-US" w:eastAsia="zh-CN" w:bidi="ar-SA"/>
        </w:rPr>
        <w:t>处理。</w:t>
      </w:r>
    </w:p>
    <w:p w14:paraId="7DE860A8">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16. 投标货币</w:t>
      </w:r>
    </w:p>
    <w:p w14:paraId="4E322D2C">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bCs/>
          <w:color w:val="auto"/>
          <w:sz w:val="24"/>
        </w:rPr>
      </w:pPr>
      <w:r>
        <w:rPr>
          <w:rFonts w:hint="eastAsia" w:ascii="仿宋" w:hAnsi="仿宋" w:eastAsia="仿宋" w:cs="仿宋"/>
          <w:color w:val="auto"/>
          <w:sz w:val="24"/>
        </w:rPr>
        <w:t>16.1投标以人民币报价。</w:t>
      </w:r>
    </w:p>
    <w:p w14:paraId="5732E643">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17. 投标有效期</w:t>
      </w:r>
    </w:p>
    <w:p w14:paraId="6CDF98A2">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17.1在“投标人须知前附表”规定的投标有效期内，投标人不得要求撤销或修改其投标文件。</w:t>
      </w:r>
    </w:p>
    <w:p w14:paraId="5F321931">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17.2在特殊情况需要延长投标有效期的，采购人以书面形式通知所有投标人延长投标有效期。投标人同意延长的，应相应延长其投标保证金的有效期，但不得要求或被允许修改或撤销其投标文件；投标人拒绝延长的，其投标文件失效，但投标人有权收回其投标保证金。</w:t>
      </w:r>
    </w:p>
    <w:p w14:paraId="295F4CC0">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18. 投标文件的编制</w:t>
      </w:r>
    </w:p>
    <w:p w14:paraId="39B58CCB">
      <w:pPr>
        <w:pageBreakBefore w:val="0"/>
        <w:kinsoku/>
        <w:topLinePunct w:val="0"/>
        <w:bidi w:val="0"/>
        <w:snapToGrid/>
        <w:spacing w:line="420" w:lineRule="exact"/>
        <w:ind w:left="0" w:leftChars="0" w:firstLine="480" w:firstLineChars="200"/>
        <w:jc w:val="both"/>
        <w:rPr>
          <w:rFonts w:hint="eastAsia" w:ascii="仿宋" w:hAnsi="仿宋" w:eastAsia="仿宋" w:cs="仿宋"/>
          <w:b w:val="0"/>
          <w:bCs/>
          <w:color w:val="auto"/>
          <w:sz w:val="24"/>
        </w:rPr>
      </w:pPr>
      <w:r>
        <w:rPr>
          <w:rFonts w:hint="eastAsia" w:ascii="仿宋" w:hAnsi="仿宋" w:eastAsia="仿宋" w:cs="仿宋"/>
          <w:b w:val="0"/>
          <w:bCs/>
          <w:color w:val="auto"/>
          <w:sz w:val="24"/>
        </w:rPr>
        <w:t>18.1投标文件全部采用电子文档，投标人应安装客户端软件—“政采云电子交易客户端”，并按照招标文件和政采云电子交易平台的要求编制，编制后应进行电子签名及加密。</w:t>
      </w:r>
    </w:p>
    <w:p w14:paraId="49FFA466">
      <w:pPr>
        <w:pageBreakBefore w:val="0"/>
        <w:kinsoku/>
        <w:topLinePunct w:val="0"/>
        <w:bidi w:val="0"/>
        <w:snapToGrid/>
        <w:spacing w:line="420" w:lineRule="exact"/>
        <w:ind w:left="0" w:leftChars="0" w:firstLine="480" w:firstLineChars="200"/>
        <w:jc w:val="both"/>
        <w:rPr>
          <w:rFonts w:hint="eastAsia" w:ascii="仿宋" w:hAnsi="仿宋" w:eastAsia="仿宋" w:cs="仿宋"/>
          <w:b w:val="0"/>
          <w:bCs/>
          <w:color w:val="auto"/>
          <w:sz w:val="24"/>
        </w:rPr>
      </w:pPr>
      <w:r>
        <w:rPr>
          <w:rFonts w:hint="eastAsia" w:ascii="仿宋" w:hAnsi="仿宋" w:eastAsia="仿宋" w:cs="仿宋"/>
          <w:b w:val="0"/>
          <w:bCs/>
          <w:color w:val="auto"/>
          <w:sz w:val="24"/>
        </w:rPr>
        <w:t>18.2如投标人提交的电子标书不符合18.1要求或开标时无法读取导入或解密，其投标文件将不予受理。</w:t>
      </w:r>
    </w:p>
    <w:p w14:paraId="250E996E">
      <w:pPr>
        <w:pageBreakBefore w:val="0"/>
        <w:kinsoku/>
        <w:topLinePunct w:val="0"/>
        <w:bidi w:val="0"/>
        <w:snapToGrid/>
        <w:spacing w:line="420" w:lineRule="exact"/>
        <w:ind w:left="0" w:leftChars="0" w:firstLine="480" w:firstLineChars="200"/>
        <w:jc w:val="both"/>
        <w:rPr>
          <w:rFonts w:hint="eastAsia" w:ascii="仿宋" w:hAnsi="仿宋" w:eastAsia="仿宋" w:cs="仿宋"/>
          <w:b w:val="0"/>
          <w:bCs/>
          <w:color w:val="auto"/>
          <w:sz w:val="24"/>
        </w:rPr>
      </w:pPr>
      <w:r>
        <w:rPr>
          <w:rFonts w:hint="eastAsia" w:ascii="仿宋" w:hAnsi="仿宋" w:eastAsia="仿宋" w:cs="仿宋"/>
          <w:b w:val="0"/>
          <w:bCs/>
          <w:color w:val="auto"/>
          <w:sz w:val="24"/>
        </w:rPr>
        <w:t>18.3 投标文件应尽量避免涂改、行间插字或删除。如果出现上述情况，改动之处应加盖单位章或由投标人的法定代表人或其授权的代理人签字确认。</w:t>
      </w:r>
    </w:p>
    <w:p w14:paraId="2A3CA4AB">
      <w:pPr>
        <w:pageBreakBefore w:val="0"/>
        <w:kinsoku/>
        <w:topLinePunct w:val="0"/>
        <w:bidi w:val="0"/>
        <w:snapToGrid/>
        <w:spacing w:line="420" w:lineRule="exact"/>
        <w:ind w:left="0" w:leftChars="0" w:firstLine="480" w:firstLineChars="200"/>
        <w:jc w:val="both"/>
        <w:rPr>
          <w:rFonts w:hint="eastAsia" w:ascii="仿宋" w:hAnsi="仿宋" w:eastAsia="仿宋" w:cs="仿宋"/>
          <w:b w:val="0"/>
          <w:bCs/>
          <w:color w:val="auto"/>
          <w:sz w:val="24"/>
        </w:rPr>
      </w:pPr>
      <w:r>
        <w:rPr>
          <w:rFonts w:hint="eastAsia" w:ascii="仿宋" w:hAnsi="仿宋" w:eastAsia="仿宋" w:cs="仿宋"/>
          <w:b w:val="0"/>
          <w:bCs/>
          <w:color w:val="auto"/>
          <w:sz w:val="24"/>
        </w:rPr>
        <w:t>18.4字迹潦草、表达不清、未按要求填写而导致非唯一理解，造成未实质性响应招标文件的投标文件将会被认定为无效的投标。</w:t>
      </w:r>
    </w:p>
    <w:p w14:paraId="658FDCE9">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19. 投标保证金</w:t>
      </w:r>
    </w:p>
    <w:p w14:paraId="52581F95">
      <w:pPr>
        <w:pStyle w:val="12"/>
        <w:keepNext w:val="0"/>
        <w:keepLines w:val="0"/>
        <w:pageBreakBefore w:val="0"/>
        <w:widowControl w:val="0"/>
        <w:tabs>
          <w:tab w:val="left" w:pos="710"/>
        </w:tabs>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19.1投标保证金为人民币。投标人应在提交投标文件截止时间前按“投标人须知前附表”规定的金额、账户缴纳，并在规定的时间内保持有效。</w:t>
      </w:r>
    </w:p>
    <w:p w14:paraId="2ACD50D0">
      <w:pPr>
        <w:pStyle w:val="12"/>
        <w:keepNext w:val="0"/>
        <w:keepLines w:val="0"/>
        <w:pageBreakBefore w:val="0"/>
        <w:widowControl w:val="0"/>
        <w:tabs>
          <w:tab w:val="left" w:pos="710"/>
        </w:tabs>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19.2投标保证金形式：投标保证金应按“投标人须知前附表”规定的形式提交。</w:t>
      </w:r>
    </w:p>
    <w:p w14:paraId="192ACD17">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19.3 办理缴纳投标保证金手续时，请务必在银行进账单或电汇单的用途栏或空白栏上注明</w:t>
      </w:r>
      <w:r>
        <w:rPr>
          <w:rFonts w:hint="eastAsia" w:ascii="仿宋" w:hAnsi="仿宋" w:eastAsia="仿宋" w:cs="仿宋"/>
          <w:color w:val="auto"/>
          <w:sz w:val="24"/>
          <w:lang w:val="en-US" w:eastAsia="zh-CN"/>
        </w:rPr>
        <w:t>所投项目（包段）名称或项目（包段）编号</w:t>
      </w:r>
      <w:r>
        <w:rPr>
          <w:rFonts w:hint="eastAsia" w:ascii="仿宋" w:hAnsi="仿宋" w:eastAsia="仿宋" w:cs="仿宋"/>
          <w:color w:val="auto"/>
          <w:sz w:val="24"/>
        </w:rPr>
        <w:t>。</w:t>
      </w:r>
    </w:p>
    <w:p w14:paraId="363C3907">
      <w:pPr>
        <w:pStyle w:val="12"/>
        <w:keepNext w:val="0"/>
        <w:keepLines w:val="0"/>
        <w:pageBreakBefore w:val="0"/>
        <w:widowControl w:val="0"/>
        <w:tabs>
          <w:tab w:val="left" w:pos="710"/>
        </w:tabs>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19.4投标保证金的退还：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w:t>
      </w:r>
    </w:p>
    <w:p w14:paraId="6BE670E6">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19.5下列情况发生时，投标保证金将不予退还：</w:t>
      </w:r>
    </w:p>
    <w:p w14:paraId="4B74E58B">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（1）投标人在投标有效期内要求撤回投标</w:t>
      </w:r>
      <w:r>
        <w:rPr>
          <w:rFonts w:hint="eastAsia" w:ascii="仿宋" w:hAnsi="仿宋" w:eastAsia="仿宋" w:cs="仿宋"/>
          <w:color w:val="auto"/>
          <w:sz w:val="24"/>
          <w:lang w:eastAsia="zh-CN"/>
        </w:rPr>
        <w:t>文件</w:t>
      </w:r>
      <w:r>
        <w:rPr>
          <w:rFonts w:hint="eastAsia" w:ascii="仿宋" w:hAnsi="仿宋" w:eastAsia="仿宋" w:cs="仿宋"/>
          <w:color w:val="auto"/>
          <w:sz w:val="24"/>
        </w:rPr>
        <w:t>的；</w:t>
      </w:r>
    </w:p>
    <w:p w14:paraId="224E7E40">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（2）中标人中标后无正当理由不与采购人签订合同的或不按规定缴纳履约担保的；</w:t>
      </w:r>
    </w:p>
    <w:p w14:paraId="744D9BD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（3）中标人将中标项目转让给他人，或者在投标文件中未说明，且未经采购人同意，将中标项目分包给他人的；</w:t>
      </w:r>
    </w:p>
    <w:p w14:paraId="3A5F5F65">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（4）中标人拒绝履行合同义务的。</w:t>
      </w:r>
    </w:p>
    <w:p w14:paraId="5F2DBA84">
      <w:pPr>
        <w:pStyle w:val="12"/>
        <w:keepNext w:val="0"/>
        <w:keepLines w:val="0"/>
        <w:pageBreakBefore w:val="0"/>
        <w:widowControl w:val="0"/>
        <w:kinsoku/>
        <w:wordWrap/>
        <w:overflowPunct/>
        <w:topLinePunct w:val="0"/>
        <w:autoSpaceDE/>
        <w:autoSpaceDN/>
        <w:bidi w:val="0"/>
        <w:adjustRightInd/>
        <w:snapToGrid/>
        <w:spacing w:before="331" w:beforeLines="100" w:line="420" w:lineRule="exact"/>
        <w:ind w:left="284" w:leftChars="0" w:hanging="284" w:hangingChars="101"/>
        <w:jc w:val="center"/>
        <w:textAlignment w:val="auto"/>
        <w:rPr>
          <w:rFonts w:hint="eastAsia" w:ascii="仿宋" w:hAnsi="仿宋" w:eastAsia="仿宋" w:cs="仿宋"/>
          <w:b/>
          <w:color w:val="auto"/>
          <w:sz w:val="28"/>
          <w:szCs w:val="21"/>
        </w:rPr>
      </w:pPr>
      <w:bookmarkStart w:id="23" w:name="_Toc16091"/>
      <w:r>
        <w:rPr>
          <w:rFonts w:hint="eastAsia" w:ascii="仿宋" w:hAnsi="仿宋" w:eastAsia="仿宋" w:cs="仿宋"/>
          <w:b/>
          <w:color w:val="auto"/>
          <w:sz w:val="28"/>
          <w:szCs w:val="21"/>
        </w:rPr>
        <w:t>四、投标文件的</w:t>
      </w:r>
      <w:bookmarkEnd w:id="23"/>
      <w:r>
        <w:rPr>
          <w:rFonts w:hint="eastAsia" w:ascii="仿宋" w:hAnsi="仿宋" w:eastAsia="仿宋" w:cs="仿宋"/>
          <w:b/>
          <w:color w:val="auto"/>
          <w:sz w:val="28"/>
          <w:szCs w:val="21"/>
        </w:rPr>
        <w:t>递交</w:t>
      </w:r>
    </w:p>
    <w:p w14:paraId="4D08D128">
      <w:pPr>
        <w:keepNext/>
        <w:keepLines/>
        <w:pageBreakBefore w:val="0"/>
        <w:widowControl w:val="0"/>
        <w:numPr>
          <w:ilvl w:val="0"/>
          <w:numId w:val="0"/>
        </w:numPr>
        <w:tabs>
          <w:tab w:val="left" w:pos="360"/>
        </w:tabs>
        <w:kinsoku/>
        <w:wordWrap/>
        <w:overflowPunct/>
        <w:topLinePunct w:val="0"/>
        <w:autoSpaceDE/>
        <w:autoSpaceDN/>
        <w:bidi w:val="0"/>
        <w:adjustRightInd w:val="0"/>
        <w:snapToGrid/>
        <w:spacing w:line="420" w:lineRule="exact"/>
        <w:ind w:left="0" w:leftChars="0"/>
        <w:jc w:val="both"/>
        <w:textAlignment w:val="baseline"/>
        <w:outlineLvl w:val="9"/>
        <w:rPr>
          <w:rFonts w:hint="eastAsia" w:ascii="仿宋" w:hAnsi="仿宋" w:eastAsia="仿宋" w:cs="仿宋"/>
          <w:b/>
          <w:bCs/>
          <w:color w:val="auto"/>
          <w:sz w:val="24"/>
          <w:szCs w:val="24"/>
        </w:rPr>
      </w:pPr>
      <w:bookmarkStart w:id="24" w:name="_Toc22254"/>
      <w:bookmarkStart w:id="25" w:name="_Toc21810"/>
      <w:bookmarkStart w:id="26" w:name="_Toc12953"/>
      <w:r>
        <w:rPr>
          <w:rFonts w:hint="eastAsia" w:ascii="仿宋" w:hAnsi="仿宋" w:eastAsia="仿宋" w:cs="仿宋"/>
          <w:b/>
          <w:bCs/>
          <w:color w:val="auto"/>
          <w:sz w:val="24"/>
          <w:szCs w:val="24"/>
        </w:rPr>
        <w:t>20.电子投标文件的递交</w:t>
      </w:r>
      <w:bookmarkEnd w:id="24"/>
      <w:bookmarkEnd w:id="25"/>
      <w:bookmarkEnd w:id="26"/>
    </w:p>
    <w:p w14:paraId="7274B63F">
      <w:pPr>
        <w:pageBreakBefore w:val="0"/>
        <w:kinsoku/>
        <w:topLinePunct w:val="0"/>
        <w:bidi w:val="0"/>
        <w:snapToGrid/>
        <w:spacing w:line="420" w:lineRule="exact"/>
        <w:ind w:left="0" w:leftChars="0" w:firstLine="480" w:firstLineChars="200"/>
        <w:jc w:val="both"/>
        <w:rPr>
          <w:rFonts w:hint="eastAsia" w:ascii="仿宋" w:hAnsi="仿宋" w:eastAsia="仿宋" w:cs="仿宋"/>
          <w:b/>
          <w:color w:val="auto"/>
          <w:sz w:val="24"/>
        </w:rPr>
      </w:pPr>
      <w:r>
        <w:rPr>
          <w:rFonts w:hint="eastAsia" w:ascii="仿宋" w:hAnsi="仿宋" w:eastAsia="仿宋" w:cs="仿宋"/>
          <w:b w:val="0"/>
          <w:bCs/>
          <w:color w:val="auto"/>
          <w:sz w:val="24"/>
        </w:rPr>
        <w:t>20.1投标文件的递交：见“投标人须知前附表”。</w:t>
      </w:r>
    </w:p>
    <w:p w14:paraId="50B86E6D">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21. 提交投标文件截止时间和地点</w:t>
      </w:r>
    </w:p>
    <w:p w14:paraId="6FDE3A24">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21.1 投标文件的提交不得迟于“投标人须知前附表”规定的提交投标文件截止时间。</w:t>
      </w:r>
    </w:p>
    <w:p w14:paraId="7B327488">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21.2 投标人必须在规定时间内将投标文件提交到“投标人须知前附表”规定的地点。</w:t>
      </w:r>
    </w:p>
    <w:p w14:paraId="7449D07E">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21.3 除“投标人须知前附表”另有规定外，投标人所递交的投标文件不予退还。</w:t>
      </w:r>
    </w:p>
    <w:p w14:paraId="769F368B">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21.4 逾期送达的或者未送达指定地点的投标文件，采购代理机构不予受理。</w:t>
      </w:r>
    </w:p>
    <w:p w14:paraId="1A8BE0FC">
      <w:pPr>
        <w:pStyle w:val="12"/>
        <w:keepNext w:val="0"/>
        <w:keepLines w:val="0"/>
        <w:pageBreakBefore w:val="0"/>
        <w:widowControl w:val="0"/>
        <w:kinsoku/>
        <w:wordWrap/>
        <w:overflowPunct/>
        <w:topLinePunct w:val="0"/>
        <w:autoSpaceDE/>
        <w:autoSpaceDN/>
        <w:bidi w:val="0"/>
        <w:adjustRightInd/>
        <w:snapToGrid/>
        <w:spacing w:before="331" w:beforeLines="100" w:line="420" w:lineRule="exact"/>
        <w:ind w:left="284" w:leftChars="0" w:hanging="284" w:hangingChars="101"/>
        <w:jc w:val="center"/>
        <w:textAlignment w:val="auto"/>
        <w:rPr>
          <w:rFonts w:hint="eastAsia" w:ascii="仿宋" w:hAnsi="仿宋" w:eastAsia="仿宋" w:cs="仿宋"/>
          <w:b/>
          <w:color w:val="auto"/>
          <w:sz w:val="28"/>
          <w:szCs w:val="21"/>
        </w:rPr>
      </w:pPr>
      <w:bookmarkStart w:id="27" w:name="_Toc3578"/>
      <w:r>
        <w:rPr>
          <w:rFonts w:hint="eastAsia" w:ascii="仿宋" w:hAnsi="仿宋" w:eastAsia="仿宋" w:cs="仿宋"/>
          <w:b/>
          <w:color w:val="auto"/>
          <w:sz w:val="28"/>
          <w:szCs w:val="21"/>
        </w:rPr>
        <w:t>五、开标与评标</w:t>
      </w:r>
      <w:bookmarkEnd w:id="27"/>
    </w:p>
    <w:p w14:paraId="77BCFE58">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22. 开标</w:t>
      </w:r>
    </w:p>
    <w:p w14:paraId="533C2A19">
      <w:pPr>
        <w:pStyle w:val="12"/>
        <w:keepNext w:val="0"/>
        <w:keepLines w:val="0"/>
        <w:pageBreakBefore w:val="0"/>
        <w:widowControl w:val="0"/>
        <w:kinsoku/>
        <w:wordWrap/>
        <w:overflowPunct/>
        <w:topLinePunct w:val="0"/>
        <w:autoSpaceDE/>
        <w:autoSpaceDN/>
        <w:bidi w:val="0"/>
        <w:adjustRightInd/>
        <w:snapToGrid/>
        <w:spacing w:line="420" w:lineRule="atLeas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22.1采购代理机构将在“投标人须知前附表”规定的时间和地点进行</w:t>
      </w:r>
      <w:r>
        <w:rPr>
          <w:rFonts w:hint="eastAsia" w:ascii="仿宋" w:hAnsi="仿宋" w:eastAsia="仿宋" w:cs="仿宋"/>
          <w:color w:val="auto"/>
          <w:sz w:val="24"/>
          <w:lang w:eastAsia="zh-CN"/>
        </w:rPr>
        <w:t>（网上）</w:t>
      </w:r>
      <w:r>
        <w:rPr>
          <w:rFonts w:hint="eastAsia" w:ascii="仿宋" w:hAnsi="仿宋" w:eastAsia="仿宋" w:cs="仿宋"/>
          <w:color w:val="auto"/>
          <w:sz w:val="24"/>
        </w:rPr>
        <w:t>开标，</w:t>
      </w:r>
      <w:r>
        <w:rPr>
          <w:rFonts w:hint="eastAsia" w:ascii="仿宋" w:hAnsi="仿宋" w:eastAsia="仿宋" w:cs="仿宋"/>
          <w:b/>
          <w:bCs/>
          <w:color w:val="auto"/>
          <w:sz w:val="24"/>
          <w:lang w:eastAsia="zh-CN"/>
        </w:rPr>
        <w:t>投标人</w:t>
      </w:r>
      <w:r>
        <w:rPr>
          <w:rFonts w:hint="eastAsia" w:ascii="仿宋" w:hAnsi="仿宋" w:eastAsia="仿宋" w:cs="仿宋"/>
          <w:b/>
          <w:bCs/>
          <w:color w:val="auto"/>
          <w:sz w:val="24"/>
        </w:rPr>
        <w:t>的法定代表人或其委托代理人应</w:t>
      </w:r>
      <w:r>
        <w:rPr>
          <w:rFonts w:hint="eastAsia" w:ascii="仿宋" w:hAnsi="仿宋" w:eastAsia="仿宋" w:cs="仿宋"/>
          <w:b/>
          <w:bCs/>
          <w:color w:val="auto"/>
          <w:sz w:val="24"/>
          <w:lang w:eastAsia="zh-CN"/>
        </w:rPr>
        <w:t>在网上</w:t>
      </w:r>
      <w:r>
        <w:rPr>
          <w:rFonts w:hint="eastAsia" w:ascii="仿宋" w:hAnsi="仿宋" w:eastAsia="仿宋" w:cs="仿宋"/>
          <w:b/>
          <w:bCs/>
          <w:color w:val="auto"/>
          <w:sz w:val="24"/>
        </w:rPr>
        <w:t>参加开标会。</w:t>
      </w:r>
    </w:p>
    <w:p w14:paraId="2A614F46">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22.2投标截止时间结束后参加投标的投标人不足三家的，不得开标。</w:t>
      </w:r>
    </w:p>
    <w:p w14:paraId="3C859D5C">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3</w:t>
      </w:r>
      <w:r>
        <w:rPr>
          <w:rFonts w:hint="eastAsia" w:ascii="仿宋" w:hAnsi="仿宋" w:eastAsia="仿宋" w:cs="仿宋"/>
          <w:color w:val="auto"/>
          <w:sz w:val="24"/>
        </w:rPr>
        <w:t>开标程序：</w:t>
      </w:r>
    </w:p>
    <w:p w14:paraId="044CB239">
      <w:pPr>
        <w:pStyle w:val="12"/>
        <w:pageBreakBefore w:val="0"/>
        <w:kinsoku/>
        <w:topLinePunct w:val="0"/>
        <w:bidi w:val="0"/>
        <w:snapToGrid/>
        <w:spacing w:line="420" w:lineRule="exact"/>
        <w:ind w:left="0" w:leftChars="0" w:firstLine="540"/>
        <w:jc w:val="both"/>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 xml:space="preserve">)开标会由采购代理机构主持，主持人宣布开标会议开始； </w:t>
      </w:r>
    </w:p>
    <w:p w14:paraId="2D016C7F">
      <w:pPr>
        <w:pStyle w:val="12"/>
        <w:pageBreakBefore w:val="0"/>
        <w:kinsoku/>
        <w:topLinePunct w:val="0"/>
        <w:bidi w:val="0"/>
        <w:snapToGrid/>
        <w:spacing w:line="420" w:lineRule="exact"/>
        <w:ind w:left="0" w:leftChars="0" w:firstLine="540"/>
        <w:jc w:val="both"/>
        <w:rPr>
          <w:rFonts w:hint="eastAsia" w:ascii="仿宋" w:hAnsi="仿宋" w:eastAsia="仿宋" w:cs="仿宋"/>
          <w:color w:val="auto"/>
          <w:sz w:val="24"/>
          <w:u w:val="single"/>
        </w:rPr>
      </w:pP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仿宋" w:hAnsi="仿宋" w:eastAsia="仿宋" w:cs="仿宋"/>
          <w:color w:val="auto"/>
          <w:sz w:val="24"/>
        </w:rPr>
        <w:t>)介绍参加开标会的人员；</w:t>
      </w:r>
    </w:p>
    <w:p w14:paraId="13F76120">
      <w:pPr>
        <w:pStyle w:val="12"/>
        <w:pageBreakBefore w:val="0"/>
        <w:kinsoku/>
        <w:topLinePunct w:val="0"/>
        <w:bidi w:val="0"/>
        <w:snapToGrid/>
        <w:spacing w:line="420" w:lineRule="exact"/>
        <w:ind w:left="0" w:leftChars="0" w:firstLine="540"/>
        <w:jc w:val="both"/>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)唱标：由唱标人宣读投标人名称、投标价格、招标文件开标一览表中规定的其它主要内容。唱标顺序</w:t>
      </w:r>
      <w:r>
        <w:rPr>
          <w:rFonts w:hint="eastAsia" w:ascii="仿宋" w:hAnsi="仿宋" w:eastAsia="仿宋" w:cs="仿宋"/>
          <w:color w:val="auto"/>
          <w:sz w:val="24"/>
          <w:lang w:eastAsia="zh-CN"/>
        </w:rPr>
        <w:t>按电子交易系统截标顺序排序</w:t>
      </w:r>
      <w:r>
        <w:rPr>
          <w:rFonts w:hint="eastAsia" w:ascii="仿宋" w:hAnsi="仿宋" w:eastAsia="仿宋" w:cs="仿宋"/>
          <w:color w:val="auto"/>
          <w:sz w:val="24"/>
        </w:rPr>
        <w:t>；</w:t>
      </w:r>
    </w:p>
    <w:p w14:paraId="166D39CB">
      <w:pPr>
        <w:pStyle w:val="12"/>
        <w:pageBreakBefore w:val="0"/>
        <w:kinsoku/>
        <w:topLinePunct w:val="0"/>
        <w:bidi w:val="0"/>
        <w:snapToGrid/>
        <w:spacing w:line="420" w:lineRule="exact"/>
        <w:ind w:left="0" w:leftChars="0" w:firstLine="540"/>
        <w:jc w:val="both"/>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4</w:t>
      </w:r>
      <w:r>
        <w:rPr>
          <w:rFonts w:hint="eastAsia" w:ascii="仿宋" w:hAnsi="仿宋" w:eastAsia="仿宋" w:cs="仿宋"/>
          <w:color w:val="auto"/>
          <w:sz w:val="24"/>
        </w:rPr>
        <w:t>)宣布评标期间的有关事项；</w:t>
      </w:r>
    </w:p>
    <w:p w14:paraId="3C1A64F7">
      <w:pPr>
        <w:pStyle w:val="12"/>
        <w:pageBreakBefore w:val="0"/>
        <w:kinsoku/>
        <w:topLinePunct w:val="0"/>
        <w:bidi w:val="0"/>
        <w:snapToGrid/>
        <w:spacing w:line="420" w:lineRule="exact"/>
        <w:ind w:left="0" w:leftChars="0" w:firstLine="540"/>
        <w:jc w:val="both"/>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)开标会议结束。</w:t>
      </w:r>
    </w:p>
    <w:p w14:paraId="4F844CD9">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4</w:t>
      </w:r>
      <w:r>
        <w:rPr>
          <w:rFonts w:hint="eastAsia" w:ascii="仿宋" w:hAnsi="仿宋" w:eastAsia="仿宋" w:cs="仿宋"/>
          <w:color w:val="auto"/>
          <w:sz w:val="24"/>
        </w:rPr>
        <w:t>开标工作人员做</w:t>
      </w:r>
      <w:r>
        <w:rPr>
          <w:rFonts w:hint="eastAsia" w:ascii="仿宋" w:hAnsi="仿宋" w:eastAsia="仿宋" w:cs="仿宋"/>
          <w:color w:val="auto"/>
          <w:sz w:val="24"/>
          <w:lang w:eastAsia="zh-CN"/>
        </w:rPr>
        <w:t>好</w:t>
      </w:r>
      <w:r>
        <w:rPr>
          <w:rFonts w:hint="eastAsia" w:ascii="仿宋" w:hAnsi="仿宋" w:eastAsia="仿宋" w:cs="仿宋"/>
          <w:color w:val="auto"/>
          <w:sz w:val="24"/>
        </w:rPr>
        <w:t>开标记录。</w:t>
      </w:r>
    </w:p>
    <w:p w14:paraId="1F272F74">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投标人对开标有异议的，应当在开标现场</w:t>
      </w:r>
      <w:r>
        <w:rPr>
          <w:rFonts w:hint="eastAsia" w:ascii="仿宋" w:hAnsi="仿宋" w:eastAsia="仿宋" w:cs="仿宋"/>
          <w:color w:val="auto"/>
          <w:sz w:val="24"/>
          <w:lang w:eastAsia="zh-CN"/>
        </w:rPr>
        <w:t>（电子交易系统）</w:t>
      </w:r>
      <w:r>
        <w:rPr>
          <w:rFonts w:hint="eastAsia" w:ascii="仿宋" w:hAnsi="仿宋" w:eastAsia="仿宋" w:cs="仿宋"/>
          <w:color w:val="auto"/>
          <w:sz w:val="24"/>
        </w:rPr>
        <w:t>提出</w:t>
      </w:r>
      <w:r>
        <w:rPr>
          <w:rFonts w:hint="eastAsia" w:ascii="仿宋" w:hAnsi="仿宋" w:eastAsia="仿宋" w:cs="仿宋"/>
          <w:color w:val="auto"/>
          <w:sz w:val="24"/>
          <w:lang w:eastAsia="zh-CN"/>
        </w:rPr>
        <w:t>异议</w:t>
      </w:r>
      <w:r>
        <w:rPr>
          <w:rFonts w:hint="eastAsia" w:ascii="仿宋" w:hAnsi="仿宋" w:eastAsia="仿宋" w:cs="仿宋"/>
          <w:color w:val="auto"/>
          <w:sz w:val="24"/>
        </w:rPr>
        <w:t>，采购人应当当场作出答复，并制作记录。</w:t>
      </w:r>
    </w:p>
    <w:p w14:paraId="1AE1B38D">
      <w:pPr>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23. 评标</w:t>
      </w:r>
    </w:p>
    <w:p w14:paraId="5BFE2A4B">
      <w:pPr>
        <w:keepNext w:val="0"/>
        <w:keepLines w:val="0"/>
        <w:pageBreakBefore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23.1评标由采购人依法组建的评标委员会负责。评标委员会由采购人代表和有关技术、经济等方面的专家组成，成员人数应当为五人及以上单数</w:t>
      </w:r>
      <w:r>
        <w:rPr>
          <w:rFonts w:hint="eastAsia" w:ascii="仿宋" w:hAnsi="仿宋" w:eastAsia="仿宋" w:cs="仿宋"/>
          <w:color w:val="auto"/>
          <w:sz w:val="24"/>
          <w:lang w:eastAsia="zh-CN"/>
        </w:rPr>
        <w:t>；技术复杂或社会影响较大、采购预算价超过</w:t>
      </w:r>
      <w:r>
        <w:rPr>
          <w:rFonts w:hint="eastAsia" w:ascii="仿宋" w:hAnsi="仿宋" w:eastAsia="仿宋" w:cs="仿宋"/>
          <w:color w:val="auto"/>
          <w:sz w:val="24"/>
          <w:lang w:val="en-US" w:eastAsia="zh-CN"/>
        </w:rPr>
        <w:t>1000万元的采购项目，专家成员人数应在七人及以上单数</w:t>
      </w:r>
      <w:r>
        <w:rPr>
          <w:rFonts w:hint="eastAsia" w:ascii="仿宋" w:hAnsi="仿宋" w:eastAsia="仿宋" w:cs="仿宋"/>
          <w:color w:val="auto"/>
          <w:sz w:val="24"/>
        </w:rPr>
        <w:t>。其中，技术、经济等方面的专家不得少于成员总数的三分之二。评标委员会应当推选组长，但采购人代表不得担任组长。</w:t>
      </w:r>
    </w:p>
    <w:p w14:paraId="46338C49">
      <w:pPr>
        <w:keepNext w:val="0"/>
        <w:keepLines w:val="0"/>
        <w:pageBreakBefore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23.2</w:t>
      </w:r>
      <w:r>
        <w:rPr>
          <w:rFonts w:hint="eastAsia" w:ascii="仿宋" w:hAnsi="仿宋" w:eastAsia="仿宋" w:cs="仿宋"/>
          <w:color w:val="auto"/>
          <w:sz w:val="24"/>
        </w:rPr>
        <w:t>采购人委派代表参加评标委员会的，要向采购代理机构出具授权函。除授权代表外，采购人可以委派纪检监察等相关人员进入评审现场，对评审工作实施监督，但不得超过2人。</w:t>
      </w:r>
    </w:p>
    <w:p w14:paraId="385CC450">
      <w:pPr>
        <w:pStyle w:val="12"/>
        <w:keepNext w:val="0"/>
        <w:keepLines w:val="0"/>
        <w:pageBreakBefore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bCs/>
          <w:color w:val="auto"/>
          <w:sz w:val="24"/>
        </w:rPr>
      </w:pPr>
      <w:bookmarkStart w:id="28" w:name="_Toc191374422"/>
      <w:r>
        <w:rPr>
          <w:rFonts w:hint="eastAsia" w:ascii="仿宋" w:hAnsi="仿宋" w:eastAsia="仿宋" w:cs="仿宋"/>
          <w:bCs/>
          <w:color w:val="auto"/>
          <w:sz w:val="24"/>
        </w:rPr>
        <w:t>23.</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评标原则</w:t>
      </w:r>
      <w:bookmarkEnd w:id="28"/>
    </w:p>
    <w:p w14:paraId="73BABE99">
      <w:pPr>
        <w:keepNext w:val="0"/>
        <w:keepLines w:val="0"/>
        <w:pageBreakBefore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评标活动遵循公平、公正、科学和择优的原则。</w:t>
      </w:r>
    </w:p>
    <w:p w14:paraId="4E8DA2A4">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bCs/>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4</w:t>
      </w:r>
      <w:r>
        <w:rPr>
          <w:rFonts w:hint="eastAsia" w:ascii="仿宋" w:hAnsi="仿宋" w:eastAsia="仿宋" w:cs="仿宋"/>
          <w:bCs/>
          <w:color w:val="auto"/>
          <w:sz w:val="24"/>
        </w:rPr>
        <w:t>评标方法</w:t>
      </w:r>
    </w:p>
    <w:p w14:paraId="16778046">
      <w:pPr>
        <w:keepNext w:val="0"/>
        <w:keepLines w:val="0"/>
        <w:pageBreakBefore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本项目按“投标人须知前附表”规定的评标方法评标。在评标中，不得改变招标文件中规定的评标标准、方法和中标条件。第六章“评标方法”没有规定的评审因素和标准，不作为评标依据。</w:t>
      </w:r>
    </w:p>
    <w:p w14:paraId="6292403A">
      <w:pPr>
        <w:keepNext w:val="0"/>
        <w:keepLines w:val="0"/>
        <w:pageBreakBefore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5</w:t>
      </w:r>
      <w:r>
        <w:rPr>
          <w:rFonts w:hint="eastAsia" w:ascii="仿宋" w:hAnsi="仿宋" w:eastAsia="仿宋" w:cs="仿宋"/>
          <w:color w:val="auto"/>
          <w:sz w:val="24"/>
        </w:rPr>
        <w:t>评标应当在严格保密的情况下进行。任何单位和个人不得非法干预、影响评标办法的确定，以及评标过程和结果。评标委员会成员和与评标活动有关的人员在政府采购活动中应严格遵守政府采购评审工作纪律，不得向外界泄露评审情况。</w:t>
      </w:r>
    </w:p>
    <w:p w14:paraId="2FAE609B">
      <w:pPr>
        <w:pageBreakBefore w:val="0"/>
        <w:widowControl/>
        <w:kinsoku/>
        <w:topLinePunct w:val="0"/>
        <w:bidi w:val="0"/>
        <w:snapToGrid/>
        <w:spacing w:line="420" w:lineRule="exact"/>
        <w:ind w:left="0" w:leftChars="0"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6</w:t>
      </w:r>
      <w:r>
        <w:rPr>
          <w:rFonts w:hint="eastAsia" w:ascii="仿宋" w:hAnsi="仿宋" w:eastAsia="仿宋" w:cs="仿宋"/>
          <w:color w:val="auto"/>
          <w:sz w:val="24"/>
        </w:rPr>
        <w:t>在评标过程中，</w:t>
      </w:r>
      <w:r>
        <w:rPr>
          <w:rFonts w:hint="eastAsia" w:ascii="仿宋" w:hAnsi="仿宋" w:eastAsia="仿宋" w:cs="仿宋"/>
          <w:color w:val="auto"/>
          <w:sz w:val="24"/>
          <w:lang w:eastAsia="zh-CN"/>
        </w:rPr>
        <w:t>涉及货物采购部分，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r>
        <w:rPr>
          <w:rFonts w:hint="eastAsia" w:ascii="仿宋" w:hAnsi="仿宋" w:eastAsia="仿宋" w:cs="仿宋"/>
          <w:b/>
          <w:bCs/>
          <w:color w:val="auto"/>
          <w:sz w:val="24"/>
          <w:lang w:eastAsia="zh-CN"/>
        </w:rPr>
        <w:t>使用综合评分法的采购项目</w:t>
      </w:r>
      <w:r>
        <w:rPr>
          <w:rFonts w:hint="eastAsia" w:ascii="仿宋" w:hAnsi="仿宋" w:eastAsia="仿宋" w:cs="仿宋"/>
          <w:color w:val="auto"/>
          <w:sz w:val="24"/>
          <w:lang w:eastAsia="zh-CN"/>
        </w:rPr>
        <w:t>，提供相同品牌产品且通过资格审查、符合性审查的不同供应商参加同一合同项下投标的，按一家供应商计算，评审后得分最高的同品牌供应商获得中标人推荐资格；评审得分相同的，</w:t>
      </w:r>
      <w:r>
        <w:rPr>
          <w:rFonts w:hint="eastAsia" w:ascii="仿宋" w:hAnsi="仿宋" w:eastAsia="仿宋" w:cs="仿宋"/>
          <w:b/>
          <w:bCs/>
          <w:color w:val="auto"/>
          <w:sz w:val="24"/>
          <w:lang w:eastAsia="zh-CN"/>
        </w:rPr>
        <w:t>由采购人委托评标委员会依次按价格部分得分高优先、技术部分得分高优先、商务部分得分高优先的顺序确定；所有得分均相等的，主要技术指标高优先、质保期长优先、交货时间短优先、故障到达时间短优先的顺序确定一个投标人获得中标人推荐资格，其他同品牌供应商不作为中标候选人。</w:t>
      </w:r>
      <w:r>
        <w:rPr>
          <w:rFonts w:hint="eastAsia" w:ascii="仿宋" w:hAnsi="仿宋" w:eastAsia="仿宋" w:cs="仿宋"/>
          <w:color w:val="auto"/>
          <w:sz w:val="24"/>
          <w:lang w:eastAsia="zh-CN"/>
        </w:rPr>
        <w:t>非单一产品采购项目，采购人应当根据采购项目技术构成、产品价格比重等合理确定核心产品，并在招标文件中载明。多家供应商提供的核心产品品牌相同的，按前两款规定处理</w:t>
      </w:r>
      <w:r>
        <w:rPr>
          <w:rFonts w:hint="eastAsia" w:ascii="仿宋" w:hAnsi="仿宋" w:eastAsia="仿宋" w:cs="仿宋"/>
          <w:color w:val="auto"/>
          <w:sz w:val="24"/>
          <w:szCs w:val="20"/>
        </w:rPr>
        <w:t>。</w:t>
      </w:r>
    </w:p>
    <w:p w14:paraId="66243320">
      <w:pPr>
        <w:pStyle w:val="12"/>
        <w:pageBreakBefore w:val="0"/>
        <w:numPr>
          <w:ilvl w:val="0"/>
          <w:numId w:val="0"/>
        </w:numPr>
        <w:kinsoku/>
        <w:topLinePunct w:val="0"/>
        <w:bidi w:val="0"/>
        <w:snapToGrid/>
        <w:spacing w:line="420" w:lineRule="exact"/>
        <w:ind w:left="0" w:leftChars="0"/>
        <w:jc w:val="both"/>
        <w:rPr>
          <w:rFonts w:hint="eastAsia" w:ascii="仿宋" w:hAnsi="仿宋" w:eastAsia="仿宋" w:cs="仿宋"/>
          <w:bCs/>
          <w:color w:val="auto"/>
          <w:sz w:val="24"/>
          <w:lang w:val="en-US" w:eastAsia="zh-CN"/>
        </w:rPr>
      </w:pPr>
      <w:r>
        <w:rPr>
          <w:rFonts w:hint="eastAsia" w:ascii="仿宋" w:hAnsi="仿宋" w:eastAsia="仿宋" w:cs="仿宋"/>
          <w:b/>
          <w:color w:val="auto"/>
          <w:sz w:val="24"/>
          <w:lang w:val="en-US" w:eastAsia="zh-CN"/>
        </w:rPr>
        <w:t>24.</w:t>
      </w:r>
      <w:r>
        <w:rPr>
          <w:rFonts w:hint="eastAsia" w:ascii="仿宋" w:hAnsi="仿宋" w:eastAsia="仿宋" w:cs="仿宋"/>
          <w:b/>
          <w:color w:val="auto"/>
          <w:sz w:val="24"/>
        </w:rPr>
        <w:t xml:space="preserve"> </w:t>
      </w:r>
      <w:r>
        <w:rPr>
          <w:rFonts w:hint="eastAsia" w:ascii="仿宋" w:hAnsi="仿宋" w:eastAsia="仿宋" w:cs="仿宋"/>
          <w:b/>
          <w:color w:val="auto"/>
          <w:sz w:val="24"/>
          <w:lang w:val="en-US" w:eastAsia="zh-CN"/>
        </w:rPr>
        <w:t>废标情形</w:t>
      </w:r>
      <w:r>
        <w:rPr>
          <w:rFonts w:hint="eastAsia" w:ascii="仿宋" w:hAnsi="仿宋" w:eastAsia="仿宋" w:cs="仿宋"/>
          <w:bCs/>
          <w:color w:val="auto"/>
          <w:sz w:val="24"/>
          <w:lang w:val="en-US" w:eastAsia="zh-CN"/>
        </w:rPr>
        <w:t xml:space="preserve"> </w:t>
      </w:r>
    </w:p>
    <w:p w14:paraId="22D201E0">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24.1</w:t>
      </w:r>
      <w:r>
        <w:rPr>
          <w:rFonts w:hint="eastAsia" w:ascii="仿宋" w:hAnsi="仿宋" w:eastAsia="仿宋" w:cs="仿宋"/>
          <w:color w:val="auto"/>
          <w:sz w:val="24"/>
        </w:rPr>
        <w:t>在招标采购中，出现下列情形之一的，应予废标：</w:t>
      </w:r>
    </w:p>
    <w:p w14:paraId="2CB3282B">
      <w:pPr>
        <w:pStyle w:val="12"/>
        <w:pageBreakBefore w:val="0"/>
        <w:kinsoku/>
        <w:topLinePunct w:val="0"/>
        <w:bidi w:val="0"/>
        <w:snapToGrid/>
        <w:spacing w:line="420" w:lineRule="exact"/>
        <w:ind w:left="0" w:leftChars="0" w:hanging="1"/>
        <w:jc w:val="both"/>
        <w:rPr>
          <w:rFonts w:hint="eastAsia" w:ascii="仿宋" w:hAnsi="仿宋" w:eastAsia="仿宋" w:cs="仿宋"/>
          <w:color w:val="auto"/>
          <w:sz w:val="24"/>
        </w:rPr>
      </w:pPr>
      <w:r>
        <w:rPr>
          <w:rFonts w:hint="eastAsia" w:ascii="仿宋" w:hAnsi="仿宋" w:eastAsia="仿宋" w:cs="仿宋"/>
          <w:color w:val="auto"/>
          <w:sz w:val="24"/>
        </w:rPr>
        <w:t>(1)符合专业条件的</w:t>
      </w:r>
      <w:r>
        <w:rPr>
          <w:rFonts w:hint="eastAsia" w:ascii="仿宋" w:hAnsi="仿宋" w:eastAsia="仿宋" w:cs="仿宋"/>
          <w:color w:val="auto"/>
          <w:sz w:val="24"/>
          <w:lang w:eastAsia="zh-CN"/>
        </w:rPr>
        <w:t>投标人</w:t>
      </w:r>
      <w:r>
        <w:rPr>
          <w:rFonts w:hint="eastAsia" w:ascii="仿宋" w:hAnsi="仿宋" w:eastAsia="仿宋" w:cs="仿宋"/>
          <w:color w:val="auto"/>
          <w:sz w:val="24"/>
        </w:rPr>
        <w:t>或者对招标文件作实质响应的投标</w:t>
      </w:r>
      <w:r>
        <w:rPr>
          <w:rFonts w:hint="eastAsia" w:ascii="仿宋" w:hAnsi="仿宋" w:eastAsia="仿宋" w:cs="仿宋"/>
          <w:color w:val="auto"/>
          <w:sz w:val="24"/>
          <w:lang w:eastAsia="zh-CN"/>
        </w:rPr>
        <w:t>投标人</w:t>
      </w:r>
      <w:r>
        <w:rPr>
          <w:rFonts w:hint="eastAsia" w:ascii="仿宋" w:hAnsi="仿宋" w:eastAsia="仿宋" w:cs="仿宋"/>
          <w:color w:val="auto"/>
          <w:sz w:val="24"/>
        </w:rPr>
        <w:t>不足3家的；</w:t>
      </w:r>
    </w:p>
    <w:p w14:paraId="0B810ABE">
      <w:pPr>
        <w:pStyle w:val="12"/>
        <w:pageBreakBefore w:val="0"/>
        <w:kinsoku/>
        <w:topLinePunct w:val="0"/>
        <w:bidi w:val="0"/>
        <w:snapToGrid/>
        <w:spacing w:line="420" w:lineRule="exact"/>
        <w:ind w:left="0" w:leftChars="0" w:hanging="1"/>
        <w:jc w:val="both"/>
        <w:rPr>
          <w:rFonts w:hint="eastAsia" w:ascii="仿宋" w:hAnsi="仿宋" w:eastAsia="仿宋" w:cs="仿宋"/>
          <w:color w:val="auto"/>
          <w:sz w:val="24"/>
        </w:rPr>
      </w:pPr>
      <w:r>
        <w:rPr>
          <w:rFonts w:hint="eastAsia" w:ascii="仿宋" w:hAnsi="仿宋" w:eastAsia="仿宋" w:cs="仿宋"/>
          <w:color w:val="auto"/>
          <w:sz w:val="24"/>
        </w:rPr>
        <w:t>(2)出现影响采购公正的违法、违规行为的；</w:t>
      </w:r>
    </w:p>
    <w:p w14:paraId="046F1278">
      <w:pPr>
        <w:pStyle w:val="12"/>
        <w:pageBreakBefore w:val="0"/>
        <w:kinsoku/>
        <w:topLinePunct w:val="0"/>
        <w:bidi w:val="0"/>
        <w:snapToGrid/>
        <w:spacing w:line="420" w:lineRule="exact"/>
        <w:ind w:left="0" w:leftChars="0" w:hanging="1"/>
        <w:jc w:val="both"/>
        <w:rPr>
          <w:rFonts w:hint="eastAsia" w:ascii="仿宋" w:hAnsi="仿宋" w:eastAsia="仿宋" w:cs="仿宋"/>
          <w:color w:val="auto"/>
          <w:sz w:val="24"/>
        </w:rPr>
      </w:pPr>
      <w:r>
        <w:rPr>
          <w:rFonts w:hint="eastAsia" w:ascii="仿宋" w:hAnsi="仿宋" w:eastAsia="仿宋" w:cs="仿宋"/>
          <w:color w:val="auto"/>
          <w:sz w:val="24"/>
        </w:rPr>
        <w:t>(3)投标人的报价均超过了采购预算，采购人不能支付的；</w:t>
      </w:r>
    </w:p>
    <w:p w14:paraId="5FF38D09">
      <w:pPr>
        <w:pStyle w:val="12"/>
        <w:pageBreakBefore w:val="0"/>
        <w:kinsoku/>
        <w:topLinePunct w:val="0"/>
        <w:bidi w:val="0"/>
        <w:snapToGrid/>
        <w:spacing w:line="420" w:lineRule="exact"/>
        <w:ind w:left="0" w:leftChars="0" w:hanging="1"/>
        <w:jc w:val="both"/>
        <w:rPr>
          <w:rFonts w:hint="eastAsia" w:ascii="仿宋" w:hAnsi="仿宋" w:eastAsia="仿宋" w:cs="仿宋"/>
          <w:color w:val="auto"/>
          <w:sz w:val="24"/>
        </w:rPr>
      </w:pPr>
      <w:r>
        <w:rPr>
          <w:rFonts w:hint="eastAsia" w:ascii="仿宋" w:hAnsi="仿宋" w:eastAsia="仿宋" w:cs="仿宋"/>
          <w:color w:val="auto"/>
          <w:sz w:val="24"/>
        </w:rPr>
        <w:t>(4)因重大变故，采购任务取消的。</w:t>
      </w:r>
    </w:p>
    <w:p w14:paraId="51EA2169">
      <w:pPr>
        <w:pStyle w:val="12"/>
        <w:pageBreakBefore w:val="0"/>
        <w:kinsoku/>
        <w:topLinePunct w:val="0"/>
        <w:bidi w:val="0"/>
        <w:snapToGrid/>
        <w:spacing w:line="420" w:lineRule="exact"/>
        <w:ind w:left="0" w:leftChars="0"/>
        <w:jc w:val="both"/>
        <w:rPr>
          <w:rFonts w:hint="eastAsia" w:ascii="仿宋" w:hAnsi="仿宋" w:eastAsia="仿宋" w:cs="仿宋"/>
          <w:color w:val="auto"/>
          <w:sz w:val="24"/>
        </w:rPr>
      </w:pPr>
      <w:r>
        <w:rPr>
          <w:rFonts w:hint="eastAsia" w:ascii="仿宋" w:hAnsi="仿宋" w:eastAsia="仿宋" w:cs="仿宋"/>
          <w:color w:val="auto"/>
        </w:rPr>
        <w:t xml:space="preserve">    </w:t>
      </w:r>
      <w:r>
        <w:rPr>
          <w:rFonts w:hint="eastAsia" w:ascii="仿宋" w:hAnsi="仿宋" w:eastAsia="仿宋" w:cs="仿宋"/>
          <w:color w:val="auto"/>
          <w:sz w:val="24"/>
        </w:rPr>
        <w:t>废标后，采购人应当将废标理由通知所有投标人。</w:t>
      </w:r>
    </w:p>
    <w:p w14:paraId="36B25F04">
      <w:pPr>
        <w:pStyle w:val="12"/>
        <w:keepNext w:val="0"/>
        <w:keepLines w:val="0"/>
        <w:pageBreakBefore w:val="0"/>
        <w:widowControl w:val="0"/>
        <w:kinsoku/>
        <w:wordWrap/>
        <w:overflowPunct/>
        <w:topLinePunct w:val="0"/>
        <w:autoSpaceDE/>
        <w:autoSpaceDN/>
        <w:bidi w:val="0"/>
        <w:adjustRightInd/>
        <w:snapToGrid/>
        <w:spacing w:before="331" w:beforeLines="100" w:line="420" w:lineRule="exact"/>
        <w:ind w:left="284" w:leftChars="0" w:hanging="284" w:hangingChars="101"/>
        <w:jc w:val="center"/>
        <w:textAlignment w:val="auto"/>
        <w:rPr>
          <w:rFonts w:hint="eastAsia" w:ascii="仿宋" w:hAnsi="仿宋" w:eastAsia="仿宋" w:cs="仿宋"/>
          <w:b/>
          <w:color w:val="auto"/>
          <w:sz w:val="28"/>
          <w:szCs w:val="21"/>
        </w:rPr>
      </w:pPr>
      <w:bookmarkStart w:id="29" w:name="_Toc26362"/>
      <w:r>
        <w:rPr>
          <w:rFonts w:hint="eastAsia" w:ascii="仿宋" w:hAnsi="仿宋" w:eastAsia="仿宋" w:cs="仿宋"/>
          <w:b/>
          <w:color w:val="auto"/>
          <w:sz w:val="28"/>
          <w:szCs w:val="21"/>
        </w:rPr>
        <w:t>六、中标结果</w:t>
      </w:r>
      <w:bookmarkEnd w:id="29"/>
    </w:p>
    <w:p w14:paraId="182BBAEF">
      <w:pPr>
        <w:pStyle w:val="12"/>
        <w:pageBreakBefore w:val="0"/>
        <w:kinsoku/>
        <w:topLinePunct w:val="0"/>
        <w:bidi w:val="0"/>
        <w:snapToGrid/>
        <w:spacing w:line="420" w:lineRule="exact"/>
        <w:ind w:left="0" w:leftChars="0"/>
        <w:jc w:val="both"/>
        <w:rPr>
          <w:rFonts w:hint="eastAsia" w:ascii="仿宋" w:hAnsi="仿宋" w:eastAsia="仿宋" w:cs="仿宋"/>
          <w:b/>
          <w:color w:val="auto"/>
          <w:sz w:val="24"/>
        </w:rPr>
      </w:pPr>
      <w:r>
        <w:rPr>
          <w:rFonts w:hint="eastAsia" w:ascii="仿宋" w:hAnsi="仿宋" w:eastAsia="仿宋" w:cs="仿宋"/>
          <w:b/>
          <w:color w:val="auto"/>
          <w:sz w:val="24"/>
        </w:rPr>
        <w:t>25. 中标人的确定</w:t>
      </w:r>
    </w:p>
    <w:p w14:paraId="04ECF282">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25.1采购代理机构应当自评审结束之日起</w:t>
      </w:r>
      <w:r>
        <w:rPr>
          <w:rFonts w:hint="eastAsia" w:ascii="仿宋" w:hAnsi="仿宋" w:eastAsia="仿宋" w:cs="仿宋"/>
          <w:color w:val="auto"/>
          <w:sz w:val="24"/>
          <w:lang w:val="en-US" w:eastAsia="zh-CN"/>
        </w:rPr>
        <w:t>2</w:t>
      </w:r>
      <w:r>
        <w:rPr>
          <w:rFonts w:hint="eastAsia" w:ascii="仿宋" w:hAnsi="仿宋" w:eastAsia="仿宋" w:cs="仿宋"/>
          <w:color w:val="auto"/>
          <w:sz w:val="24"/>
        </w:rPr>
        <w:t>个工作日内将评审报告送交采购人。</w:t>
      </w:r>
    </w:p>
    <w:p w14:paraId="170CC6E9">
      <w:pPr>
        <w:pStyle w:val="10"/>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25.2采购人应当自收到</w:t>
      </w:r>
      <w:r>
        <w:rPr>
          <w:rFonts w:hint="eastAsia" w:ascii="仿宋" w:hAnsi="仿宋" w:eastAsia="仿宋" w:cs="仿宋"/>
          <w:color w:val="auto"/>
          <w:sz w:val="24"/>
          <w:lang w:eastAsia="zh-CN"/>
        </w:rPr>
        <w:t>评标</w:t>
      </w:r>
      <w:r>
        <w:rPr>
          <w:rFonts w:hint="eastAsia" w:ascii="仿宋" w:hAnsi="仿宋" w:eastAsia="仿宋" w:cs="仿宋"/>
          <w:color w:val="auto"/>
          <w:sz w:val="24"/>
        </w:rPr>
        <w:t>报告之日起</w:t>
      </w:r>
      <w:r>
        <w:rPr>
          <w:rFonts w:hint="eastAsia" w:ascii="仿宋" w:hAnsi="仿宋" w:eastAsia="仿宋" w:cs="仿宋"/>
          <w:color w:val="auto"/>
          <w:sz w:val="24"/>
          <w:lang w:val="en-US" w:eastAsia="zh-CN"/>
        </w:rPr>
        <w:t>5</w:t>
      </w:r>
      <w:r>
        <w:rPr>
          <w:rFonts w:hint="eastAsia" w:ascii="仿宋" w:hAnsi="仿宋" w:eastAsia="仿宋" w:cs="仿宋"/>
          <w:color w:val="auto"/>
          <w:sz w:val="24"/>
        </w:rPr>
        <w:t>个工作日内在</w:t>
      </w:r>
      <w:r>
        <w:rPr>
          <w:rFonts w:hint="eastAsia" w:ascii="仿宋" w:hAnsi="仿宋" w:eastAsia="仿宋" w:cs="仿宋"/>
          <w:color w:val="auto"/>
          <w:sz w:val="24"/>
          <w:lang w:eastAsia="zh-CN"/>
        </w:rPr>
        <w:t>评标</w:t>
      </w:r>
      <w:r>
        <w:rPr>
          <w:rFonts w:hint="eastAsia" w:ascii="仿宋" w:hAnsi="仿宋" w:eastAsia="仿宋" w:cs="仿宋"/>
          <w:color w:val="auto"/>
          <w:sz w:val="24"/>
        </w:rPr>
        <w:t>报告推荐的中标候选人按顺序确定中标人。中标候选人并列的，由采购人或者采购人委托评标委员会按照招标文件规定的方式确定中标人；招标文件未规定的，采取随机抽取的方式确定</w:t>
      </w:r>
      <w:r>
        <w:rPr>
          <w:rFonts w:hint="eastAsia" w:ascii="仿宋" w:hAnsi="仿宋" w:eastAsia="仿宋" w:cs="仿宋"/>
          <w:color w:val="auto"/>
          <w:sz w:val="24"/>
          <w:lang w:eastAsia="zh-CN"/>
        </w:rPr>
        <w:t>。</w:t>
      </w:r>
      <w:r>
        <w:rPr>
          <w:rFonts w:hint="eastAsia" w:ascii="仿宋" w:hAnsi="仿宋" w:eastAsia="仿宋" w:cs="仿宋"/>
          <w:color w:val="auto"/>
          <w:sz w:val="24"/>
        </w:rPr>
        <w:t>采购人在收到评标报告5个工作日内未按评标报告推荐的中标候选人顺序确定中标人，又不能说明合法理由的，视同按评标报告推荐的顺序确定排名第一的中标候选人为中标人。</w:t>
      </w:r>
    </w:p>
    <w:p w14:paraId="6D240540">
      <w:pPr>
        <w:pStyle w:val="10"/>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25.3采购人或者采购代理机构应当自中标</w:t>
      </w:r>
      <w:r>
        <w:rPr>
          <w:rFonts w:hint="eastAsia" w:ascii="仿宋" w:hAnsi="仿宋" w:eastAsia="仿宋" w:cs="仿宋"/>
          <w:color w:val="auto"/>
          <w:sz w:val="24"/>
          <w:lang w:eastAsia="zh-CN"/>
        </w:rPr>
        <w:t>人</w:t>
      </w:r>
      <w:r>
        <w:rPr>
          <w:rFonts w:hint="eastAsia" w:ascii="仿宋" w:hAnsi="仿宋" w:eastAsia="仿宋" w:cs="仿宋"/>
          <w:color w:val="auto"/>
          <w:sz w:val="24"/>
        </w:rPr>
        <w:t>确定之日起2个工作日内，发出中标交通知书，并在省级以上人民政府财政部门指定的媒体上公告中标结果，招标文件随中标结果同时公告。</w:t>
      </w:r>
    </w:p>
    <w:p w14:paraId="060AAF96">
      <w:pPr>
        <w:pStyle w:val="10"/>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25.4中标结果公告内容应当包括采购人和采购代理机构的名称、地址、联系方式，项目名称和项目编号，成交投标</w:t>
      </w:r>
      <w:r>
        <w:rPr>
          <w:rFonts w:hint="eastAsia" w:ascii="仿宋" w:hAnsi="仿宋" w:eastAsia="仿宋" w:cs="仿宋"/>
          <w:color w:val="auto"/>
          <w:sz w:val="24"/>
          <w:lang w:eastAsia="zh-CN"/>
        </w:rPr>
        <w:t>投标人</w:t>
      </w:r>
      <w:r>
        <w:rPr>
          <w:rFonts w:hint="eastAsia" w:ascii="仿宋" w:hAnsi="仿宋" w:eastAsia="仿宋" w:cs="仿宋"/>
          <w:color w:val="auto"/>
          <w:sz w:val="24"/>
        </w:rPr>
        <w:t>名称、地址和成交金额，主要成交标的的名称、规格型号、数量、单价、服务要求以及评审专家名单。</w:t>
      </w:r>
    </w:p>
    <w:p w14:paraId="65957B79">
      <w:pPr>
        <w:pStyle w:val="12"/>
        <w:pageBreakBefore w:val="0"/>
        <w:kinsoku/>
        <w:topLinePunct w:val="0"/>
        <w:bidi w:val="0"/>
        <w:snapToGrid/>
        <w:spacing w:line="420" w:lineRule="exact"/>
        <w:ind w:left="0" w:leftChars="0"/>
        <w:jc w:val="both"/>
        <w:rPr>
          <w:rFonts w:hint="eastAsia" w:ascii="仿宋" w:hAnsi="仿宋" w:eastAsia="仿宋" w:cs="仿宋"/>
          <w:b/>
          <w:bCs/>
          <w:color w:val="auto"/>
          <w:sz w:val="24"/>
        </w:rPr>
      </w:pPr>
      <w:r>
        <w:rPr>
          <w:rFonts w:hint="eastAsia" w:ascii="仿宋" w:hAnsi="仿宋" w:eastAsia="仿宋" w:cs="仿宋"/>
          <w:b/>
          <w:bCs/>
          <w:color w:val="auto"/>
          <w:sz w:val="24"/>
        </w:rPr>
        <w:t>26. 中标通知书</w:t>
      </w:r>
    </w:p>
    <w:p w14:paraId="2297CB52">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26.1中标通知书是合同的一个组成部分。</w:t>
      </w:r>
    </w:p>
    <w:p w14:paraId="6D0FB797">
      <w:pPr>
        <w:pStyle w:val="12"/>
        <w:pageBreakBefore w:val="0"/>
        <w:kinsoku/>
        <w:topLinePunct w:val="0"/>
        <w:bidi w:val="0"/>
        <w:snapToGrid/>
        <w:spacing w:line="420" w:lineRule="exact"/>
        <w:ind w:left="0" w:leftChars="0"/>
        <w:jc w:val="both"/>
        <w:rPr>
          <w:rFonts w:hint="eastAsia" w:ascii="仿宋" w:hAnsi="仿宋" w:eastAsia="仿宋" w:cs="仿宋"/>
          <w:b/>
          <w:bCs/>
          <w:color w:val="auto"/>
          <w:sz w:val="24"/>
        </w:rPr>
      </w:pPr>
      <w:r>
        <w:rPr>
          <w:rFonts w:hint="eastAsia" w:ascii="仿宋" w:hAnsi="仿宋" w:eastAsia="仿宋" w:cs="仿宋"/>
          <w:b/>
          <w:bCs/>
          <w:color w:val="auto"/>
          <w:sz w:val="24"/>
        </w:rPr>
        <w:t>27. 签订合同</w:t>
      </w:r>
    </w:p>
    <w:p w14:paraId="18572D54">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27.1采购人与中标人应当在中标通知书发出之日起三十日内，按照</w:t>
      </w:r>
      <w:r>
        <w:rPr>
          <w:rFonts w:hint="eastAsia" w:ascii="仿宋" w:hAnsi="仿宋" w:eastAsia="仿宋" w:cs="仿宋"/>
          <w:color w:val="auto"/>
          <w:sz w:val="24"/>
          <w:lang w:eastAsia="zh-CN"/>
        </w:rPr>
        <w:t>招标文件</w:t>
      </w:r>
      <w:r>
        <w:rPr>
          <w:rFonts w:hint="eastAsia" w:ascii="仿宋" w:hAnsi="仿宋" w:eastAsia="仿宋" w:cs="仿宋"/>
          <w:color w:val="auto"/>
          <w:sz w:val="24"/>
        </w:rPr>
        <w:t>确定的事项签订政府采购合同。</w:t>
      </w:r>
    </w:p>
    <w:p w14:paraId="073939DA">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27.2中标人因不可抗力或者自身原因不能履行政府采购合同的，采购人按响应的法律法规处理。</w:t>
      </w:r>
    </w:p>
    <w:p w14:paraId="763B7EB3">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27.3政府采购合同履行中，采购人需追加与合同标的相同的货物的，在不改变合同其他条款的前提下，可以与中标人协商签订补充合同，但所有补充合同的采购金额不得超过原合同采购金额的百分之十。</w:t>
      </w:r>
    </w:p>
    <w:p w14:paraId="48321B73">
      <w:pPr>
        <w:pStyle w:val="12"/>
        <w:pageBreakBefore w:val="0"/>
        <w:kinsoku/>
        <w:topLinePunct w:val="0"/>
        <w:bidi w:val="0"/>
        <w:snapToGrid/>
        <w:spacing w:line="420" w:lineRule="exact"/>
        <w:ind w:left="0" w:leftChars="0"/>
        <w:jc w:val="both"/>
        <w:rPr>
          <w:rFonts w:hint="eastAsia" w:ascii="仿宋" w:hAnsi="仿宋" w:eastAsia="仿宋" w:cs="仿宋"/>
          <w:b/>
          <w:bCs/>
          <w:color w:val="auto"/>
          <w:sz w:val="24"/>
        </w:rPr>
      </w:pPr>
      <w:r>
        <w:rPr>
          <w:rFonts w:hint="eastAsia" w:ascii="仿宋" w:hAnsi="仿宋" w:eastAsia="仿宋" w:cs="仿宋"/>
          <w:b/>
          <w:bCs/>
          <w:color w:val="auto"/>
          <w:sz w:val="24"/>
        </w:rPr>
        <w:t>28. 履约担保</w:t>
      </w:r>
    </w:p>
    <w:p w14:paraId="4C37FC8B">
      <w:pPr>
        <w:pStyle w:val="12"/>
        <w:keepNext w:val="0"/>
        <w:keepLines w:val="0"/>
        <w:pageBreakBefore w:val="0"/>
        <w:widowControl w:val="0"/>
        <w:tabs>
          <w:tab w:val="left" w:pos="710"/>
        </w:tabs>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28.1签订合同前，中标人应按“投标人须知前附表”上确定的履约担保的金额及形式，向采购人提交履约担保，联合体中标的，其履约担保由牵头人递交。否则，视为放弃中标项目，投标保证金将不予退还。</w:t>
      </w:r>
    </w:p>
    <w:p w14:paraId="1A9C8EE2">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28.2签订合同后，如中标人不按双方签订合同约定履约，则没收其全部履约保证金，履约保证金不足以赔偿损失的，按实际损失赔偿。</w:t>
      </w:r>
    </w:p>
    <w:p w14:paraId="40DA30B0">
      <w:pPr>
        <w:pStyle w:val="12"/>
        <w:keepNext w:val="0"/>
        <w:keepLines w:val="0"/>
        <w:pageBreakBefore w:val="0"/>
        <w:widowControl w:val="0"/>
        <w:kinsoku/>
        <w:wordWrap/>
        <w:overflowPunct/>
        <w:topLinePunct w:val="0"/>
        <w:autoSpaceDE/>
        <w:autoSpaceDN/>
        <w:bidi w:val="0"/>
        <w:adjustRightInd/>
        <w:snapToGrid/>
        <w:spacing w:before="331" w:beforeLines="100" w:line="420" w:lineRule="exact"/>
        <w:ind w:left="284" w:leftChars="0" w:hanging="284" w:hangingChars="101"/>
        <w:jc w:val="center"/>
        <w:textAlignment w:val="auto"/>
        <w:rPr>
          <w:rFonts w:hint="eastAsia" w:ascii="仿宋" w:hAnsi="仿宋" w:eastAsia="仿宋" w:cs="仿宋"/>
          <w:b/>
          <w:color w:val="auto"/>
          <w:sz w:val="28"/>
          <w:szCs w:val="21"/>
        </w:rPr>
      </w:pPr>
      <w:bookmarkStart w:id="30" w:name="_Toc11543"/>
      <w:r>
        <w:rPr>
          <w:rFonts w:hint="eastAsia" w:ascii="仿宋" w:hAnsi="仿宋" w:eastAsia="仿宋" w:cs="仿宋"/>
          <w:b/>
          <w:color w:val="auto"/>
          <w:sz w:val="28"/>
          <w:szCs w:val="21"/>
        </w:rPr>
        <w:t>七、其他事项</w:t>
      </w:r>
      <w:bookmarkEnd w:id="30"/>
    </w:p>
    <w:p w14:paraId="7BCEEA36">
      <w:pPr>
        <w:pStyle w:val="12"/>
        <w:pageBreakBefore w:val="0"/>
        <w:kinsoku/>
        <w:topLinePunct w:val="0"/>
        <w:bidi w:val="0"/>
        <w:snapToGrid/>
        <w:spacing w:line="420" w:lineRule="exact"/>
        <w:ind w:left="0" w:leftChars="0"/>
        <w:jc w:val="both"/>
        <w:rPr>
          <w:rFonts w:hint="eastAsia" w:ascii="仿宋" w:hAnsi="仿宋" w:eastAsia="仿宋" w:cs="仿宋"/>
          <w:b/>
          <w:bCs/>
          <w:color w:val="auto"/>
          <w:sz w:val="24"/>
        </w:rPr>
      </w:pPr>
      <w:r>
        <w:rPr>
          <w:rFonts w:hint="eastAsia" w:ascii="仿宋" w:hAnsi="仿宋" w:eastAsia="仿宋" w:cs="仿宋"/>
          <w:b/>
          <w:bCs/>
          <w:color w:val="auto"/>
          <w:sz w:val="24"/>
        </w:rPr>
        <w:t>29. 招标文件编制依据</w:t>
      </w:r>
    </w:p>
    <w:p w14:paraId="6CCC1759">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29.1本招标文件根据《中华人民共和国政府采购法》、《中华人民共和国政府采购</w:t>
      </w:r>
      <w:r>
        <w:rPr>
          <w:rFonts w:hint="eastAsia" w:ascii="仿宋" w:hAnsi="仿宋" w:eastAsia="仿宋" w:cs="仿宋"/>
          <w:color w:val="auto"/>
          <w:sz w:val="24"/>
          <w:lang w:eastAsia="zh-CN"/>
        </w:rPr>
        <w:t>法</w:t>
      </w:r>
      <w:r>
        <w:rPr>
          <w:rFonts w:hint="eastAsia" w:ascii="仿宋" w:hAnsi="仿宋" w:eastAsia="仿宋" w:cs="仿宋"/>
          <w:color w:val="auto"/>
          <w:sz w:val="24"/>
        </w:rPr>
        <w:t>实施条例》及相关法律法规编制。本招标文件的解释权属</w:t>
      </w:r>
      <w:r>
        <w:rPr>
          <w:rFonts w:hint="eastAsia" w:ascii="仿宋" w:hAnsi="仿宋" w:eastAsia="仿宋" w:cs="仿宋"/>
          <w:color w:val="auto"/>
          <w:sz w:val="24"/>
          <w:lang w:eastAsia="zh-CN"/>
        </w:rPr>
        <w:t>采购人</w:t>
      </w:r>
      <w:r>
        <w:rPr>
          <w:rFonts w:hint="eastAsia" w:ascii="仿宋" w:hAnsi="仿宋" w:eastAsia="仿宋" w:cs="仿宋"/>
          <w:color w:val="auto"/>
          <w:sz w:val="24"/>
        </w:rPr>
        <w:t>或采购代理机构。</w:t>
      </w:r>
    </w:p>
    <w:p w14:paraId="3B0B1D02">
      <w:pPr>
        <w:pStyle w:val="12"/>
        <w:pageBreakBefore w:val="0"/>
        <w:kinsoku/>
        <w:topLinePunct w:val="0"/>
        <w:bidi w:val="0"/>
        <w:snapToGrid/>
        <w:spacing w:line="420" w:lineRule="exact"/>
        <w:ind w:left="0" w:leftChars="0"/>
        <w:jc w:val="both"/>
        <w:rPr>
          <w:rFonts w:hint="eastAsia" w:ascii="仿宋" w:hAnsi="仿宋" w:eastAsia="仿宋" w:cs="仿宋"/>
          <w:b/>
          <w:bCs/>
          <w:color w:val="auto"/>
          <w:sz w:val="24"/>
        </w:rPr>
      </w:pPr>
      <w:r>
        <w:rPr>
          <w:rFonts w:hint="eastAsia" w:ascii="仿宋" w:hAnsi="仿宋" w:eastAsia="仿宋" w:cs="仿宋"/>
          <w:b/>
          <w:bCs/>
          <w:color w:val="auto"/>
          <w:sz w:val="24"/>
        </w:rPr>
        <w:t>30.</w:t>
      </w:r>
      <w:r>
        <w:rPr>
          <w:rFonts w:hint="eastAsia" w:ascii="仿宋" w:hAnsi="仿宋" w:eastAsia="仿宋" w:cs="仿宋"/>
          <w:b/>
          <w:color w:val="auto"/>
          <w:sz w:val="24"/>
        </w:rPr>
        <w:t>需要补充的其他内容</w:t>
      </w:r>
    </w:p>
    <w:p w14:paraId="7A24A7F7">
      <w:pPr>
        <w:pStyle w:val="12"/>
        <w:keepNext w:val="0"/>
        <w:keepLines w:val="0"/>
        <w:pageBreakBefore w:val="0"/>
        <w:widowControl w:val="0"/>
        <w:tabs>
          <w:tab w:val="left" w:pos="2552"/>
        </w:tabs>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30.1备选方案按“投标人须知前附表”执行。</w:t>
      </w:r>
    </w:p>
    <w:p w14:paraId="08E12CAD">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rPr>
      </w:pPr>
      <w:r>
        <w:rPr>
          <w:rFonts w:hint="eastAsia" w:ascii="仿宋" w:hAnsi="仿宋" w:eastAsia="仿宋" w:cs="仿宋"/>
          <w:color w:val="auto"/>
          <w:sz w:val="24"/>
        </w:rPr>
        <w:t>30.2其它需要补充的其他内容：见“投标人须知前附表”。</w:t>
      </w:r>
    </w:p>
    <w:p w14:paraId="1D9BFBEA">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both"/>
        <w:textAlignment w:val="auto"/>
        <w:rPr>
          <w:rFonts w:hint="eastAsia" w:ascii="仿宋" w:hAnsi="仿宋" w:eastAsia="仿宋" w:cs="仿宋"/>
          <w:color w:val="auto"/>
          <w:sz w:val="24"/>
          <w:lang w:eastAsia="zh-CN"/>
        </w:rPr>
      </w:pPr>
      <w:bookmarkStart w:id="31" w:name="_Toc15060"/>
      <w:bookmarkStart w:id="32" w:name="_Toc213141090"/>
      <w:r>
        <w:rPr>
          <w:rFonts w:hint="eastAsia" w:ascii="仿宋" w:hAnsi="仿宋" w:eastAsia="仿宋" w:cs="仿宋"/>
          <w:color w:val="auto"/>
          <w:sz w:val="24"/>
        </w:rPr>
        <w:t>30.3踏勘现场</w:t>
      </w:r>
      <w:r>
        <w:rPr>
          <w:rFonts w:hint="eastAsia" w:ascii="仿宋" w:hAnsi="仿宋" w:eastAsia="仿宋" w:cs="仿宋"/>
          <w:color w:val="auto"/>
          <w:sz w:val="24"/>
          <w:lang w:eastAsia="zh-CN"/>
        </w:rPr>
        <w:t>：</w:t>
      </w:r>
      <w:r>
        <w:rPr>
          <w:rFonts w:hint="eastAsia" w:ascii="仿宋" w:hAnsi="仿宋" w:eastAsia="仿宋" w:cs="仿宋"/>
          <w:color w:val="auto"/>
          <w:sz w:val="24"/>
        </w:rPr>
        <w:t>见“投标人须知前附表”。</w:t>
      </w:r>
    </w:p>
    <w:p w14:paraId="1B857178">
      <w:pPr>
        <w:keepNext w:val="0"/>
        <w:keepLines w:val="0"/>
        <w:pageBreakBefore w:val="0"/>
        <w:widowControl w:val="0"/>
        <w:numPr>
          <w:ilvl w:val="0"/>
          <w:numId w:val="0"/>
        </w:numPr>
        <w:tabs>
          <w:tab w:val="left" w:pos="1021"/>
          <w:tab w:val="left" w:pos="2582"/>
          <w:tab w:val="left" w:pos="2723"/>
        </w:tabs>
        <w:kinsoku/>
        <w:wordWrap/>
        <w:overflowPunct/>
        <w:topLinePunct w:val="0"/>
        <w:autoSpaceDE/>
        <w:autoSpaceDN/>
        <w:bidi w:val="0"/>
        <w:adjustRightInd/>
        <w:snapToGrid/>
        <w:spacing w:before="331" w:beforeLines="100" w:line="420" w:lineRule="exact"/>
        <w:ind w:left="0" w:leftChars="0"/>
        <w:jc w:val="center"/>
        <w:textAlignment w:val="auto"/>
        <w:outlineLvl w:val="9"/>
        <w:rPr>
          <w:rFonts w:hint="eastAsia" w:ascii="仿宋" w:hAnsi="仿宋" w:eastAsia="仿宋" w:cs="仿宋"/>
          <w:b/>
          <w:color w:val="auto"/>
          <w:sz w:val="30"/>
          <w:szCs w:val="30"/>
        </w:rPr>
      </w:pPr>
      <w:r>
        <w:rPr>
          <w:rFonts w:hint="eastAsia" w:ascii="仿宋" w:hAnsi="仿宋" w:eastAsia="仿宋" w:cs="仿宋"/>
          <w:b/>
          <w:color w:val="auto"/>
          <w:kern w:val="2"/>
          <w:sz w:val="28"/>
          <w:szCs w:val="21"/>
          <w:lang w:val="en-US" w:eastAsia="zh-CN" w:bidi="ar-SA"/>
        </w:rPr>
        <w:t>八、落实政府采购政策（如有时提供）</w:t>
      </w:r>
    </w:p>
    <w:p w14:paraId="17CF31A0">
      <w:pPr>
        <w:pStyle w:val="12"/>
        <w:keepNext w:val="0"/>
        <w:keepLines w:val="0"/>
        <w:pageBreakBefore w:val="0"/>
        <w:widowControl w:val="0"/>
        <w:kinsoku/>
        <w:wordWrap/>
        <w:overflowPunct/>
        <w:topLinePunct w:val="0"/>
        <w:autoSpaceDE/>
        <w:autoSpaceDN/>
        <w:bidi w:val="0"/>
        <w:adjustRightInd/>
        <w:snapToGrid/>
        <w:spacing w:line="420" w:lineRule="exact"/>
        <w:ind w:left="0" w:leftChars="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31.</w:t>
      </w:r>
      <w:r>
        <w:rPr>
          <w:rFonts w:hint="eastAsia" w:ascii="仿宋" w:hAnsi="仿宋" w:eastAsia="仿宋" w:cs="仿宋"/>
          <w:b/>
          <w:bCs/>
          <w:color w:val="auto"/>
          <w:sz w:val="24"/>
          <w:szCs w:val="24"/>
        </w:rPr>
        <w:t>节能产品</w:t>
      </w:r>
      <w:r>
        <w:rPr>
          <w:rFonts w:hint="eastAsia" w:ascii="仿宋" w:hAnsi="仿宋" w:eastAsia="仿宋" w:cs="仿宋"/>
          <w:b/>
          <w:bCs/>
          <w:color w:val="auto"/>
          <w:sz w:val="24"/>
          <w:szCs w:val="24"/>
          <w:lang w:eastAsia="zh-CN"/>
        </w:rPr>
        <w:t>、环境标志产品</w:t>
      </w:r>
    </w:p>
    <w:p w14:paraId="5B1FD443">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31.1</w:t>
      </w:r>
      <w:r>
        <w:rPr>
          <w:rFonts w:hint="eastAsia" w:ascii="仿宋" w:hAnsi="仿宋" w:eastAsia="仿宋" w:cs="仿宋"/>
          <w:color w:val="auto"/>
          <w:sz w:val="24"/>
          <w:szCs w:val="24"/>
        </w:rPr>
        <w:t>节能产品是指</w:t>
      </w:r>
      <w:r>
        <w:rPr>
          <w:rFonts w:hint="eastAsia" w:ascii="仿宋" w:hAnsi="仿宋" w:eastAsia="仿宋" w:cs="仿宋"/>
          <w:color w:val="auto"/>
          <w:sz w:val="24"/>
          <w:szCs w:val="24"/>
          <w:lang w:eastAsia="zh-CN"/>
        </w:rPr>
        <w:t>列入财政部、发改委《</w:t>
      </w:r>
      <w:r>
        <w:rPr>
          <w:rFonts w:hint="eastAsia" w:ascii="仿宋" w:hAnsi="仿宋" w:eastAsia="仿宋" w:cs="仿宋"/>
          <w:color w:val="auto"/>
          <w:sz w:val="24"/>
          <w:szCs w:val="24"/>
          <w:lang w:val="en-US" w:eastAsia="zh-CN"/>
        </w:rPr>
        <w:t>关于印发节能产品政府采购品目清单的通知</w:t>
      </w:r>
      <w:r>
        <w:rPr>
          <w:rFonts w:hint="eastAsia" w:ascii="仿宋" w:hAnsi="仿宋" w:eastAsia="仿宋" w:cs="仿宋"/>
          <w:color w:val="auto"/>
          <w:sz w:val="24"/>
          <w:szCs w:val="24"/>
          <w:lang w:eastAsia="zh-CN"/>
        </w:rPr>
        <w:t>》（财库〔2019〕19号）文件附件“</w:t>
      </w:r>
      <w:r>
        <w:rPr>
          <w:rFonts w:hint="eastAsia" w:ascii="仿宋" w:hAnsi="仿宋" w:eastAsia="仿宋" w:cs="仿宋"/>
          <w:color w:val="auto"/>
          <w:sz w:val="24"/>
          <w:szCs w:val="24"/>
        </w:rPr>
        <w:t>节能产品政府采购品目清单</w:t>
      </w:r>
      <w:r>
        <w:rPr>
          <w:rFonts w:hint="eastAsia" w:ascii="仿宋" w:hAnsi="仿宋" w:eastAsia="仿宋" w:cs="仿宋"/>
          <w:color w:val="auto"/>
          <w:sz w:val="24"/>
          <w:szCs w:val="24"/>
          <w:lang w:eastAsia="zh-CN"/>
        </w:rPr>
        <w:t>”中的产品。</w:t>
      </w:r>
    </w:p>
    <w:p w14:paraId="49960458">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31.2</w:t>
      </w:r>
      <w:r>
        <w:rPr>
          <w:rFonts w:hint="eastAsia" w:ascii="仿宋" w:hAnsi="仿宋" w:eastAsia="仿宋" w:cs="仿宋"/>
          <w:color w:val="auto"/>
          <w:sz w:val="24"/>
          <w:szCs w:val="24"/>
        </w:rPr>
        <w:t>环境标志产品是指列入财政部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生态环境部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关于印发环境标志产品政府采购品目清单的通知</w:t>
      </w:r>
      <w:r>
        <w:rPr>
          <w:rFonts w:hint="eastAsia" w:ascii="仿宋" w:hAnsi="仿宋" w:eastAsia="仿宋" w:cs="仿宋"/>
          <w:color w:val="auto"/>
          <w:sz w:val="24"/>
          <w:szCs w:val="24"/>
          <w:lang w:eastAsia="zh-CN"/>
        </w:rPr>
        <w:t>》文件附件“</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HYPERLINK "http://gks.mof.gov.cn/zhengfucaigouguanli/201903/P020190329702478575295.pdf" </w:instrText>
      </w:r>
      <w:r>
        <w:rPr>
          <w:rFonts w:hint="eastAsia" w:ascii="仿宋" w:hAnsi="仿宋" w:eastAsia="仿宋" w:cs="仿宋"/>
          <w:color w:val="auto"/>
          <w:sz w:val="24"/>
          <w:szCs w:val="24"/>
          <w:lang w:eastAsia="zh-CN"/>
        </w:rPr>
        <w:fldChar w:fldCharType="separate"/>
      </w:r>
      <w:r>
        <w:rPr>
          <w:rFonts w:hint="eastAsia" w:ascii="仿宋" w:hAnsi="仿宋" w:eastAsia="仿宋" w:cs="仿宋"/>
          <w:color w:val="auto"/>
          <w:sz w:val="24"/>
          <w:szCs w:val="24"/>
          <w:lang w:eastAsia="zh-CN"/>
        </w:rPr>
        <w:t>环境标志产品政府采购品目清单</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”中</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产品</w:t>
      </w:r>
      <w:r>
        <w:rPr>
          <w:rFonts w:hint="eastAsia" w:ascii="仿宋" w:hAnsi="仿宋" w:eastAsia="仿宋" w:cs="仿宋"/>
          <w:color w:val="auto"/>
          <w:sz w:val="24"/>
          <w:szCs w:val="24"/>
        </w:rPr>
        <w:t>。</w:t>
      </w:r>
    </w:p>
    <w:p w14:paraId="1B1457F0">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31.3依据《关于调整优化节能产品、环境标志产品政府采购执行机制的通知》财库〔2019〕9号文件规定，“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投标时，供应商应提供所投节能产品、环境标志产品认证证书原件及复印件加盖公章（复印件放入投标文件中）。</w:t>
      </w:r>
    </w:p>
    <w:p w14:paraId="5FC1912B">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31.4国家确定的认证机构是指市场监管总局《市场监管总局关于发布参与实施政府采购节能产品、环境标志产品认证机构名录的公告》（2019年第16号）文件中“参与实施政府采购节能产品认证机构名录”或“参与实施政府采购环境标志产品认证机构名录”，除此之外的认证机构出具的“认证证书”均不予认可。</w:t>
      </w:r>
    </w:p>
    <w:p w14:paraId="0D0F610B">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31.5</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应提供以下表格：</w:t>
      </w:r>
    </w:p>
    <w:p w14:paraId="1E87F7E5">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节能产品明细表</w:t>
      </w:r>
    </w:p>
    <w:p w14:paraId="6417506F">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Cs w:val="21"/>
        </w:rPr>
        <w:t xml:space="preserve">        </w:t>
      </w:r>
      <w:r>
        <w:rPr>
          <w:rFonts w:hint="eastAsia" w:ascii="仿宋" w:hAnsi="仿宋" w:eastAsia="仿宋" w:cs="仿宋"/>
          <w:color w:val="auto"/>
          <w:sz w:val="24"/>
          <w:szCs w:val="24"/>
        </w:rPr>
        <w:t xml:space="preserve">                                                   价格单位：元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0"/>
        <w:gridCol w:w="1069"/>
        <w:gridCol w:w="838"/>
        <w:gridCol w:w="763"/>
        <w:gridCol w:w="1524"/>
        <w:gridCol w:w="1460"/>
        <w:gridCol w:w="709"/>
        <w:gridCol w:w="708"/>
        <w:gridCol w:w="736"/>
      </w:tblGrid>
      <w:tr w14:paraId="7534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Merge w:val="restart"/>
            <w:noWrap w:val="0"/>
            <w:vAlign w:val="center"/>
          </w:tcPr>
          <w:p w14:paraId="1F1DEF28">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200" w:type="dxa"/>
            <w:vMerge w:val="restart"/>
            <w:noWrap w:val="0"/>
            <w:vAlign w:val="center"/>
          </w:tcPr>
          <w:p w14:paraId="2FB636C4">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产品名称</w:t>
            </w:r>
          </w:p>
        </w:tc>
        <w:tc>
          <w:tcPr>
            <w:tcW w:w="1069" w:type="dxa"/>
            <w:vMerge w:val="restart"/>
            <w:noWrap w:val="0"/>
            <w:vAlign w:val="center"/>
          </w:tcPr>
          <w:p w14:paraId="7077BECB">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制造商</w:t>
            </w:r>
          </w:p>
        </w:tc>
        <w:tc>
          <w:tcPr>
            <w:tcW w:w="838" w:type="dxa"/>
            <w:vMerge w:val="restart"/>
            <w:noWrap w:val="0"/>
            <w:vAlign w:val="center"/>
          </w:tcPr>
          <w:p w14:paraId="1E1BD243">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品牌</w:t>
            </w:r>
          </w:p>
        </w:tc>
        <w:tc>
          <w:tcPr>
            <w:tcW w:w="763" w:type="dxa"/>
            <w:vMerge w:val="restart"/>
            <w:noWrap w:val="0"/>
            <w:vAlign w:val="center"/>
          </w:tcPr>
          <w:p w14:paraId="5D55994F">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1524" w:type="dxa"/>
            <w:vMerge w:val="restart"/>
            <w:noWrap w:val="0"/>
            <w:vAlign w:val="center"/>
          </w:tcPr>
          <w:p w14:paraId="79CA2B08">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节能标志认证证书编号</w:t>
            </w:r>
          </w:p>
        </w:tc>
        <w:tc>
          <w:tcPr>
            <w:tcW w:w="1460" w:type="dxa"/>
            <w:vMerge w:val="restart"/>
            <w:noWrap w:val="0"/>
            <w:vAlign w:val="center"/>
          </w:tcPr>
          <w:p w14:paraId="0B433781">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认证证书有效截止日期</w:t>
            </w:r>
          </w:p>
        </w:tc>
        <w:tc>
          <w:tcPr>
            <w:tcW w:w="2153" w:type="dxa"/>
            <w:gridSpan w:val="3"/>
            <w:noWrap w:val="0"/>
            <w:vAlign w:val="center"/>
          </w:tcPr>
          <w:p w14:paraId="1DAB0130">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价格</w:t>
            </w:r>
          </w:p>
        </w:tc>
      </w:tr>
      <w:tr w14:paraId="27DE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0" w:type="dxa"/>
            <w:vMerge w:val="continue"/>
            <w:noWrap w:val="0"/>
            <w:vAlign w:val="center"/>
          </w:tcPr>
          <w:p w14:paraId="7271ED1C">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p>
        </w:tc>
        <w:tc>
          <w:tcPr>
            <w:tcW w:w="1200" w:type="dxa"/>
            <w:vMerge w:val="continue"/>
            <w:noWrap w:val="0"/>
            <w:vAlign w:val="center"/>
          </w:tcPr>
          <w:p w14:paraId="1D636975">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p>
        </w:tc>
        <w:tc>
          <w:tcPr>
            <w:tcW w:w="1069" w:type="dxa"/>
            <w:vMerge w:val="continue"/>
            <w:noWrap w:val="0"/>
            <w:vAlign w:val="center"/>
          </w:tcPr>
          <w:p w14:paraId="3027C016">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p>
        </w:tc>
        <w:tc>
          <w:tcPr>
            <w:tcW w:w="838" w:type="dxa"/>
            <w:vMerge w:val="continue"/>
            <w:noWrap w:val="0"/>
            <w:vAlign w:val="center"/>
          </w:tcPr>
          <w:p w14:paraId="65484B66">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p>
        </w:tc>
        <w:tc>
          <w:tcPr>
            <w:tcW w:w="763" w:type="dxa"/>
            <w:vMerge w:val="continue"/>
            <w:noWrap w:val="0"/>
            <w:vAlign w:val="center"/>
          </w:tcPr>
          <w:p w14:paraId="7A6E3F54">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p>
        </w:tc>
        <w:tc>
          <w:tcPr>
            <w:tcW w:w="1524" w:type="dxa"/>
            <w:vMerge w:val="continue"/>
            <w:noWrap w:val="0"/>
            <w:vAlign w:val="center"/>
          </w:tcPr>
          <w:p w14:paraId="0DEFF0DE">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p>
        </w:tc>
        <w:tc>
          <w:tcPr>
            <w:tcW w:w="1460" w:type="dxa"/>
            <w:vMerge w:val="continue"/>
            <w:noWrap w:val="0"/>
            <w:vAlign w:val="center"/>
          </w:tcPr>
          <w:p w14:paraId="3E4C6CD4">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p>
        </w:tc>
        <w:tc>
          <w:tcPr>
            <w:tcW w:w="709" w:type="dxa"/>
            <w:noWrap w:val="0"/>
            <w:vAlign w:val="center"/>
          </w:tcPr>
          <w:p w14:paraId="0B090D2E">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708" w:type="dxa"/>
            <w:noWrap w:val="0"/>
            <w:vAlign w:val="center"/>
          </w:tcPr>
          <w:p w14:paraId="1891733F">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736" w:type="dxa"/>
            <w:noWrap w:val="0"/>
            <w:vAlign w:val="center"/>
          </w:tcPr>
          <w:p w14:paraId="55136CCE">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小计</w:t>
            </w:r>
          </w:p>
        </w:tc>
      </w:tr>
      <w:tr w14:paraId="7452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noWrap w:val="0"/>
            <w:vAlign w:val="center"/>
          </w:tcPr>
          <w:p w14:paraId="08DADB71">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00" w:type="dxa"/>
            <w:noWrap w:val="0"/>
            <w:vAlign w:val="center"/>
          </w:tcPr>
          <w:p w14:paraId="39C5845A">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069" w:type="dxa"/>
            <w:noWrap w:val="0"/>
            <w:vAlign w:val="center"/>
          </w:tcPr>
          <w:p w14:paraId="28023B71">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38" w:type="dxa"/>
            <w:noWrap w:val="0"/>
            <w:vAlign w:val="center"/>
          </w:tcPr>
          <w:p w14:paraId="265C6E0C">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63" w:type="dxa"/>
            <w:noWrap w:val="0"/>
            <w:vAlign w:val="center"/>
          </w:tcPr>
          <w:p w14:paraId="01ECD27E">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24" w:type="dxa"/>
            <w:noWrap w:val="0"/>
            <w:vAlign w:val="center"/>
          </w:tcPr>
          <w:p w14:paraId="690D06D9">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460" w:type="dxa"/>
            <w:noWrap w:val="0"/>
            <w:vAlign w:val="center"/>
          </w:tcPr>
          <w:p w14:paraId="22ABFF64">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09" w:type="dxa"/>
            <w:noWrap w:val="0"/>
            <w:vAlign w:val="center"/>
          </w:tcPr>
          <w:p w14:paraId="5552A8EB">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08" w:type="dxa"/>
            <w:noWrap w:val="0"/>
            <w:vAlign w:val="center"/>
          </w:tcPr>
          <w:p w14:paraId="0896F5B0">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6" w:type="dxa"/>
            <w:noWrap w:val="0"/>
            <w:vAlign w:val="center"/>
          </w:tcPr>
          <w:p w14:paraId="72E0498F">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r>
      <w:tr w14:paraId="249B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noWrap w:val="0"/>
            <w:vAlign w:val="center"/>
          </w:tcPr>
          <w:p w14:paraId="6595E7F1">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00" w:type="dxa"/>
            <w:noWrap w:val="0"/>
            <w:vAlign w:val="center"/>
          </w:tcPr>
          <w:p w14:paraId="04C7660E">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069" w:type="dxa"/>
            <w:noWrap w:val="0"/>
            <w:vAlign w:val="center"/>
          </w:tcPr>
          <w:p w14:paraId="37D4DC55">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38" w:type="dxa"/>
            <w:noWrap w:val="0"/>
            <w:vAlign w:val="center"/>
          </w:tcPr>
          <w:p w14:paraId="3A606A40">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63" w:type="dxa"/>
            <w:noWrap w:val="0"/>
            <w:vAlign w:val="center"/>
          </w:tcPr>
          <w:p w14:paraId="19AB008D">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24" w:type="dxa"/>
            <w:noWrap w:val="0"/>
            <w:vAlign w:val="center"/>
          </w:tcPr>
          <w:p w14:paraId="389B86DF">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460" w:type="dxa"/>
            <w:noWrap w:val="0"/>
            <w:vAlign w:val="center"/>
          </w:tcPr>
          <w:p w14:paraId="3186D483">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09" w:type="dxa"/>
            <w:noWrap w:val="0"/>
            <w:vAlign w:val="center"/>
          </w:tcPr>
          <w:p w14:paraId="25320911">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08" w:type="dxa"/>
            <w:noWrap w:val="0"/>
            <w:vAlign w:val="center"/>
          </w:tcPr>
          <w:p w14:paraId="277ACE0E">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6" w:type="dxa"/>
            <w:noWrap w:val="0"/>
            <w:vAlign w:val="center"/>
          </w:tcPr>
          <w:p w14:paraId="7115E015">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r>
      <w:tr w14:paraId="702C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noWrap w:val="0"/>
            <w:vAlign w:val="center"/>
          </w:tcPr>
          <w:p w14:paraId="42B4C7A6">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00" w:type="dxa"/>
            <w:noWrap w:val="0"/>
            <w:vAlign w:val="center"/>
          </w:tcPr>
          <w:p w14:paraId="58C8DB7E">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069" w:type="dxa"/>
            <w:noWrap w:val="0"/>
            <w:vAlign w:val="center"/>
          </w:tcPr>
          <w:p w14:paraId="2F067759">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38" w:type="dxa"/>
            <w:noWrap w:val="0"/>
            <w:vAlign w:val="center"/>
          </w:tcPr>
          <w:p w14:paraId="302F3BF3">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63" w:type="dxa"/>
            <w:noWrap w:val="0"/>
            <w:vAlign w:val="center"/>
          </w:tcPr>
          <w:p w14:paraId="6430435E">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24" w:type="dxa"/>
            <w:noWrap w:val="0"/>
            <w:vAlign w:val="center"/>
          </w:tcPr>
          <w:p w14:paraId="69D4CCD2">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460" w:type="dxa"/>
            <w:noWrap w:val="0"/>
            <w:vAlign w:val="center"/>
          </w:tcPr>
          <w:p w14:paraId="1322394C">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09" w:type="dxa"/>
            <w:noWrap w:val="0"/>
            <w:vAlign w:val="center"/>
          </w:tcPr>
          <w:p w14:paraId="423AD40D">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08" w:type="dxa"/>
            <w:noWrap w:val="0"/>
            <w:vAlign w:val="center"/>
          </w:tcPr>
          <w:p w14:paraId="0BB1C8A6">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6" w:type="dxa"/>
            <w:noWrap w:val="0"/>
            <w:vAlign w:val="center"/>
          </w:tcPr>
          <w:p w14:paraId="30E01822">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r>
      <w:tr w14:paraId="6AC8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noWrap w:val="0"/>
            <w:vAlign w:val="center"/>
          </w:tcPr>
          <w:p w14:paraId="3848896D">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200" w:type="dxa"/>
            <w:noWrap w:val="0"/>
            <w:vAlign w:val="center"/>
          </w:tcPr>
          <w:p w14:paraId="68C03B63">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069" w:type="dxa"/>
            <w:noWrap w:val="0"/>
            <w:vAlign w:val="center"/>
          </w:tcPr>
          <w:p w14:paraId="26DE94C7">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38" w:type="dxa"/>
            <w:noWrap w:val="0"/>
            <w:vAlign w:val="center"/>
          </w:tcPr>
          <w:p w14:paraId="1128E437">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63" w:type="dxa"/>
            <w:noWrap w:val="0"/>
            <w:vAlign w:val="center"/>
          </w:tcPr>
          <w:p w14:paraId="7DDC6706">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24" w:type="dxa"/>
            <w:noWrap w:val="0"/>
            <w:vAlign w:val="center"/>
          </w:tcPr>
          <w:p w14:paraId="0689BC47">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460" w:type="dxa"/>
            <w:noWrap w:val="0"/>
            <w:vAlign w:val="center"/>
          </w:tcPr>
          <w:p w14:paraId="046D0124">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09" w:type="dxa"/>
            <w:noWrap w:val="0"/>
            <w:vAlign w:val="center"/>
          </w:tcPr>
          <w:p w14:paraId="64AC2728">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08" w:type="dxa"/>
            <w:noWrap w:val="0"/>
            <w:vAlign w:val="center"/>
          </w:tcPr>
          <w:p w14:paraId="345E1FA3">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6" w:type="dxa"/>
            <w:noWrap w:val="0"/>
            <w:vAlign w:val="center"/>
          </w:tcPr>
          <w:p w14:paraId="36DC3772">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r>
      <w:tr w14:paraId="1CFF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noWrap w:val="0"/>
            <w:vAlign w:val="center"/>
          </w:tcPr>
          <w:p w14:paraId="19A46E03">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200" w:type="dxa"/>
            <w:noWrap w:val="0"/>
            <w:vAlign w:val="center"/>
          </w:tcPr>
          <w:p w14:paraId="2FD5C0CD">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069" w:type="dxa"/>
            <w:noWrap w:val="0"/>
            <w:vAlign w:val="center"/>
          </w:tcPr>
          <w:p w14:paraId="59862336">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38" w:type="dxa"/>
            <w:noWrap w:val="0"/>
            <w:vAlign w:val="center"/>
          </w:tcPr>
          <w:p w14:paraId="7754E383">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63" w:type="dxa"/>
            <w:noWrap w:val="0"/>
            <w:vAlign w:val="center"/>
          </w:tcPr>
          <w:p w14:paraId="374A76E6">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24" w:type="dxa"/>
            <w:noWrap w:val="0"/>
            <w:vAlign w:val="center"/>
          </w:tcPr>
          <w:p w14:paraId="49071C04">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460" w:type="dxa"/>
            <w:noWrap w:val="0"/>
            <w:vAlign w:val="center"/>
          </w:tcPr>
          <w:p w14:paraId="6382E4AE">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09" w:type="dxa"/>
            <w:noWrap w:val="0"/>
            <w:vAlign w:val="center"/>
          </w:tcPr>
          <w:p w14:paraId="2DE2F09A">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08" w:type="dxa"/>
            <w:noWrap w:val="0"/>
            <w:vAlign w:val="center"/>
          </w:tcPr>
          <w:p w14:paraId="69C176A0">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6" w:type="dxa"/>
            <w:noWrap w:val="0"/>
            <w:vAlign w:val="center"/>
          </w:tcPr>
          <w:p w14:paraId="6DC4CC47">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r>
    </w:tbl>
    <w:p w14:paraId="7001B2C5">
      <w:pPr>
        <w:pStyle w:val="1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节能产品认证应依据相关国家标准的最新版本，依据国家标准中二级能效（水效）指标。</w:t>
      </w:r>
    </w:p>
    <w:p w14:paraId="60C03DA9">
      <w:pPr>
        <w:pStyle w:val="12"/>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720" w:firstLineChars="3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品目清单</w:t>
      </w:r>
      <w:r>
        <w:rPr>
          <w:rFonts w:hint="eastAsia" w:ascii="仿宋" w:hAnsi="仿宋" w:eastAsia="仿宋" w:cs="仿宋"/>
          <w:color w:val="auto"/>
          <w:sz w:val="24"/>
          <w:szCs w:val="24"/>
        </w:rPr>
        <w:t xml:space="preserve">以“★”标注的为政府强制采购产品。 </w:t>
      </w:r>
    </w:p>
    <w:p w14:paraId="32C53DB6">
      <w:pPr>
        <w:pStyle w:val="12"/>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如所投产品为节能产品（强制采购产品除外），必须按规定格式逐项填写，否则评审时不予</w:t>
      </w:r>
      <w:r>
        <w:rPr>
          <w:rFonts w:hint="eastAsia" w:ascii="仿宋" w:hAnsi="仿宋" w:eastAsia="仿宋" w:cs="仿宋"/>
          <w:color w:val="auto"/>
          <w:sz w:val="24"/>
          <w:szCs w:val="24"/>
          <w:lang w:eastAsia="zh-CN"/>
        </w:rPr>
        <w:t>认可</w:t>
      </w:r>
      <w:r>
        <w:rPr>
          <w:rFonts w:hint="eastAsia" w:ascii="仿宋" w:hAnsi="仿宋" w:eastAsia="仿宋" w:cs="仿宋"/>
          <w:color w:val="auto"/>
          <w:sz w:val="24"/>
          <w:szCs w:val="24"/>
        </w:rPr>
        <w:t xml:space="preserve">。 </w:t>
      </w:r>
    </w:p>
    <w:p w14:paraId="7A843050">
      <w:pPr>
        <w:pStyle w:val="12"/>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附：市场监管总局</w:t>
      </w:r>
      <w:r>
        <w:rPr>
          <w:rFonts w:hint="eastAsia" w:ascii="仿宋" w:hAnsi="仿宋" w:eastAsia="仿宋" w:cs="仿宋"/>
          <w:color w:val="auto"/>
          <w:sz w:val="24"/>
          <w:szCs w:val="24"/>
          <w:lang w:eastAsia="zh-CN"/>
        </w:rPr>
        <w:t>发布的</w:t>
      </w:r>
      <w:r>
        <w:rPr>
          <w:rFonts w:hint="eastAsia" w:ascii="仿宋" w:hAnsi="仿宋" w:eastAsia="仿宋" w:cs="仿宋"/>
          <w:color w:val="auto"/>
          <w:sz w:val="24"/>
          <w:szCs w:val="24"/>
          <w:lang w:val="en-US" w:eastAsia="zh-CN"/>
        </w:rPr>
        <w:t>《参与实施政府采购节能产品认证机构名录》截图、</w:t>
      </w:r>
      <w:r>
        <w:rPr>
          <w:rFonts w:hint="eastAsia" w:ascii="仿宋" w:hAnsi="仿宋" w:eastAsia="仿宋" w:cs="仿宋"/>
          <w:color w:val="auto"/>
          <w:sz w:val="24"/>
          <w:szCs w:val="24"/>
        </w:rPr>
        <w:t>《国家节能产品认证证书》扫描件和</w:t>
      </w:r>
      <w:r>
        <w:rPr>
          <w:rFonts w:hint="eastAsia" w:ascii="仿宋" w:hAnsi="仿宋" w:eastAsia="仿宋" w:cs="仿宋"/>
          <w:color w:val="auto"/>
          <w:sz w:val="24"/>
          <w:szCs w:val="24"/>
          <w:lang w:eastAsia="zh-CN"/>
        </w:rPr>
        <w:t>财政部、发改委公布的《节能产品政府采购品目清单》截屏</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品目清单和认证机构名录截图需用“箭头”标注对应产品和认证机构名称。</w:t>
      </w:r>
    </w:p>
    <w:p w14:paraId="57D54674">
      <w:pPr>
        <w:pStyle w:val="1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552E5B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8"/>
          <w:szCs w:val="28"/>
        </w:rPr>
      </w:pPr>
    </w:p>
    <w:p w14:paraId="4C2A1030">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sz w:val="28"/>
          <w:szCs w:val="28"/>
        </w:rPr>
      </w:pPr>
    </w:p>
    <w:p w14:paraId="2489ED18">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15088968">
      <w:pPr>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环境标志产品明细表</w:t>
      </w:r>
    </w:p>
    <w:p w14:paraId="6F979575">
      <w:pPr>
        <w:pStyle w:val="12"/>
        <w:keepNext w:val="0"/>
        <w:keepLines w:val="0"/>
        <w:pageBreakBefore w:val="0"/>
        <w:widowControl w:val="0"/>
        <w:kinsoku/>
        <w:wordWrap/>
        <w:overflowPunct/>
        <w:topLinePunct w:val="0"/>
        <w:autoSpaceDE/>
        <w:autoSpaceDN/>
        <w:bidi w:val="0"/>
        <w:snapToGrid/>
        <w:spacing w:line="400" w:lineRule="exact"/>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价格单位：元</w:t>
      </w:r>
    </w:p>
    <w:tbl>
      <w:tblPr>
        <w:tblStyle w:val="25"/>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15"/>
        <w:gridCol w:w="980"/>
        <w:gridCol w:w="774"/>
        <w:gridCol w:w="844"/>
        <w:gridCol w:w="1578"/>
        <w:gridCol w:w="1522"/>
        <w:gridCol w:w="730"/>
        <w:gridCol w:w="877"/>
        <w:gridCol w:w="739"/>
      </w:tblGrid>
      <w:tr w14:paraId="17D9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77" w:type="dxa"/>
            <w:vMerge w:val="restart"/>
            <w:noWrap w:val="0"/>
            <w:vAlign w:val="center"/>
          </w:tcPr>
          <w:p w14:paraId="54F4E07A">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315" w:type="dxa"/>
            <w:vMerge w:val="restart"/>
            <w:noWrap w:val="0"/>
            <w:vAlign w:val="center"/>
          </w:tcPr>
          <w:p w14:paraId="70865438">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产品名称</w:t>
            </w:r>
          </w:p>
        </w:tc>
        <w:tc>
          <w:tcPr>
            <w:tcW w:w="980" w:type="dxa"/>
            <w:vMerge w:val="restart"/>
            <w:noWrap w:val="0"/>
            <w:vAlign w:val="center"/>
          </w:tcPr>
          <w:p w14:paraId="4C981F2E">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制造商</w:t>
            </w:r>
          </w:p>
        </w:tc>
        <w:tc>
          <w:tcPr>
            <w:tcW w:w="774" w:type="dxa"/>
            <w:vMerge w:val="restart"/>
            <w:noWrap w:val="0"/>
            <w:vAlign w:val="center"/>
          </w:tcPr>
          <w:p w14:paraId="267D40E3">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品牌</w:t>
            </w:r>
          </w:p>
        </w:tc>
        <w:tc>
          <w:tcPr>
            <w:tcW w:w="844" w:type="dxa"/>
            <w:vMerge w:val="restart"/>
            <w:noWrap w:val="0"/>
            <w:vAlign w:val="center"/>
          </w:tcPr>
          <w:p w14:paraId="34C032DF">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1578" w:type="dxa"/>
            <w:vMerge w:val="restart"/>
            <w:noWrap w:val="0"/>
            <w:vAlign w:val="center"/>
          </w:tcPr>
          <w:p w14:paraId="33C26344">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环境标志认证证书编号</w:t>
            </w:r>
          </w:p>
        </w:tc>
        <w:tc>
          <w:tcPr>
            <w:tcW w:w="1522" w:type="dxa"/>
            <w:vMerge w:val="restart"/>
            <w:noWrap w:val="0"/>
            <w:vAlign w:val="center"/>
          </w:tcPr>
          <w:p w14:paraId="25F92E2A">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认证证书有效截止日期</w:t>
            </w:r>
          </w:p>
        </w:tc>
        <w:tc>
          <w:tcPr>
            <w:tcW w:w="2346" w:type="dxa"/>
            <w:gridSpan w:val="3"/>
            <w:noWrap w:val="0"/>
            <w:vAlign w:val="center"/>
          </w:tcPr>
          <w:p w14:paraId="0B42069A">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价格</w:t>
            </w:r>
          </w:p>
        </w:tc>
      </w:tr>
      <w:tr w14:paraId="35A2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77" w:type="dxa"/>
            <w:vMerge w:val="continue"/>
            <w:noWrap w:val="0"/>
            <w:vAlign w:val="center"/>
          </w:tcPr>
          <w:p w14:paraId="36B9DCD9">
            <w:pPr>
              <w:pStyle w:val="1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rPr>
            </w:pPr>
          </w:p>
        </w:tc>
        <w:tc>
          <w:tcPr>
            <w:tcW w:w="1315" w:type="dxa"/>
            <w:vMerge w:val="continue"/>
            <w:noWrap w:val="0"/>
            <w:vAlign w:val="center"/>
          </w:tcPr>
          <w:p w14:paraId="1D1B1485">
            <w:pPr>
              <w:pStyle w:val="1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rPr>
            </w:pPr>
          </w:p>
        </w:tc>
        <w:tc>
          <w:tcPr>
            <w:tcW w:w="980" w:type="dxa"/>
            <w:vMerge w:val="continue"/>
            <w:noWrap w:val="0"/>
            <w:vAlign w:val="center"/>
          </w:tcPr>
          <w:p w14:paraId="449E8109">
            <w:pPr>
              <w:pStyle w:val="1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rPr>
            </w:pPr>
          </w:p>
        </w:tc>
        <w:tc>
          <w:tcPr>
            <w:tcW w:w="774" w:type="dxa"/>
            <w:vMerge w:val="continue"/>
            <w:noWrap w:val="0"/>
            <w:vAlign w:val="center"/>
          </w:tcPr>
          <w:p w14:paraId="6ABDCE06">
            <w:pPr>
              <w:pStyle w:val="1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rPr>
            </w:pPr>
          </w:p>
        </w:tc>
        <w:tc>
          <w:tcPr>
            <w:tcW w:w="844" w:type="dxa"/>
            <w:vMerge w:val="continue"/>
            <w:noWrap w:val="0"/>
            <w:vAlign w:val="center"/>
          </w:tcPr>
          <w:p w14:paraId="6F7E5C99">
            <w:pPr>
              <w:pStyle w:val="1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rPr>
            </w:pPr>
          </w:p>
        </w:tc>
        <w:tc>
          <w:tcPr>
            <w:tcW w:w="1578" w:type="dxa"/>
            <w:vMerge w:val="continue"/>
            <w:noWrap w:val="0"/>
            <w:vAlign w:val="center"/>
          </w:tcPr>
          <w:p w14:paraId="29992C83">
            <w:pPr>
              <w:pStyle w:val="1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rPr>
            </w:pPr>
          </w:p>
        </w:tc>
        <w:tc>
          <w:tcPr>
            <w:tcW w:w="1522" w:type="dxa"/>
            <w:vMerge w:val="continue"/>
            <w:noWrap w:val="0"/>
            <w:vAlign w:val="center"/>
          </w:tcPr>
          <w:p w14:paraId="3A0D9A4E">
            <w:pPr>
              <w:pStyle w:val="1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rPr>
            </w:pPr>
          </w:p>
        </w:tc>
        <w:tc>
          <w:tcPr>
            <w:tcW w:w="730" w:type="dxa"/>
            <w:noWrap w:val="0"/>
            <w:vAlign w:val="center"/>
          </w:tcPr>
          <w:p w14:paraId="45ECD004">
            <w:pPr>
              <w:pStyle w:val="1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877" w:type="dxa"/>
            <w:noWrap w:val="0"/>
            <w:vAlign w:val="center"/>
          </w:tcPr>
          <w:p w14:paraId="06DDEFE9">
            <w:pPr>
              <w:pStyle w:val="1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739" w:type="dxa"/>
            <w:noWrap w:val="0"/>
            <w:vAlign w:val="center"/>
          </w:tcPr>
          <w:p w14:paraId="20359421">
            <w:pPr>
              <w:pStyle w:val="1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小计</w:t>
            </w:r>
          </w:p>
        </w:tc>
      </w:tr>
      <w:tr w14:paraId="7D89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77" w:type="dxa"/>
            <w:noWrap w:val="0"/>
            <w:vAlign w:val="center"/>
          </w:tcPr>
          <w:p w14:paraId="0085661C">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15" w:type="dxa"/>
            <w:noWrap w:val="0"/>
            <w:vAlign w:val="center"/>
          </w:tcPr>
          <w:p w14:paraId="6A61046C">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980" w:type="dxa"/>
            <w:noWrap w:val="0"/>
            <w:vAlign w:val="center"/>
          </w:tcPr>
          <w:p w14:paraId="4914844B">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74" w:type="dxa"/>
            <w:noWrap w:val="0"/>
            <w:vAlign w:val="center"/>
          </w:tcPr>
          <w:p w14:paraId="01ECB151">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44" w:type="dxa"/>
            <w:noWrap w:val="0"/>
            <w:vAlign w:val="center"/>
          </w:tcPr>
          <w:p w14:paraId="7AC0AE2E">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78" w:type="dxa"/>
            <w:noWrap w:val="0"/>
            <w:vAlign w:val="center"/>
          </w:tcPr>
          <w:p w14:paraId="0DF2F936">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22" w:type="dxa"/>
            <w:noWrap w:val="0"/>
            <w:vAlign w:val="center"/>
          </w:tcPr>
          <w:p w14:paraId="1D8C9A71">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0" w:type="dxa"/>
            <w:noWrap w:val="0"/>
            <w:vAlign w:val="center"/>
          </w:tcPr>
          <w:p w14:paraId="59C416DC">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77" w:type="dxa"/>
            <w:noWrap w:val="0"/>
            <w:vAlign w:val="center"/>
          </w:tcPr>
          <w:p w14:paraId="07DAB56B">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9" w:type="dxa"/>
            <w:noWrap w:val="0"/>
            <w:vAlign w:val="center"/>
          </w:tcPr>
          <w:p w14:paraId="686E4ABC">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r>
      <w:tr w14:paraId="486B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77" w:type="dxa"/>
            <w:noWrap w:val="0"/>
            <w:vAlign w:val="center"/>
          </w:tcPr>
          <w:p w14:paraId="294C7D6C">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15" w:type="dxa"/>
            <w:noWrap w:val="0"/>
            <w:vAlign w:val="center"/>
          </w:tcPr>
          <w:p w14:paraId="51D0FBE7">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980" w:type="dxa"/>
            <w:noWrap w:val="0"/>
            <w:vAlign w:val="center"/>
          </w:tcPr>
          <w:p w14:paraId="698D9BAC">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74" w:type="dxa"/>
            <w:noWrap w:val="0"/>
            <w:vAlign w:val="center"/>
          </w:tcPr>
          <w:p w14:paraId="6466255C">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44" w:type="dxa"/>
            <w:noWrap w:val="0"/>
            <w:vAlign w:val="center"/>
          </w:tcPr>
          <w:p w14:paraId="0F2AC1B1">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78" w:type="dxa"/>
            <w:noWrap w:val="0"/>
            <w:vAlign w:val="center"/>
          </w:tcPr>
          <w:p w14:paraId="098EAFFB">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22" w:type="dxa"/>
            <w:noWrap w:val="0"/>
            <w:vAlign w:val="center"/>
          </w:tcPr>
          <w:p w14:paraId="1E3FD70D">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0" w:type="dxa"/>
            <w:noWrap w:val="0"/>
            <w:vAlign w:val="center"/>
          </w:tcPr>
          <w:p w14:paraId="60FDA6BE">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77" w:type="dxa"/>
            <w:noWrap w:val="0"/>
            <w:vAlign w:val="center"/>
          </w:tcPr>
          <w:p w14:paraId="72266234">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9" w:type="dxa"/>
            <w:noWrap w:val="0"/>
            <w:vAlign w:val="center"/>
          </w:tcPr>
          <w:p w14:paraId="50EF952D">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r>
      <w:tr w14:paraId="3BC0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77" w:type="dxa"/>
            <w:noWrap w:val="0"/>
            <w:vAlign w:val="center"/>
          </w:tcPr>
          <w:p w14:paraId="3A3C0CA5">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315" w:type="dxa"/>
            <w:noWrap w:val="0"/>
            <w:vAlign w:val="center"/>
          </w:tcPr>
          <w:p w14:paraId="504BAC5E">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980" w:type="dxa"/>
            <w:noWrap w:val="0"/>
            <w:vAlign w:val="center"/>
          </w:tcPr>
          <w:p w14:paraId="25B6D3AC">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74" w:type="dxa"/>
            <w:noWrap w:val="0"/>
            <w:vAlign w:val="center"/>
          </w:tcPr>
          <w:p w14:paraId="74F2B792">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44" w:type="dxa"/>
            <w:noWrap w:val="0"/>
            <w:vAlign w:val="center"/>
          </w:tcPr>
          <w:p w14:paraId="73D5C299">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78" w:type="dxa"/>
            <w:noWrap w:val="0"/>
            <w:vAlign w:val="center"/>
          </w:tcPr>
          <w:p w14:paraId="6CE3FB55">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22" w:type="dxa"/>
            <w:noWrap w:val="0"/>
            <w:vAlign w:val="center"/>
          </w:tcPr>
          <w:p w14:paraId="2FA6E525">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0" w:type="dxa"/>
            <w:noWrap w:val="0"/>
            <w:vAlign w:val="center"/>
          </w:tcPr>
          <w:p w14:paraId="023F49ED">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77" w:type="dxa"/>
            <w:noWrap w:val="0"/>
            <w:vAlign w:val="center"/>
          </w:tcPr>
          <w:p w14:paraId="309C1E2F">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9" w:type="dxa"/>
            <w:noWrap w:val="0"/>
            <w:vAlign w:val="center"/>
          </w:tcPr>
          <w:p w14:paraId="7B387AFF">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r>
      <w:tr w14:paraId="71BC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noWrap w:val="0"/>
            <w:vAlign w:val="center"/>
          </w:tcPr>
          <w:p w14:paraId="39CF9C09">
            <w:pPr>
              <w:pStyle w:val="12"/>
              <w:keepNext w:val="0"/>
              <w:keepLines w:val="0"/>
              <w:pageBreakBefore w:val="0"/>
              <w:widowControl w:val="0"/>
              <w:kinsoku/>
              <w:wordWrap/>
              <w:overflowPunct/>
              <w:topLinePunct w:val="0"/>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合计</w:t>
            </w:r>
          </w:p>
        </w:tc>
        <w:tc>
          <w:tcPr>
            <w:tcW w:w="1315" w:type="dxa"/>
            <w:noWrap w:val="0"/>
            <w:vAlign w:val="center"/>
          </w:tcPr>
          <w:p w14:paraId="6A9CFA46">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980" w:type="dxa"/>
            <w:noWrap w:val="0"/>
            <w:vAlign w:val="center"/>
          </w:tcPr>
          <w:p w14:paraId="6DA44FDF">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74" w:type="dxa"/>
            <w:noWrap w:val="0"/>
            <w:vAlign w:val="center"/>
          </w:tcPr>
          <w:p w14:paraId="47285873">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44" w:type="dxa"/>
            <w:noWrap w:val="0"/>
            <w:vAlign w:val="center"/>
          </w:tcPr>
          <w:p w14:paraId="4D715092">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78" w:type="dxa"/>
            <w:noWrap w:val="0"/>
            <w:vAlign w:val="center"/>
          </w:tcPr>
          <w:p w14:paraId="4D0ED9EF">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1522" w:type="dxa"/>
            <w:noWrap w:val="0"/>
            <w:vAlign w:val="center"/>
          </w:tcPr>
          <w:p w14:paraId="45D7407B">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0" w:type="dxa"/>
            <w:noWrap w:val="0"/>
            <w:vAlign w:val="center"/>
          </w:tcPr>
          <w:p w14:paraId="047CA80D">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877" w:type="dxa"/>
            <w:noWrap w:val="0"/>
            <w:vAlign w:val="center"/>
          </w:tcPr>
          <w:p w14:paraId="66D16B8D">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c>
          <w:tcPr>
            <w:tcW w:w="739" w:type="dxa"/>
            <w:noWrap w:val="0"/>
            <w:vAlign w:val="center"/>
          </w:tcPr>
          <w:p w14:paraId="60470195">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color w:val="auto"/>
                <w:sz w:val="24"/>
                <w:szCs w:val="24"/>
              </w:rPr>
            </w:pPr>
          </w:p>
        </w:tc>
      </w:tr>
    </w:tbl>
    <w:p w14:paraId="2228AA53">
      <w:pPr>
        <w:pStyle w:val="12"/>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环境标志产品根据财政部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生态环境部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关于印发环境标志产品政府采购品目清单的通知</w:t>
      </w:r>
      <w:r>
        <w:rPr>
          <w:rFonts w:hint="eastAsia" w:ascii="仿宋" w:hAnsi="仿宋" w:eastAsia="仿宋" w:cs="仿宋"/>
          <w:color w:val="auto"/>
          <w:sz w:val="24"/>
          <w:szCs w:val="24"/>
          <w:lang w:eastAsia="zh-CN"/>
        </w:rPr>
        <w:t>》文件附件“</w:t>
      </w:r>
      <w:r>
        <w:rPr>
          <w:rFonts w:hint="eastAsia" w:ascii="仿宋" w:hAnsi="仿宋" w:eastAsia="仿宋" w:cs="仿宋"/>
          <w:color w:val="auto"/>
          <w:sz w:val="24"/>
          <w:szCs w:val="24"/>
          <w:lang w:eastAsia="zh-CN"/>
        </w:rPr>
        <w:fldChar w:fldCharType="begin"/>
      </w:r>
      <w:r>
        <w:rPr>
          <w:rFonts w:hint="eastAsia" w:ascii="仿宋" w:hAnsi="仿宋" w:eastAsia="仿宋" w:cs="仿宋"/>
          <w:color w:val="auto"/>
          <w:sz w:val="24"/>
          <w:szCs w:val="24"/>
          <w:lang w:eastAsia="zh-CN"/>
        </w:rPr>
        <w:instrText xml:space="preserve"> HYPERLINK "http://gks.mof.gov.cn/zhengfucaigouguanli/201903/P020190329702478575295.pdf" </w:instrText>
      </w:r>
      <w:r>
        <w:rPr>
          <w:rFonts w:hint="eastAsia" w:ascii="仿宋" w:hAnsi="仿宋" w:eastAsia="仿宋" w:cs="仿宋"/>
          <w:color w:val="auto"/>
          <w:sz w:val="24"/>
          <w:szCs w:val="24"/>
          <w:lang w:eastAsia="zh-CN"/>
        </w:rPr>
        <w:fldChar w:fldCharType="separate"/>
      </w:r>
      <w:r>
        <w:rPr>
          <w:rFonts w:hint="eastAsia" w:ascii="仿宋" w:hAnsi="仿宋" w:eastAsia="仿宋" w:cs="仿宋"/>
          <w:color w:val="auto"/>
          <w:sz w:val="24"/>
          <w:szCs w:val="24"/>
          <w:lang w:eastAsia="zh-CN"/>
        </w:rPr>
        <w:t>环境标志产品政府采购品目清单</w:t>
      </w:r>
      <w:r>
        <w:rPr>
          <w:rFonts w:hint="eastAsia" w:ascii="仿宋" w:hAnsi="仿宋" w:eastAsia="仿宋" w:cs="仿宋"/>
          <w:color w:val="auto"/>
          <w:sz w:val="24"/>
          <w:szCs w:val="24"/>
          <w:lang w:eastAsia="zh-CN"/>
        </w:rPr>
        <w:fldChar w:fldCharType="end"/>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确定。</w:t>
      </w:r>
    </w:p>
    <w:p w14:paraId="1B8C7A18">
      <w:pPr>
        <w:pStyle w:val="12"/>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如所投产品为环保产品，必须按规定格式逐项填写，否则评审时不予</w:t>
      </w:r>
      <w:r>
        <w:rPr>
          <w:rFonts w:hint="eastAsia" w:ascii="仿宋" w:hAnsi="仿宋" w:eastAsia="仿宋" w:cs="仿宋"/>
          <w:color w:val="auto"/>
          <w:sz w:val="24"/>
          <w:szCs w:val="24"/>
          <w:lang w:eastAsia="zh-CN"/>
        </w:rPr>
        <w:t>认可</w:t>
      </w:r>
      <w:r>
        <w:rPr>
          <w:rFonts w:hint="eastAsia" w:ascii="仿宋" w:hAnsi="仿宋" w:eastAsia="仿宋" w:cs="仿宋"/>
          <w:color w:val="auto"/>
          <w:sz w:val="24"/>
          <w:szCs w:val="24"/>
        </w:rPr>
        <w:t xml:space="preserve">。 </w:t>
      </w:r>
    </w:p>
    <w:p w14:paraId="0B3B9B7D">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附：市场监管总局</w:t>
      </w:r>
      <w:r>
        <w:rPr>
          <w:rFonts w:hint="eastAsia" w:ascii="仿宋" w:hAnsi="仿宋" w:eastAsia="仿宋" w:cs="仿宋"/>
          <w:color w:val="auto"/>
          <w:sz w:val="24"/>
          <w:szCs w:val="24"/>
          <w:lang w:eastAsia="zh-CN"/>
        </w:rPr>
        <w:t>发布的</w:t>
      </w:r>
      <w:r>
        <w:rPr>
          <w:rFonts w:hint="eastAsia" w:ascii="仿宋" w:hAnsi="仿宋" w:eastAsia="仿宋" w:cs="仿宋"/>
          <w:color w:val="auto"/>
          <w:sz w:val="24"/>
          <w:szCs w:val="24"/>
          <w:lang w:val="en-US" w:eastAsia="zh-CN"/>
        </w:rPr>
        <w:t>《参与实施政府采购环境标志产品认证机构名录》截图、</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环境标志</w:t>
      </w:r>
      <w:r>
        <w:rPr>
          <w:rFonts w:hint="eastAsia" w:ascii="仿宋" w:hAnsi="仿宋" w:eastAsia="仿宋" w:cs="仿宋"/>
          <w:color w:val="auto"/>
          <w:sz w:val="24"/>
          <w:szCs w:val="24"/>
        </w:rPr>
        <w:t>产品认证证书》扫描件和财政部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生态环境部</w:t>
      </w:r>
      <w:r>
        <w:rPr>
          <w:rFonts w:hint="eastAsia" w:ascii="仿宋" w:hAnsi="仿宋" w:eastAsia="仿宋" w:cs="仿宋"/>
          <w:color w:val="auto"/>
          <w:sz w:val="24"/>
          <w:szCs w:val="24"/>
          <w:lang w:eastAsia="zh-CN"/>
        </w:rPr>
        <w:t>公布的《环境标志产品政府采购品目清单》截屏</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品目清单和认证机构名录截图需用“箭头”标注对应产品和认证机构名称。</w:t>
      </w:r>
    </w:p>
    <w:p w14:paraId="7FDFE2D5">
      <w:pPr>
        <w:pStyle w:val="12"/>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14:paraId="46F9D053">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b/>
          <w:bCs/>
          <w:color w:val="auto"/>
          <w:sz w:val="24"/>
          <w:szCs w:val="24"/>
          <w:lang w:val="en-US" w:eastAsia="zh-CN"/>
        </w:rPr>
      </w:pPr>
    </w:p>
    <w:p w14:paraId="643C0F9E">
      <w:pPr>
        <w:pStyle w:val="12"/>
        <w:keepNext w:val="0"/>
        <w:keepLines w:val="0"/>
        <w:pageBreakBefore w:val="0"/>
        <w:widowControl w:val="0"/>
        <w:kinsoku/>
        <w:wordWrap/>
        <w:overflowPunct/>
        <w:topLinePunct w:val="0"/>
        <w:autoSpaceDE/>
        <w:autoSpaceDN/>
        <w:bidi w:val="0"/>
        <w:snapToGrid/>
        <w:spacing w:line="40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32.小型、微型企业</w:t>
      </w:r>
    </w:p>
    <w:p w14:paraId="2AA2462C">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32.1</w:t>
      </w:r>
      <w:r>
        <w:rPr>
          <w:rFonts w:hint="eastAsia" w:ascii="仿宋" w:hAnsi="仿宋" w:eastAsia="仿宋" w:cs="仿宋"/>
          <w:color w:val="auto"/>
          <w:sz w:val="24"/>
          <w:szCs w:val="24"/>
          <w:lang w:eastAsia="zh-CN"/>
        </w:rPr>
        <w:t>本</w:t>
      </w:r>
      <w:r>
        <w:rPr>
          <w:rFonts w:hint="eastAsia" w:ascii="仿宋" w:hAnsi="仿宋" w:eastAsia="仿宋" w:cs="仿宋"/>
          <w:color w:val="auto"/>
          <w:sz w:val="24"/>
          <w:szCs w:val="24"/>
        </w:rPr>
        <w:t>项目应在</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中做出如下规定：</w:t>
      </w:r>
    </w:p>
    <w:tbl>
      <w:tblPr>
        <w:tblStyle w:val="25"/>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8274"/>
      </w:tblGrid>
      <w:tr w14:paraId="1C3B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05" w:type="dxa"/>
            <w:noWrap w:val="0"/>
            <w:vAlign w:val="center"/>
          </w:tcPr>
          <w:p w14:paraId="14A5EDE6">
            <w:pPr>
              <w:pStyle w:val="12"/>
              <w:keepNext w:val="0"/>
              <w:keepLines w:val="0"/>
              <w:pageBreakBefore w:val="0"/>
              <w:widowControl w:val="0"/>
              <w:kinsoku/>
              <w:wordWrap/>
              <w:overflowPunct/>
              <w:topLinePunct w:val="0"/>
              <w:autoSpaceDE/>
              <w:autoSpaceDN/>
              <w:bidi w:val="0"/>
              <w:snapToGrid/>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评审内容</w:t>
            </w:r>
          </w:p>
        </w:tc>
        <w:tc>
          <w:tcPr>
            <w:tcW w:w="8274" w:type="dxa"/>
            <w:noWrap w:val="0"/>
            <w:vAlign w:val="center"/>
          </w:tcPr>
          <w:p w14:paraId="3A4CC7A9">
            <w:pPr>
              <w:pStyle w:val="12"/>
              <w:keepNext w:val="0"/>
              <w:keepLines w:val="0"/>
              <w:pageBreakBefore w:val="0"/>
              <w:widowControl w:val="0"/>
              <w:kinsoku/>
              <w:wordWrap/>
              <w:overflowPunct/>
              <w:topLinePunct w:val="0"/>
              <w:autoSpaceDE/>
              <w:autoSpaceDN/>
              <w:bidi w:val="0"/>
              <w:snapToGrid/>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r>
      <w:tr w14:paraId="2F22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1605" w:type="dxa"/>
            <w:noWrap w:val="0"/>
            <w:vAlign w:val="center"/>
          </w:tcPr>
          <w:p w14:paraId="1A42BFDA">
            <w:pPr>
              <w:pStyle w:val="12"/>
              <w:keepNext w:val="0"/>
              <w:keepLines w:val="0"/>
              <w:pageBreakBefore w:val="0"/>
              <w:widowControl w:val="0"/>
              <w:kinsoku/>
              <w:wordWrap/>
              <w:overflowPunct/>
              <w:topLinePunct w:val="0"/>
              <w:autoSpaceDE/>
              <w:autoSpaceDN/>
              <w:bidi w:val="0"/>
              <w:snapToGrid/>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小型、微型企业有关政策</w:t>
            </w:r>
          </w:p>
        </w:tc>
        <w:tc>
          <w:tcPr>
            <w:tcW w:w="8274" w:type="dxa"/>
            <w:noWrap w:val="0"/>
            <w:vAlign w:val="top"/>
          </w:tcPr>
          <w:p w14:paraId="5434D16E">
            <w:pPr>
              <w:pStyle w:val="12"/>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财依据《政府采购促进中小企业发展管理办法》（财库〔2020〕46号）、《关于进一步加大政府采购支持中小企业力度的通知》（财库〔2022〕19号）、《财政部关于加强财税支持政策落实促进中小企业高质量发展的通知》（财预〔</w:t>
            </w:r>
            <w:r>
              <w:rPr>
                <w:rFonts w:hint="default" w:ascii="仿宋" w:hAnsi="仿宋" w:eastAsia="仿宋" w:cs="仿宋"/>
                <w:color w:val="auto"/>
                <w:sz w:val="24"/>
                <w:szCs w:val="24"/>
                <w:lang w:val="en-US" w:eastAsia="zh-CN"/>
              </w:rPr>
              <w:t>2023〕76号）</w:t>
            </w:r>
            <w:r>
              <w:rPr>
                <w:rFonts w:hint="eastAsia" w:ascii="仿宋" w:hAnsi="仿宋" w:eastAsia="仿宋" w:cs="仿宋"/>
                <w:color w:val="auto"/>
                <w:sz w:val="24"/>
                <w:szCs w:val="24"/>
                <w:lang w:val="en-US" w:eastAsia="zh-CN"/>
              </w:rPr>
              <w:t>规定执行；</w:t>
            </w:r>
          </w:p>
          <w:p w14:paraId="21044544">
            <w:pPr>
              <w:pStyle w:val="12"/>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(2)根据工信部等部委发布的《关于印发中小企业划型标准规定的通知》（工信部联企业[2011]300 号）规定执行；</w:t>
            </w:r>
          </w:p>
          <w:p w14:paraId="1A25A178">
            <w:pPr>
              <w:pStyle w:val="12"/>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(3)按照《财政部、司法部关于政府采购支持监狱企业发展有关问题的通知》（财库【2014】68 号）文件规定，在政府采购活动中，监狱企业视同小型、微型企业，享受评审中价格扣除的政府采购政策。</w:t>
            </w:r>
          </w:p>
          <w:p w14:paraId="37AE8A62">
            <w:pPr>
              <w:pStyle w:val="12"/>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(4)根据《关于促进残疾人就业政府采购政策的通知》（财库〔2017〕141号）在政府采购活动中，残疾人福利性单位视同为小型、微型企业。</w:t>
            </w:r>
          </w:p>
          <w:p w14:paraId="038BD3F1">
            <w:pPr>
              <w:pStyle w:val="12"/>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注：单位同属于小型、微型企业、监狱企业、残疾人福利性单位，不重复享受政策，只能扣减一次。</w:t>
            </w:r>
          </w:p>
        </w:tc>
      </w:tr>
    </w:tbl>
    <w:p w14:paraId="1A0F21CA">
      <w:pPr>
        <w:pStyle w:val="12"/>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 w:hAnsi="仿宋" w:eastAsia="仿宋" w:cs="仿宋"/>
          <w:color w:val="auto"/>
          <w:szCs w:val="21"/>
          <w:lang w:eastAsia="zh-CN"/>
        </w:rPr>
      </w:pPr>
      <w:r>
        <w:rPr>
          <w:rFonts w:hint="eastAsia" w:ascii="仿宋" w:hAnsi="仿宋" w:eastAsia="仿宋" w:cs="仿宋"/>
          <w:b/>
          <w:bCs/>
          <w:color w:val="auto"/>
          <w:sz w:val="24"/>
          <w:szCs w:val="24"/>
          <w:lang w:val="en-US" w:eastAsia="zh-CN"/>
        </w:rPr>
        <w:t>32.2</w:t>
      </w:r>
      <w:r>
        <w:rPr>
          <w:rFonts w:hint="eastAsia" w:ascii="仿宋" w:hAnsi="仿宋" w:eastAsia="仿宋" w:cs="仿宋"/>
          <w:b/>
          <w:bCs/>
          <w:color w:val="auto"/>
          <w:sz w:val="24"/>
          <w:szCs w:val="24"/>
        </w:rPr>
        <w:t>关于</w:t>
      </w:r>
      <w:r>
        <w:rPr>
          <w:rFonts w:hint="eastAsia" w:ascii="仿宋" w:hAnsi="仿宋" w:eastAsia="仿宋" w:cs="仿宋"/>
          <w:b/>
          <w:bCs/>
          <w:color w:val="auto"/>
          <w:sz w:val="24"/>
          <w:szCs w:val="24"/>
          <w:lang w:eastAsia="zh-CN"/>
        </w:rPr>
        <w:t>中小</w:t>
      </w:r>
      <w:r>
        <w:rPr>
          <w:rFonts w:hint="eastAsia" w:ascii="仿宋" w:hAnsi="仿宋" w:eastAsia="仿宋" w:cs="仿宋"/>
          <w:b/>
          <w:bCs/>
          <w:color w:val="auto"/>
          <w:sz w:val="24"/>
          <w:szCs w:val="24"/>
        </w:rPr>
        <w:t>企业的说明</w:t>
      </w:r>
      <w:r>
        <w:rPr>
          <w:rFonts w:hint="eastAsia" w:ascii="仿宋" w:hAnsi="仿宋" w:eastAsia="仿宋" w:cs="仿宋"/>
          <w:b/>
          <w:bCs/>
          <w:color w:val="auto"/>
          <w:sz w:val="24"/>
          <w:szCs w:val="24"/>
          <w:lang w:eastAsia="zh-CN"/>
        </w:rPr>
        <w:t>：</w:t>
      </w:r>
    </w:p>
    <w:p w14:paraId="343A9987">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1、按财政部、工业和信息化部关于印发《政府采购促进中小企业发展管理办法》的通知（财库〔2020〕46号）之规定，中小企业的标准为：</w:t>
      </w:r>
    </w:p>
    <w:p w14:paraId="532E8C4F">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1.1在</w:t>
      </w:r>
      <w:r>
        <w:rPr>
          <w:rFonts w:hint="eastAsia" w:ascii="仿宋" w:hAnsi="仿宋" w:eastAsia="仿宋" w:cs="仿宋"/>
          <w:color w:val="auto"/>
          <w:sz w:val="24"/>
          <w:szCs w:val="24"/>
          <w:lang w:val="en-US" w:eastAsia="zh-CN"/>
        </w:rPr>
        <w:t>政府采购活动中，供应商提供的货物、工程或者服务符合下列情形的，享受本办法规定的中小企业扶持政策：</w:t>
      </w:r>
    </w:p>
    <w:p w14:paraId="3CC29B44">
      <w:pPr>
        <w:pStyle w:val="1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（一）在货物采购项目中，货物由中小企业制造，即货物由中小企业生产且使用该中小企业商号或者注册商标； </w:t>
      </w:r>
    </w:p>
    <w:p w14:paraId="2BEA0D41">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（二）在工程采购项目中，工程由中小企业承建，即工程施工单位为中小企业； </w:t>
      </w:r>
    </w:p>
    <w:p w14:paraId="3CED6D7E">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（三）在服务采购项目中，服务由中小企业承接，即提供服务的人员为中小企业依照《中华人民共和国劳动合同法》订立劳动合同的从业人员。 </w:t>
      </w:r>
    </w:p>
    <w:p w14:paraId="794EC2E3">
      <w:pPr>
        <w:pStyle w:val="1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1.2在货物采购项目中，供应商提供的货物既有中小企业制造货物，也有大型企业制造货物的，不享受本办法规定的中小企业扶持政策。</w:t>
      </w:r>
    </w:p>
    <w:p w14:paraId="602F2EC9">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1.3以联合体形式参加政府采购活动，联合体各方均为中小企业的，联合体视同中小企业。其中，联合体各方均为小微企业的，联合体视同小微企业。 </w:t>
      </w:r>
    </w:p>
    <w:p w14:paraId="0DB1ED30">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1.4供应商按照本办法规定提供声明函内容不实的，属于提供虚假材料谋取中标、成交，依照《中华人民共和国政府采购法》等国家有关规定追究相应责任。 </w:t>
      </w:r>
    </w:p>
    <w:p w14:paraId="2E34E65E">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1.5适用招标投标法的政府采购工程建设项目，供应商按照本办法规定提供声明函内容不实的，属于弄虚作假骗取中标，依照《中华人民共和国招标投标法》等国家有关规定追究相应责任。</w:t>
      </w:r>
    </w:p>
    <w:p w14:paraId="4C83A4D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2、依照&lt;财政部、司法部关于政府采购支持监狱企业发展有关问题的通知&gt;（财库〔2014〕68号）之规定，监狱企业应当符合以下条件：</w:t>
      </w:r>
    </w:p>
    <w:p w14:paraId="2EF8CE3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87596DC">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2.2监狱企业参加政府采购活动时，视同小型、微型企业，应当提供由省级以上监狱管理局、戒毒管理局（含新疆生产建设兵团）出具的属于监狱企业的证明文件。</w:t>
      </w:r>
    </w:p>
    <w:p w14:paraId="6E2250E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关于残疾人福利性单位：</w:t>
      </w:r>
    </w:p>
    <w:p w14:paraId="2AFCB8B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.1根据《关于促进残疾人就业政府采购政策的通知》（财库〔2017〕141号）的规定，享受政府采购支持政策的残疾人福利性单位应当同时满足以下条件：</w:t>
      </w:r>
    </w:p>
    <w:p w14:paraId="49E07049">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（一）安置的残疾人占本单位在职职工人数的比例不低于25%（含25%），并且安置的残疾人人数不少于10人（含10人）；</w:t>
      </w:r>
    </w:p>
    <w:p w14:paraId="3705A290">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（二）依法与安置的每位残疾人签订了一年以上（含一年）的劳动合同或服务协议；</w:t>
      </w:r>
    </w:p>
    <w:p w14:paraId="68D2B77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（三）为安置的每位残疾人按月足额缴纳了基本养老保险、基本医疗保险、失业保险、工伤保险和生育保险等社会保险费；</w:t>
      </w:r>
    </w:p>
    <w:p w14:paraId="0E44BE5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（四）通过银行等金融机构向安置的每位残疾人，按月支付了不低于单位所在区县适用的经省级人民政府批准的月最低工资标准的工资；</w:t>
      </w:r>
    </w:p>
    <w:p w14:paraId="7D9685C8">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（五）提供本单位制造的货物、承担的工程或者服务（以下简称产品），或者提供其他残疾人福利性单位制造的货物（不包括使用非残疾人福利性单位注册商标的货物）。</w:t>
      </w:r>
    </w:p>
    <w:p w14:paraId="2F9B12C7">
      <w:pPr>
        <w:pStyle w:val="12"/>
        <w:keepNext w:val="0"/>
        <w:keepLines w:val="0"/>
        <w:pageBreakBefore w:val="0"/>
        <w:widowControl w:val="0"/>
        <w:kinsoku/>
        <w:wordWrap/>
        <w:overflowPunct/>
        <w:topLinePunct w:val="0"/>
        <w:autoSpaceDE/>
        <w:autoSpaceDN/>
        <w:bidi w:val="0"/>
        <w:snapToGrid/>
        <w:spacing w:line="420" w:lineRule="exact"/>
        <w:jc w:val="center"/>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B0ACB58">
      <w:pPr>
        <w:pStyle w:val="1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32.3</w:t>
      </w:r>
      <w:r>
        <w:rPr>
          <w:rFonts w:hint="eastAsia" w:ascii="仿宋" w:hAnsi="仿宋" w:eastAsia="仿宋" w:cs="仿宋"/>
          <w:b/>
          <w:bCs/>
          <w:color w:val="auto"/>
          <w:sz w:val="24"/>
          <w:szCs w:val="24"/>
        </w:rPr>
        <w:t>小型、微企业</w:t>
      </w:r>
      <w:r>
        <w:rPr>
          <w:rFonts w:hint="eastAsia" w:ascii="仿宋" w:hAnsi="仿宋" w:eastAsia="仿宋" w:cs="仿宋"/>
          <w:b/>
          <w:bCs/>
          <w:color w:val="auto"/>
          <w:sz w:val="24"/>
          <w:szCs w:val="24"/>
          <w:lang w:eastAsia="zh-CN"/>
        </w:rPr>
        <w:t>提供证明材料：</w:t>
      </w:r>
    </w:p>
    <w:p w14:paraId="74FF9AAB">
      <w:pPr>
        <w:pStyle w:val="1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如为小型、微型企业</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，须</w:t>
      </w:r>
      <w:r>
        <w:rPr>
          <w:rFonts w:hint="eastAsia" w:ascii="仿宋" w:hAnsi="仿宋" w:eastAsia="仿宋" w:cs="仿宋"/>
          <w:b/>
          <w:bCs/>
          <w:color w:val="auto"/>
          <w:sz w:val="24"/>
          <w:szCs w:val="24"/>
          <w:lang w:eastAsia="zh-CN"/>
        </w:rPr>
        <w:t>提供以下附件证明</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归集于投标文件中，</w:t>
      </w:r>
      <w:r>
        <w:rPr>
          <w:rFonts w:hint="eastAsia" w:ascii="仿宋" w:hAnsi="仿宋" w:eastAsia="仿宋" w:cs="仿宋"/>
          <w:b/>
          <w:bCs/>
          <w:color w:val="auto"/>
          <w:sz w:val="24"/>
          <w:szCs w:val="24"/>
        </w:rPr>
        <w:t>否则评分时不予价格扣除</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 xml:space="preserve"> ①</w:t>
      </w:r>
      <w:r>
        <w:rPr>
          <w:rFonts w:hint="eastAsia" w:ascii="仿宋" w:hAnsi="仿宋" w:eastAsia="仿宋" w:cs="仿宋"/>
          <w:b/>
          <w:bCs/>
          <w:color w:val="auto"/>
          <w:sz w:val="24"/>
          <w:szCs w:val="24"/>
          <w:lang w:eastAsia="zh-CN"/>
        </w:rPr>
        <w:t>如供应商为</w:t>
      </w:r>
      <w:r>
        <w:rPr>
          <w:rFonts w:hint="eastAsia" w:ascii="仿宋" w:hAnsi="仿宋" w:eastAsia="仿宋" w:cs="仿宋"/>
          <w:b/>
          <w:bCs/>
          <w:color w:val="auto"/>
          <w:sz w:val="24"/>
          <w:szCs w:val="24"/>
        </w:rPr>
        <w:t>小型、微型企业</w:t>
      </w:r>
      <w:r>
        <w:rPr>
          <w:rFonts w:hint="eastAsia" w:ascii="仿宋" w:hAnsi="仿宋" w:eastAsia="仿宋" w:cs="仿宋"/>
          <w:b/>
          <w:bCs/>
          <w:color w:val="auto"/>
          <w:sz w:val="24"/>
          <w:szCs w:val="24"/>
          <w:lang w:eastAsia="zh-CN"/>
        </w:rPr>
        <w:t>，须提供</w:t>
      </w:r>
      <w:r>
        <w:rPr>
          <w:rFonts w:hint="eastAsia" w:ascii="仿宋" w:hAnsi="仿宋" w:eastAsia="仿宋" w:cs="仿宋"/>
          <w:b/>
          <w:bCs/>
          <w:color w:val="auto"/>
          <w:sz w:val="24"/>
          <w:szCs w:val="24"/>
        </w:rPr>
        <w:t xml:space="preserve">《中小企业声明函》、《从业人员声明函》。 </w:t>
      </w:r>
      <w:r>
        <w:rPr>
          <w:rFonts w:hint="eastAsia" w:ascii="仿宋" w:hAnsi="仿宋" w:eastAsia="仿宋" w:cs="仿宋"/>
          <w:b/>
          <w:bCs/>
          <w:color w:val="auto"/>
          <w:sz w:val="24"/>
          <w:szCs w:val="24"/>
          <w:lang w:eastAsia="zh-CN"/>
        </w:rPr>
        <w:t>②</w:t>
      </w:r>
      <w:r>
        <w:rPr>
          <w:rFonts w:hint="eastAsia" w:ascii="仿宋" w:hAnsi="仿宋" w:eastAsia="仿宋" w:cs="仿宋"/>
          <w:b/>
          <w:bCs/>
          <w:color w:val="auto"/>
          <w:sz w:val="24"/>
          <w:szCs w:val="24"/>
        </w:rPr>
        <w:t>如</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为监狱企业，须提供省级以上监狱管理局 、戒毒管理局（含新疆生产建设兵团）出具的属于监狱企业的证明文件扫描件。</w:t>
      </w:r>
      <w:r>
        <w:rPr>
          <w:rFonts w:hint="eastAsia" w:ascii="仿宋" w:hAnsi="仿宋" w:eastAsia="仿宋" w:cs="仿宋"/>
          <w:b/>
          <w:bCs/>
          <w:color w:val="auto"/>
          <w:sz w:val="24"/>
          <w:szCs w:val="24"/>
          <w:lang w:eastAsia="zh-CN"/>
        </w:rPr>
        <w:t>③</w:t>
      </w:r>
      <w:r>
        <w:rPr>
          <w:rFonts w:hint="eastAsia" w:ascii="仿宋" w:hAnsi="仿宋" w:eastAsia="仿宋" w:cs="仿宋"/>
          <w:b/>
          <w:bCs/>
          <w:color w:val="auto"/>
          <w:sz w:val="24"/>
          <w:szCs w:val="24"/>
        </w:rPr>
        <w:t>如</w:t>
      </w:r>
      <w:r>
        <w:rPr>
          <w:rFonts w:hint="eastAsia" w:ascii="仿宋" w:hAnsi="仿宋" w:eastAsia="仿宋" w:cs="仿宋"/>
          <w:b/>
          <w:bCs/>
          <w:color w:val="auto"/>
          <w:sz w:val="24"/>
          <w:szCs w:val="24"/>
          <w:lang w:eastAsia="zh-CN"/>
        </w:rPr>
        <w:t>供应商</w:t>
      </w:r>
      <w:r>
        <w:rPr>
          <w:rFonts w:hint="eastAsia" w:ascii="仿宋" w:hAnsi="仿宋" w:eastAsia="仿宋" w:cs="仿宋"/>
          <w:b/>
          <w:bCs/>
          <w:color w:val="auto"/>
          <w:sz w:val="24"/>
          <w:szCs w:val="24"/>
        </w:rPr>
        <w:t>为残疾人福利性单位</w:t>
      </w:r>
      <w:r>
        <w:rPr>
          <w:rFonts w:hint="eastAsia" w:ascii="仿宋" w:hAnsi="仿宋" w:eastAsia="仿宋" w:cs="仿宋"/>
          <w:b/>
          <w:bCs/>
          <w:color w:val="auto"/>
          <w:sz w:val="24"/>
          <w:szCs w:val="24"/>
          <w:lang w:eastAsia="zh-CN"/>
        </w:rPr>
        <w:t>，须提供《残疾人福利性单位声明函》。供应商</w:t>
      </w:r>
      <w:r>
        <w:rPr>
          <w:rFonts w:hint="eastAsia" w:ascii="仿宋" w:hAnsi="仿宋" w:eastAsia="仿宋" w:cs="仿宋"/>
          <w:b/>
          <w:bCs/>
          <w:color w:val="auto"/>
          <w:sz w:val="24"/>
          <w:szCs w:val="24"/>
        </w:rPr>
        <w:t>对</w:t>
      </w:r>
      <w:r>
        <w:rPr>
          <w:rFonts w:hint="eastAsia" w:ascii="仿宋" w:hAnsi="仿宋" w:eastAsia="仿宋" w:cs="仿宋"/>
          <w:b/>
          <w:bCs/>
          <w:color w:val="auto"/>
          <w:sz w:val="24"/>
          <w:szCs w:val="24"/>
          <w:lang w:eastAsia="zh-CN"/>
        </w:rPr>
        <w:t>提供的证明材料</w:t>
      </w:r>
      <w:r>
        <w:rPr>
          <w:rFonts w:hint="eastAsia" w:ascii="仿宋" w:hAnsi="仿宋" w:eastAsia="仿宋" w:cs="仿宋"/>
          <w:b/>
          <w:bCs/>
          <w:color w:val="auto"/>
          <w:sz w:val="24"/>
          <w:szCs w:val="24"/>
        </w:rPr>
        <w:t>的真实性负责。如有虚假，将依法承担相应责任。</w:t>
      </w:r>
    </w:p>
    <w:p w14:paraId="4F157F38">
      <w:pPr>
        <w:keepNext w:val="0"/>
        <w:keepLines w:val="0"/>
        <w:pageBreakBefore w:val="0"/>
        <w:widowControl w:val="0"/>
        <w:kinsoku/>
        <w:wordWrap/>
        <w:overflowPunct/>
        <w:topLinePunct w:val="0"/>
        <w:autoSpaceDE/>
        <w:autoSpaceDN/>
        <w:bidi w:val="0"/>
        <w:snapToGrid/>
        <w:spacing w:line="420" w:lineRule="exact"/>
        <w:jc w:val="center"/>
        <w:textAlignment w:val="auto"/>
        <w:rPr>
          <w:rFonts w:hint="eastAsia" w:ascii="仿宋" w:hAnsi="仿宋" w:eastAsia="仿宋" w:cs="仿宋"/>
          <w:b/>
          <w:bCs/>
          <w:color w:val="auto"/>
          <w:sz w:val="28"/>
          <w:szCs w:val="28"/>
        </w:rPr>
      </w:pPr>
    </w:p>
    <w:p w14:paraId="4F32CAA0">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145E067F">
      <w:pPr>
        <w:keepNext w:val="0"/>
        <w:keepLines w:val="0"/>
        <w:pageBreakBefore w:val="0"/>
        <w:widowControl w:val="0"/>
        <w:kinsoku/>
        <w:wordWrap/>
        <w:overflowPunct/>
        <w:topLinePunct w:val="0"/>
        <w:autoSpaceDE/>
        <w:autoSpaceDN/>
        <w:bidi w:val="0"/>
        <w:snapToGrid/>
        <w:spacing w:line="420" w:lineRule="exact"/>
        <w:jc w:val="center"/>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中小企业声明函</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服务</w:t>
      </w:r>
      <w:r>
        <w:rPr>
          <w:rFonts w:hint="eastAsia" w:ascii="仿宋" w:hAnsi="仿宋" w:eastAsia="仿宋" w:cs="仿宋"/>
          <w:b/>
          <w:bCs/>
          <w:color w:val="auto"/>
          <w:sz w:val="28"/>
          <w:szCs w:val="28"/>
          <w:lang w:eastAsia="zh-CN"/>
        </w:rPr>
        <w:t>）</w:t>
      </w:r>
    </w:p>
    <w:p w14:paraId="2B2117A1">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本公司郑重声明，根据《政府采购促进中小企业发展管理办法》（财库﹝2020﹞46 号）的规定，本公司参加</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采购人</w:t>
      </w:r>
      <w:r>
        <w:rPr>
          <w:rFonts w:hint="eastAsia" w:ascii="仿宋" w:hAnsi="仿宋" w:eastAsia="仿宋" w:cs="仿宋"/>
          <w:color w:val="auto"/>
          <w:sz w:val="24"/>
          <w:szCs w:val="24"/>
          <w:u w:val="single"/>
        </w:rPr>
        <w:t>名称）</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rPr>
        <w:t>采购活动，提供的货物全部由符合政策要求的中小企业制造。相关企业 （含联合体中的中小企业、签订分包意向协议的中小企业） 的具体情况如下：</w:t>
      </w:r>
    </w:p>
    <w:p w14:paraId="65A21C76">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u w:val="single"/>
        </w:rPr>
        <w:t>（标的</w:t>
      </w:r>
      <w:r>
        <w:rPr>
          <w:rFonts w:hint="eastAsia" w:ascii="仿宋" w:hAnsi="仿宋" w:eastAsia="仿宋" w:cs="仿宋"/>
          <w:color w:val="auto"/>
          <w:sz w:val="24"/>
          <w:szCs w:val="24"/>
          <w:u w:val="single"/>
          <w:lang w:val="en-US" w:eastAsia="zh-CN"/>
        </w:rPr>
        <w:t>/产品</w:t>
      </w:r>
      <w:r>
        <w:rPr>
          <w:rFonts w:hint="eastAsia" w:ascii="仿宋" w:hAnsi="仿宋" w:eastAsia="仿宋" w:cs="仿宋"/>
          <w:color w:val="auto"/>
          <w:sz w:val="24"/>
          <w:szCs w:val="24"/>
          <w:u w:val="single"/>
        </w:rPr>
        <w:t xml:space="preserve">名称） </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招标文件</w:t>
      </w:r>
      <w:r>
        <w:rPr>
          <w:rFonts w:hint="eastAsia" w:ascii="仿宋" w:hAnsi="仿宋" w:eastAsia="仿宋" w:cs="仿宋"/>
          <w:color w:val="auto"/>
          <w:sz w:val="24"/>
          <w:szCs w:val="24"/>
          <w:u w:val="single"/>
        </w:rPr>
        <w:t>中明确的所属行业）行业</w:t>
      </w:r>
      <w:r>
        <w:rPr>
          <w:rFonts w:hint="eastAsia" w:ascii="仿宋" w:hAnsi="仿宋" w:eastAsia="仿宋" w:cs="仿宋"/>
          <w:color w:val="auto"/>
          <w:sz w:val="24"/>
          <w:szCs w:val="24"/>
        </w:rPr>
        <w:t>；制造商为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（企业名称）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（中型企业、小型企业、微型企业）</w:t>
      </w:r>
      <w:r>
        <w:rPr>
          <w:rFonts w:hint="eastAsia" w:ascii="仿宋" w:hAnsi="仿宋" w:eastAsia="仿宋" w:cs="仿宋"/>
          <w:color w:val="auto"/>
          <w:sz w:val="24"/>
          <w:szCs w:val="24"/>
        </w:rPr>
        <w:t xml:space="preserve">； </w:t>
      </w:r>
    </w:p>
    <w:p w14:paraId="3E3612EE">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u w:val="single"/>
        </w:rPr>
        <w:t>（标的</w:t>
      </w:r>
      <w:r>
        <w:rPr>
          <w:rFonts w:hint="eastAsia" w:ascii="仿宋" w:hAnsi="仿宋" w:eastAsia="仿宋" w:cs="仿宋"/>
          <w:color w:val="auto"/>
          <w:sz w:val="24"/>
          <w:szCs w:val="24"/>
          <w:u w:val="single"/>
          <w:lang w:val="en-US" w:eastAsia="zh-CN"/>
        </w:rPr>
        <w:t>/产品</w:t>
      </w:r>
      <w:r>
        <w:rPr>
          <w:rFonts w:hint="eastAsia" w:ascii="仿宋" w:hAnsi="仿宋" w:eastAsia="仿宋" w:cs="仿宋"/>
          <w:color w:val="auto"/>
          <w:sz w:val="24"/>
          <w:szCs w:val="24"/>
          <w:u w:val="single"/>
        </w:rPr>
        <w:t xml:space="preserve">名称） </w:t>
      </w:r>
      <w:r>
        <w:rPr>
          <w:rFonts w:hint="eastAsia" w:ascii="仿宋" w:hAnsi="仿宋" w:eastAsia="仿宋" w:cs="仿宋"/>
          <w:color w:val="auto"/>
          <w:sz w:val="24"/>
          <w:szCs w:val="24"/>
        </w:rPr>
        <w:t>，属于</w:t>
      </w:r>
      <w:r>
        <w:rPr>
          <w:rFonts w:hint="eastAsia" w:ascii="仿宋" w:hAnsi="仿宋" w:eastAsia="仿宋" w:cs="仿宋"/>
          <w:color w:val="auto"/>
          <w:sz w:val="24"/>
          <w:szCs w:val="24"/>
          <w:u w:val="single"/>
        </w:rPr>
        <w:t>（</w:t>
      </w:r>
      <w:r>
        <w:rPr>
          <w:rFonts w:hint="eastAsia" w:ascii="仿宋" w:hAnsi="仿宋" w:eastAsia="仿宋" w:cs="仿宋"/>
          <w:color w:val="auto"/>
          <w:sz w:val="24"/>
          <w:szCs w:val="24"/>
          <w:u w:val="single"/>
          <w:lang w:eastAsia="zh-CN"/>
        </w:rPr>
        <w:t>招标文件</w:t>
      </w:r>
      <w:r>
        <w:rPr>
          <w:rFonts w:hint="eastAsia" w:ascii="仿宋" w:hAnsi="仿宋" w:eastAsia="仿宋" w:cs="仿宋"/>
          <w:color w:val="auto"/>
          <w:sz w:val="24"/>
          <w:szCs w:val="24"/>
          <w:u w:val="single"/>
        </w:rPr>
        <w:t>中明确的所属行业）行业</w:t>
      </w:r>
      <w:r>
        <w:rPr>
          <w:rFonts w:hint="eastAsia" w:ascii="仿宋" w:hAnsi="仿宋" w:eastAsia="仿宋" w:cs="仿宋"/>
          <w:color w:val="auto"/>
          <w:sz w:val="24"/>
          <w:szCs w:val="24"/>
        </w:rPr>
        <w:t>；制造商为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（企业名称）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，从业人员</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人，营业收入为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万元，资产总额为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万元，属于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（中型企业、小型企业、微型企业）</w:t>
      </w:r>
      <w:r>
        <w:rPr>
          <w:rFonts w:hint="eastAsia" w:ascii="仿宋" w:hAnsi="仿宋" w:eastAsia="仿宋" w:cs="仿宋"/>
          <w:color w:val="auto"/>
          <w:sz w:val="24"/>
          <w:szCs w:val="24"/>
        </w:rPr>
        <w:t xml:space="preserve">； </w:t>
      </w:r>
    </w:p>
    <w:p w14:paraId="4FB9C18C">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76D395B3">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以上企业，不属于大企业的分支机构，不存在控股股东 为大企业的情形，也不存在与大企业的负责人为同一人的情形。本企业对上述声明内容的真实性负责。如有虚假，将依法承担相应责任。 </w:t>
      </w:r>
    </w:p>
    <w:p w14:paraId="76A5ADF2">
      <w:pPr>
        <w:pStyle w:val="12"/>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*从业人员、营业收入、资产总额填报上一年度数据，无上一年度数据的新成立企业可不填报。</w:t>
      </w:r>
    </w:p>
    <w:p w14:paraId="46DA94AA">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企业名称（盖章）：</w:t>
      </w:r>
    </w:p>
    <w:p w14:paraId="039293A7">
      <w:pPr>
        <w:pStyle w:val="12"/>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 期：</w:t>
      </w:r>
    </w:p>
    <w:p w14:paraId="402509FB">
      <w:pPr>
        <w:keepNext w:val="0"/>
        <w:keepLines w:val="0"/>
        <w:pageBreakBefore w:val="0"/>
        <w:widowControl w:val="0"/>
        <w:kinsoku/>
        <w:wordWrap/>
        <w:overflowPunct/>
        <w:topLinePunct w:val="0"/>
        <w:autoSpaceDE/>
        <w:autoSpaceDN/>
        <w:bidi w:val="0"/>
        <w:snapToGrid/>
        <w:spacing w:line="420" w:lineRule="exact"/>
        <w:jc w:val="center"/>
        <w:textAlignment w:val="auto"/>
        <w:rPr>
          <w:rFonts w:hint="eastAsia" w:ascii="仿宋" w:hAnsi="仿宋" w:eastAsia="仿宋" w:cs="仿宋"/>
          <w:b/>
          <w:bCs/>
          <w:color w:val="auto"/>
          <w:sz w:val="28"/>
          <w:szCs w:val="28"/>
        </w:rPr>
      </w:pPr>
    </w:p>
    <w:p w14:paraId="3195862C">
      <w:pPr>
        <w:keepNext w:val="0"/>
        <w:keepLines w:val="0"/>
        <w:pageBreakBefore w:val="0"/>
        <w:widowControl w:val="0"/>
        <w:kinsoku/>
        <w:wordWrap/>
        <w:overflowPunct/>
        <w:topLinePunct w:val="0"/>
        <w:autoSpaceDE/>
        <w:autoSpaceDN/>
        <w:bidi w:val="0"/>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从业人员声明函</w:t>
      </w:r>
    </w:p>
    <w:p w14:paraId="5D0BCE71">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本公司郑重声明：根据财政部、工业和信息化部关于印发《政府采购促进中小企业发展管理办法》的通知（财库〔2020〕46号）</w:t>
      </w:r>
      <w:r>
        <w:rPr>
          <w:rFonts w:hint="eastAsia" w:ascii="仿宋" w:hAnsi="仿宋" w:eastAsia="仿宋" w:cs="仿宋"/>
          <w:color w:val="auto"/>
          <w:sz w:val="24"/>
          <w:szCs w:val="24"/>
          <w:lang w:eastAsia="zh-CN"/>
        </w:rPr>
        <w:t>规定执行</w:t>
      </w:r>
      <w:r>
        <w:rPr>
          <w:rFonts w:hint="eastAsia" w:ascii="仿宋" w:hAnsi="仿宋" w:eastAsia="仿宋" w:cs="仿宋"/>
          <w:color w:val="auto"/>
          <w:sz w:val="24"/>
          <w:szCs w:val="24"/>
        </w:rPr>
        <w:t>、《工业和信息部、国家统计局、国家发展和改革委员会、财政部关于印发中小企业划型标准规定的通知》（工信部联企业[2011]300 号）规定，本公司从业人员数为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w:t>
      </w:r>
    </w:p>
    <w:p w14:paraId="5EBE66E9">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本公司对上述声明的真实性负责，如有虚假，将依法承担相应责任。 </w:t>
      </w:r>
    </w:p>
    <w:p w14:paraId="6C1C707F">
      <w:pPr>
        <w:pStyle w:val="12"/>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auto"/>
          <w:sz w:val="24"/>
          <w:szCs w:val="24"/>
        </w:rPr>
      </w:pPr>
    </w:p>
    <w:p w14:paraId="1385B81F">
      <w:pPr>
        <w:pStyle w:val="12"/>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企业名称（盖章）</w:t>
      </w:r>
    </w:p>
    <w:p w14:paraId="4A797C2F">
      <w:pPr>
        <w:pStyle w:val="12"/>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09A841A7">
      <w:pPr>
        <w:keepNext w:val="0"/>
        <w:keepLines w:val="0"/>
        <w:pageBreakBefore w:val="0"/>
        <w:widowControl w:val="0"/>
        <w:kinsoku/>
        <w:wordWrap/>
        <w:overflowPunct/>
        <w:topLinePunct w:val="0"/>
        <w:autoSpaceDE/>
        <w:autoSpaceDN/>
        <w:bidi w:val="0"/>
        <w:snapToGrid/>
        <w:spacing w:line="420" w:lineRule="exact"/>
        <w:jc w:val="center"/>
        <w:textAlignment w:val="auto"/>
        <w:rPr>
          <w:rFonts w:hint="eastAsia" w:ascii="仿宋" w:hAnsi="仿宋" w:eastAsia="仿宋" w:cs="仿宋"/>
          <w:b/>
          <w:bCs/>
          <w:color w:val="auto"/>
          <w:sz w:val="28"/>
          <w:szCs w:val="28"/>
        </w:rPr>
      </w:pPr>
    </w:p>
    <w:p w14:paraId="03BDBE94">
      <w:pPr>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14:paraId="0AA5D70C">
      <w:pPr>
        <w:keepNext w:val="0"/>
        <w:keepLines w:val="0"/>
        <w:pageBreakBefore w:val="0"/>
        <w:widowControl w:val="0"/>
        <w:kinsoku/>
        <w:wordWrap/>
        <w:overflowPunct/>
        <w:topLinePunct w:val="0"/>
        <w:autoSpaceDE/>
        <w:autoSpaceDN/>
        <w:bidi w:val="0"/>
        <w:snapToGrid/>
        <w:spacing w:line="4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残疾人福利性单位声明函</w:t>
      </w:r>
    </w:p>
    <w:p w14:paraId="3D40C65B">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BDCED8">
      <w:pPr>
        <w:pStyle w:val="12"/>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本单位对上述声明的真实性负责。如有虚假，将依法承担相应责任。</w:t>
      </w:r>
    </w:p>
    <w:p w14:paraId="5427C63E">
      <w:pPr>
        <w:pStyle w:val="12"/>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企业名称（盖章）</w:t>
      </w:r>
    </w:p>
    <w:p w14:paraId="38FC7F30">
      <w:pPr>
        <w:pStyle w:val="12"/>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月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w:t>
      </w:r>
    </w:p>
    <w:p w14:paraId="295BB373">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5BE4410C">
      <w:pPr>
        <w:pStyle w:val="12"/>
        <w:keepNext w:val="0"/>
        <w:keepLines w:val="0"/>
        <w:pageBreakBefore w:val="0"/>
        <w:widowControl w:val="0"/>
        <w:kinsoku/>
        <w:wordWrap/>
        <w:overflowPunct/>
        <w:topLinePunct w:val="0"/>
        <w:autoSpaceDE/>
        <w:autoSpaceDN/>
        <w:bidi w:val="0"/>
        <w:snapToGrid/>
        <w:spacing w:line="400" w:lineRule="exact"/>
        <w:jc w:val="center"/>
        <w:textAlignment w:val="auto"/>
        <w:outlineLvl w:val="9"/>
        <w:rPr>
          <w:rFonts w:hint="eastAsia" w:ascii="仿宋" w:hAnsi="仿宋" w:eastAsia="仿宋" w:cs="仿宋"/>
          <w:color w:val="auto"/>
          <w:sz w:val="24"/>
          <w:szCs w:val="24"/>
        </w:rPr>
      </w:pPr>
    </w:p>
    <w:p w14:paraId="3946BAE2">
      <w:pPr>
        <w:pStyle w:val="12"/>
        <w:keepNext w:val="0"/>
        <w:keepLines w:val="0"/>
        <w:pageBreakBefore w:val="0"/>
        <w:widowControl w:val="0"/>
        <w:kinsoku/>
        <w:wordWrap/>
        <w:overflowPunct/>
        <w:topLinePunct w:val="0"/>
        <w:autoSpaceDE/>
        <w:autoSpaceDN/>
        <w:bidi w:val="0"/>
        <w:snapToGrid/>
        <w:spacing w:line="400" w:lineRule="exact"/>
        <w:jc w:val="center"/>
        <w:textAlignment w:val="auto"/>
        <w:outlineLvl w:val="0"/>
        <w:rPr>
          <w:rFonts w:hint="eastAsia" w:ascii="仿宋" w:hAnsi="仿宋" w:eastAsia="仿宋" w:cs="仿宋"/>
          <w:b/>
          <w:color w:val="auto"/>
          <w:sz w:val="36"/>
        </w:rPr>
      </w:pPr>
      <w:bookmarkStart w:id="33" w:name="_Toc32120"/>
      <w:bookmarkStart w:id="34" w:name="_Toc25437"/>
      <w:r>
        <w:rPr>
          <w:rFonts w:hint="eastAsia" w:ascii="仿宋" w:hAnsi="仿宋" w:eastAsia="仿宋" w:cs="仿宋"/>
          <w:b/>
          <w:color w:val="auto"/>
          <w:sz w:val="36"/>
        </w:rPr>
        <w:t xml:space="preserve">第三章 </w:t>
      </w:r>
      <w:r>
        <w:rPr>
          <w:rFonts w:hint="eastAsia" w:ascii="仿宋" w:hAnsi="仿宋" w:eastAsia="仿宋" w:cs="仿宋"/>
          <w:b/>
          <w:color w:val="auto"/>
          <w:sz w:val="36"/>
          <w:lang w:val="en-US" w:eastAsia="zh-CN"/>
        </w:rPr>
        <w:t xml:space="preserve"> </w:t>
      </w:r>
      <w:r>
        <w:rPr>
          <w:rFonts w:hint="eastAsia" w:ascii="仿宋" w:hAnsi="仿宋" w:eastAsia="仿宋" w:cs="仿宋"/>
          <w:b/>
          <w:color w:val="auto"/>
          <w:sz w:val="36"/>
        </w:rPr>
        <w:t>合同书样式及主要条款</w:t>
      </w:r>
      <w:bookmarkEnd w:id="31"/>
      <w:bookmarkEnd w:id="32"/>
      <w:bookmarkEnd w:id="33"/>
      <w:bookmarkEnd w:id="34"/>
    </w:p>
    <w:p w14:paraId="59D81637">
      <w:pPr>
        <w:bidi w:val="0"/>
        <w:rPr>
          <w:rFonts w:hint="eastAsia" w:ascii="仿宋" w:hAnsi="仿宋" w:eastAsia="仿宋" w:cs="仿宋"/>
        </w:rPr>
      </w:pPr>
    </w:p>
    <w:p w14:paraId="3E2D6305">
      <w:pPr>
        <w:jc w:val="center"/>
        <w:rPr>
          <w:rFonts w:hint="eastAsia" w:ascii="仿宋" w:hAnsi="仿宋" w:eastAsia="仿宋" w:cs="仿宋"/>
          <w:color w:val="auto"/>
          <w:sz w:val="24"/>
          <w:szCs w:val="24"/>
        </w:rPr>
      </w:pPr>
      <w:bookmarkStart w:id="35" w:name="_Toc16642"/>
      <w:bookmarkStart w:id="36" w:name="_Toc31300"/>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合同封皮须用“云南省政府采购网”系统生成为准</w:t>
      </w:r>
      <w:r>
        <w:rPr>
          <w:rFonts w:hint="eastAsia" w:ascii="仿宋" w:hAnsi="仿宋" w:eastAsia="仿宋" w:cs="仿宋"/>
          <w:color w:val="auto"/>
          <w:sz w:val="24"/>
          <w:szCs w:val="24"/>
        </w:rPr>
        <w:t>）</w:t>
      </w:r>
    </w:p>
    <w:p w14:paraId="7B696A0A">
      <w:pPr>
        <w:pStyle w:val="2"/>
        <w:rPr>
          <w:rFonts w:hint="eastAsia" w:ascii="仿宋" w:hAnsi="仿宋" w:eastAsia="仿宋" w:cs="仿宋"/>
          <w:color w:val="auto"/>
        </w:rPr>
      </w:pPr>
    </w:p>
    <w:p w14:paraId="2695A988">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合同编号：</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合同自编号：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项目编号</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14:paraId="7F224E40">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0BCDBA49">
      <w:pPr>
        <w:spacing w:after="240"/>
        <w:rPr>
          <w:rFonts w:hint="eastAsia" w:ascii="仿宋" w:hAnsi="仿宋" w:eastAsia="仿宋" w:cs="仿宋"/>
          <w:color w:val="auto"/>
          <w:sz w:val="24"/>
          <w:szCs w:val="24"/>
        </w:rPr>
      </w:pPr>
      <w:r>
        <w:rPr>
          <w:rFonts w:hint="eastAsia" w:ascii="仿宋" w:hAnsi="仿宋" w:eastAsia="仿宋" w:cs="仿宋"/>
          <w:color w:val="auto"/>
          <w:sz w:val="24"/>
          <w:szCs w:val="24"/>
        </w:rPr>
        <w:t>●本合同须加盖甲乙双方骑缝章有效</w:t>
      </w:r>
    </w:p>
    <w:p w14:paraId="3EEAF202">
      <w:pPr>
        <w:snapToGrid w:val="0"/>
        <w:spacing w:after="240"/>
        <w:rPr>
          <w:rFonts w:hint="eastAsia" w:ascii="仿宋" w:hAnsi="仿宋" w:eastAsia="仿宋" w:cs="仿宋"/>
          <w:color w:val="auto"/>
          <w:sz w:val="18"/>
          <w:szCs w:val="18"/>
        </w:rPr>
      </w:pPr>
      <w:r>
        <w:rPr>
          <w:rFonts w:hint="eastAsia" w:ascii="仿宋" w:hAnsi="仿宋" w:eastAsia="仿宋" w:cs="仿宋"/>
          <w:color w:val="auto"/>
          <w:sz w:val="18"/>
          <w:szCs w:val="18"/>
        </w:rPr>
        <w:t xml:space="preserve"> </w:t>
      </w:r>
    </w:p>
    <w:p w14:paraId="150FEAE9">
      <w:pPr>
        <w:snapToGrid w:val="0"/>
        <w:spacing w:after="240"/>
        <w:jc w:val="center"/>
        <w:rPr>
          <w:rFonts w:hint="eastAsia" w:ascii="仿宋" w:hAnsi="仿宋" w:eastAsia="仿宋" w:cs="仿宋"/>
          <w:color w:val="auto"/>
          <w:sz w:val="39"/>
          <w:szCs w:val="39"/>
        </w:rPr>
      </w:pPr>
      <w:r>
        <w:rPr>
          <w:rFonts w:hint="eastAsia" w:ascii="仿宋" w:hAnsi="仿宋" w:eastAsia="仿宋" w:cs="仿宋"/>
          <w:color w:val="auto"/>
          <w:sz w:val="39"/>
          <w:szCs w:val="39"/>
        </w:rPr>
        <w:t xml:space="preserve"> </w:t>
      </w:r>
    </w:p>
    <w:p w14:paraId="37FBC03A">
      <w:pPr>
        <w:snapToGrid w:val="0"/>
        <w:spacing w:after="240"/>
        <w:jc w:val="center"/>
        <w:rPr>
          <w:rFonts w:hint="eastAsia" w:ascii="仿宋" w:hAnsi="仿宋" w:eastAsia="仿宋" w:cs="仿宋"/>
          <w:b/>
          <w:bCs/>
          <w:color w:val="auto"/>
          <w:sz w:val="18"/>
          <w:szCs w:val="18"/>
        </w:rPr>
      </w:pPr>
      <w:r>
        <w:rPr>
          <w:rFonts w:hint="eastAsia" w:ascii="仿宋" w:hAnsi="仿宋" w:eastAsia="仿宋" w:cs="仿宋"/>
          <w:b/>
          <w:bCs/>
          <w:color w:val="auto"/>
          <w:sz w:val="39"/>
          <w:szCs w:val="39"/>
        </w:rPr>
        <w:t>云南省省级政府采购</w:t>
      </w:r>
    </w:p>
    <w:p w14:paraId="25C3D6F4">
      <w:pPr>
        <w:snapToGrid w:val="0"/>
        <w:spacing w:after="240"/>
        <w:jc w:val="center"/>
        <w:rPr>
          <w:rFonts w:hint="eastAsia" w:ascii="仿宋" w:hAnsi="仿宋" w:eastAsia="仿宋" w:cs="仿宋"/>
          <w:b/>
          <w:bCs/>
          <w:color w:val="auto"/>
          <w:sz w:val="18"/>
          <w:szCs w:val="18"/>
        </w:rPr>
      </w:pPr>
      <w:r>
        <w:rPr>
          <w:rFonts w:hint="eastAsia" w:ascii="仿宋" w:hAnsi="仿宋" w:eastAsia="仿宋" w:cs="仿宋"/>
          <w:b/>
          <w:bCs/>
          <w:color w:val="auto"/>
          <w:sz w:val="33"/>
          <w:szCs w:val="33"/>
        </w:rPr>
        <w:t>（委托采购）</w:t>
      </w:r>
      <w:r>
        <w:rPr>
          <w:rFonts w:hint="eastAsia" w:ascii="仿宋" w:hAnsi="仿宋" w:eastAsia="仿宋" w:cs="仿宋"/>
          <w:b/>
          <w:bCs/>
          <w:color w:val="auto"/>
          <w:sz w:val="18"/>
          <w:szCs w:val="18"/>
        </w:rPr>
        <w:t xml:space="preserve"> </w:t>
      </w:r>
    </w:p>
    <w:p w14:paraId="1A646C17">
      <w:pPr>
        <w:snapToGrid w:val="0"/>
        <w:spacing w:after="240"/>
        <w:jc w:val="center"/>
        <w:rPr>
          <w:rFonts w:hint="eastAsia" w:ascii="仿宋" w:hAnsi="仿宋" w:eastAsia="仿宋" w:cs="仿宋"/>
          <w:b/>
          <w:bCs/>
          <w:color w:val="auto"/>
          <w:sz w:val="39"/>
          <w:szCs w:val="39"/>
        </w:rPr>
      </w:pPr>
      <w:r>
        <w:rPr>
          <w:rFonts w:hint="eastAsia" w:ascii="仿宋" w:hAnsi="仿宋" w:eastAsia="仿宋" w:cs="仿宋"/>
          <w:b/>
          <w:bCs/>
          <w:color w:val="auto"/>
          <w:sz w:val="39"/>
          <w:szCs w:val="39"/>
        </w:rPr>
        <w:t xml:space="preserve"> </w:t>
      </w:r>
    </w:p>
    <w:p w14:paraId="4FA692DA">
      <w:pPr>
        <w:snapToGrid w:val="0"/>
        <w:spacing w:after="240" w:line="900" w:lineRule="exact"/>
        <w:jc w:val="center"/>
        <w:rPr>
          <w:rFonts w:hint="eastAsia" w:ascii="仿宋" w:hAnsi="仿宋" w:eastAsia="仿宋" w:cs="仿宋"/>
          <w:b/>
          <w:bCs/>
          <w:color w:val="auto"/>
          <w:sz w:val="18"/>
          <w:szCs w:val="18"/>
        </w:rPr>
      </w:pPr>
      <w:r>
        <w:rPr>
          <w:rFonts w:hint="eastAsia" w:ascii="仿宋" w:hAnsi="仿宋" w:eastAsia="仿宋" w:cs="仿宋"/>
          <w:b/>
          <w:bCs/>
          <w:color w:val="auto"/>
          <w:sz w:val="63"/>
          <w:szCs w:val="63"/>
        </w:rPr>
        <w:t>合</w:t>
      </w:r>
      <w:r>
        <w:rPr>
          <w:rFonts w:hint="eastAsia" w:ascii="仿宋" w:hAnsi="仿宋" w:eastAsia="仿宋" w:cs="仿宋"/>
          <w:b/>
          <w:bCs/>
          <w:color w:val="auto"/>
          <w:sz w:val="18"/>
          <w:szCs w:val="18"/>
        </w:rPr>
        <w:t xml:space="preserve"> </w:t>
      </w:r>
    </w:p>
    <w:p w14:paraId="57BA24D9">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w:t>
      </w:r>
    </w:p>
    <w:p w14:paraId="6821A759">
      <w:pPr>
        <w:snapToGrid w:val="0"/>
        <w:spacing w:after="240" w:line="900" w:lineRule="exact"/>
        <w:jc w:val="center"/>
        <w:rPr>
          <w:rFonts w:hint="eastAsia" w:ascii="仿宋" w:hAnsi="仿宋" w:eastAsia="仿宋" w:cs="仿宋"/>
          <w:b/>
          <w:bCs/>
          <w:color w:val="auto"/>
          <w:sz w:val="63"/>
          <w:szCs w:val="63"/>
        </w:rPr>
      </w:pPr>
      <w:r>
        <w:rPr>
          <w:rFonts w:hint="eastAsia" w:ascii="仿宋" w:hAnsi="仿宋" w:eastAsia="仿宋" w:cs="仿宋"/>
          <w:b/>
          <w:bCs/>
          <w:color w:val="auto"/>
          <w:sz w:val="63"/>
          <w:szCs w:val="63"/>
        </w:rPr>
        <w:t>同</w:t>
      </w:r>
    </w:p>
    <w:p w14:paraId="425C3AE9">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 </w:t>
      </w:r>
    </w:p>
    <w:p w14:paraId="0A17549F">
      <w:pPr>
        <w:snapToGrid w:val="0"/>
        <w:spacing w:after="240" w:line="900" w:lineRule="exact"/>
        <w:jc w:val="center"/>
        <w:rPr>
          <w:rFonts w:hint="eastAsia" w:ascii="仿宋" w:hAnsi="仿宋" w:eastAsia="仿宋" w:cs="仿宋"/>
          <w:color w:val="auto"/>
          <w:sz w:val="18"/>
          <w:szCs w:val="18"/>
        </w:rPr>
      </w:pPr>
      <w:r>
        <w:rPr>
          <w:rFonts w:hint="eastAsia" w:ascii="仿宋" w:hAnsi="仿宋" w:eastAsia="仿宋" w:cs="仿宋"/>
          <w:b/>
          <w:bCs/>
          <w:color w:val="auto"/>
          <w:sz w:val="63"/>
          <w:szCs w:val="63"/>
        </w:rPr>
        <w:t>书</w:t>
      </w:r>
      <w:r>
        <w:rPr>
          <w:rFonts w:hint="eastAsia" w:ascii="仿宋" w:hAnsi="仿宋" w:eastAsia="仿宋" w:cs="仿宋"/>
          <w:color w:val="auto"/>
          <w:sz w:val="18"/>
          <w:szCs w:val="18"/>
        </w:rPr>
        <w:t xml:space="preserve"> </w:t>
      </w:r>
    </w:p>
    <w:p w14:paraId="1D24AB35">
      <w:pPr>
        <w:snapToGrid w:val="0"/>
        <w:spacing w:after="240"/>
        <w:jc w:val="center"/>
        <w:rPr>
          <w:rFonts w:hint="eastAsia" w:ascii="仿宋" w:hAnsi="仿宋" w:eastAsia="仿宋" w:cs="仿宋"/>
          <w:b/>
          <w:bCs/>
          <w:color w:val="auto"/>
          <w:sz w:val="27"/>
          <w:szCs w:val="27"/>
        </w:rPr>
      </w:pPr>
      <w:r>
        <w:rPr>
          <w:rFonts w:hint="eastAsia" w:ascii="仿宋" w:hAnsi="仿宋" w:eastAsia="仿宋" w:cs="仿宋"/>
          <w:b/>
          <w:bCs/>
          <w:color w:val="auto"/>
          <w:sz w:val="27"/>
          <w:szCs w:val="27"/>
        </w:rPr>
        <w:t xml:space="preserve"> </w:t>
      </w:r>
    </w:p>
    <w:p w14:paraId="5A5093A9">
      <w:pPr>
        <w:snapToGrid w:val="0"/>
        <w:spacing w:after="240"/>
        <w:jc w:val="center"/>
        <w:rPr>
          <w:rFonts w:hint="eastAsia" w:ascii="仿宋" w:hAnsi="仿宋" w:eastAsia="仿宋" w:cs="仿宋"/>
          <w:b/>
          <w:bCs/>
          <w:color w:val="auto"/>
          <w:sz w:val="27"/>
          <w:szCs w:val="27"/>
        </w:rPr>
      </w:pPr>
      <w:r>
        <w:rPr>
          <w:rFonts w:hint="eastAsia" w:ascii="仿宋" w:hAnsi="仿宋" w:eastAsia="仿宋" w:cs="仿宋"/>
          <w:b/>
          <w:bCs/>
          <w:color w:val="auto"/>
          <w:sz w:val="27"/>
          <w:szCs w:val="27"/>
        </w:rPr>
        <w:t xml:space="preserve"> </w:t>
      </w:r>
    </w:p>
    <w:p w14:paraId="29337532">
      <w:pPr>
        <w:snapToGrid w:val="0"/>
        <w:spacing w:after="240"/>
        <w:ind w:firstLine="2667" w:firstLineChars="984"/>
        <w:rPr>
          <w:rFonts w:hint="eastAsia" w:ascii="仿宋" w:hAnsi="仿宋" w:eastAsia="仿宋" w:cs="仿宋"/>
          <w:color w:val="auto"/>
          <w:sz w:val="18"/>
          <w:szCs w:val="18"/>
        </w:rPr>
      </w:pPr>
      <w:r>
        <w:rPr>
          <w:rFonts w:hint="eastAsia" w:ascii="仿宋" w:hAnsi="仿宋" w:eastAsia="仿宋" w:cs="仿宋"/>
          <w:b/>
          <w:bCs/>
          <w:color w:val="auto"/>
          <w:sz w:val="27"/>
          <w:szCs w:val="27"/>
        </w:rPr>
        <w:t xml:space="preserve">签订地点： </w:t>
      </w:r>
      <w:r>
        <w:rPr>
          <w:rFonts w:hint="eastAsia" w:ascii="仿宋" w:hAnsi="仿宋" w:eastAsia="仿宋" w:cs="仿宋"/>
          <w:color w:val="auto"/>
          <w:sz w:val="18"/>
          <w:szCs w:val="18"/>
        </w:rPr>
        <w:t xml:space="preserve"> </w:t>
      </w:r>
    </w:p>
    <w:p w14:paraId="2AAF43EF">
      <w:pPr>
        <w:snapToGrid w:val="0"/>
        <w:spacing w:after="240"/>
        <w:ind w:firstLine="2667" w:firstLineChars="984"/>
        <w:rPr>
          <w:rFonts w:hint="eastAsia" w:ascii="仿宋" w:hAnsi="仿宋" w:eastAsia="仿宋" w:cs="仿宋"/>
          <w:b/>
          <w:bCs/>
          <w:color w:val="auto"/>
          <w:sz w:val="27"/>
          <w:szCs w:val="27"/>
        </w:rPr>
      </w:pPr>
    </w:p>
    <w:p w14:paraId="7BEA97DB">
      <w:pPr>
        <w:snapToGrid w:val="0"/>
        <w:spacing w:after="240"/>
        <w:jc w:val="center"/>
        <w:rPr>
          <w:rFonts w:hint="eastAsia" w:ascii="仿宋" w:hAnsi="仿宋" w:eastAsia="仿宋" w:cs="仿宋"/>
          <w:b/>
          <w:bCs/>
          <w:color w:val="auto"/>
          <w:sz w:val="27"/>
          <w:szCs w:val="27"/>
        </w:rPr>
      </w:pPr>
      <w:r>
        <w:rPr>
          <w:rFonts w:hint="eastAsia" w:ascii="仿宋" w:hAnsi="仿宋" w:eastAsia="仿宋" w:cs="仿宋"/>
          <w:b/>
          <w:bCs/>
          <w:color w:val="auto"/>
          <w:sz w:val="27"/>
          <w:szCs w:val="27"/>
        </w:rPr>
        <w:t>云南省财政厅</w:t>
      </w:r>
      <w:r>
        <w:rPr>
          <w:rFonts w:hint="eastAsia" w:ascii="仿宋" w:hAnsi="仿宋" w:eastAsia="仿宋" w:cs="仿宋"/>
          <w:b/>
          <w:bCs/>
          <w:color w:val="auto"/>
          <w:sz w:val="27"/>
          <w:szCs w:val="27"/>
          <w:lang w:val="en-US" w:eastAsia="zh-CN"/>
        </w:rPr>
        <w:t xml:space="preserve"> </w:t>
      </w:r>
      <w:r>
        <w:rPr>
          <w:rFonts w:hint="eastAsia" w:ascii="仿宋" w:hAnsi="仿宋" w:eastAsia="仿宋" w:cs="仿宋"/>
          <w:b/>
          <w:bCs/>
          <w:color w:val="auto"/>
          <w:sz w:val="27"/>
          <w:szCs w:val="27"/>
        </w:rPr>
        <w:t xml:space="preserve"> 制</w:t>
      </w:r>
    </w:p>
    <w:p w14:paraId="2DAD712C">
      <w:pPr>
        <w:tabs>
          <w:tab w:val="left" w:pos="4460"/>
        </w:tabs>
        <w:spacing w:after="0" w:line="263" w:lineRule="exact"/>
        <w:ind w:left="1600"/>
        <w:rPr>
          <w:rFonts w:hint="eastAsia" w:ascii="仿宋" w:hAnsi="仿宋" w:eastAsia="仿宋" w:cs="仿宋"/>
          <w:b/>
          <w:bCs/>
          <w:color w:val="auto"/>
          <w:sz w:val="27"/>
          <w:szCs w:val="27"/>
        </w:rPr>
      </w:pPr>
      <w:r>
        <w:rPr>
          <w:rFonts w:hint="eastAsia" w:ascii="仿宋" w:hAnsi="仿宋" w:eastAsia="仿宋" w:cs="仿宋"/>
          <w:b/>
          <w:bCs/>
          <w:color w:val="auto"/>
          <w:sz w:val="27"/>
          <w:szCs w:val="27"/>
        </w:rPr>
        <w:br w:type="page"/>
      </w:r>
    </w:p>
    <w:p w14:paraId="408A5CA4">
      <w:pPr>
        <w:tabs>
          <w:tab w:val="left" w:pos="4460"/>
        </w:tabs>
        <w:spacing w:after="0" w:line="263" w:lineRule="exact"/>
        <w:ind w:left="1600"/>
        <w:rPr>
          <w:rFonts w:hint="eastAsia" w:ascii="仿宋" w:hAnsi="仿宋" w:eastAsia="仿宋" w:cs="仿宋"/>
          <w:b/>
          <w:bCs/>
          <w:color w:val="auto"/>
          <w:sz w:val="27"/>
          <w:szCs w:val="27"/>
        </w:rPr>
      </w:pPr>
    </w:p>
    <w:p w14:paraId="5BC7528C">
      <w:pPr>
        <w:tabs>
          <w:tab w:val="left" w:pos="4460"/>
        </w:tabs>
        <w:spacing w:after="0" w:line="263" w:lineRule="exact"/>
        <w:ind w:left="1600"/>
        <w:rPr>
          <w:rFonts w:hint="eastAsia" w:ascii="仿宋" w:hAnsi="仿宋" w:eastAsia="仿宋" w:cs="仿宋"/>
          <w:b/>
          <w:bCs/>
          <w:color w:val="auto"/>
          <w:sz w:val="27"/>
          <w:szCs w:val="27"/>
        </w:rPr>
      </w:pPr>
    </w:p>
    <w:p w14:paraId="6A50FF0A">
      <w:pPr>
        <w:keepNext w:val="0"/>
        <w:keepLines w:val="0"/>
        <w:pageBreakBefore w:val="0"/>
        <w:widowControl/>
        <w:suppressLineNumbers w:val="0"/>
        <w:kinsoku/>
        <w:wordWrap/>
        <w:overflowPunct/>
        <w:topLinePunct w:val="0"/>
        <w:autoSpaceDE/>
        <w:autoSpaceDN/>
        <w:bidi w:val="0"/>
        <w:adjustRightInd/>
        <w:snapToGrid/>
        <w:spacing w:line="360" w:lineRule="auto"/>
        <w:ind w:firstLine="964" w:firstLineChars="400"/>
        <w:jc w:val="left"/>
        <w:textAlignment w:val="auto"/>
        <w:rPr>
          <w:rFonts w:hint="eastAsia" w:ascii="仿宋" w:hAnsi="仿宋" w:eastAsia="仿宋" w:cs="仿宋"/>
          <w:color w:val="auto"/>
        </w:rPr>
      </w:pPr>
      <w:r>
        <w:rPr>
          <w:rFonts w:hint="eastAsia" w:ascii="仿宋" w:hAnsi="仿宋" w:eastAsia="仿宋" w:cs="仿宋"/>
          <w:b/>
          <w:bCs/>
          <w:color w:val="auto"/>
          <w:kern w:val="0"/>
          <w:sz w:val="24"/>
          <w:szCs w:val="24"/>
          <w:lang w:val="en-US" w:eastAsia="zh-CN" w:bidi="ar"/>
        </w:rPr>
        <w:t>甲方（采购人公章）名称：</w:t>
      </w:r>
      <w:r>
        <w:rPr>
          <w:rFonts w:hint="eastAsia" w:ascii="仿宋" w:hAnsi="仿宋" w:eastAsia="仿宋" w:cs="仿宋"/>
          <w:color w:val="auto"/>
          <w:kern w:val="0"/>
          <w:sz w:val="24"/>
          <w:szCs w:val="24"/>
          <w:lang w:val="en-US" w:eastAsia="zh-CN" w:bidi="ar"/>
        </w:rPr>
        <w:t xml:space="preserve"> </w:t>
      </w:r>
    </w:p>
    <w:p w14:paraId="4F91B9B6">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地址： </w:t>
      </w:r>
    </w:p>
    <w:p w14:paraId="525CA708">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邮编： </w:t>
      </w:r>
    </w:p>
    <w:p w14:paraId="2CC6DFCB">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法定代表人或委托代理人： </w:t>
      </w:r>
    </w:p>
    <w:p w14:paraId="790DEB19">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项目（技术）负责人： </w:t>
      </w:r>
    </w:p>
    <w:p w14:paraId="490D2FE7">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电话： </w:t>
      </w:r>
    </w:p>
    <w:p w14:paraId="3C8F79D8">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kern w:val="0"/>
          <w:sz w:val="24"/>
          <w:szCs w:val="24"/>
          <w:lang w:val="en-US" w:eastAsia="zh-CN" w:bidi="ar"/>
        </w:rPr>
      </w:pPr>
    </w:p>
    <w:p w14:paraId="189AE96A">
      <w:pPr>
        <w:keepNext w:val="0"/>
        <w:keepLines w:val="0"/>
        <w:pageBreakBefore w:val="0"/>
        <w:widowControl/>
        <w:suppressLineNumbers w:val="0"/>
        <w:kinsoku/>
        <w:wordWrap/>
        <w:overflowPunct/>
        <w:topLinePunct w:val="0"/>
        <w:autoSpaceDE/>
        <w:autoSpaceDN/>
        <w:bidi w:val="0"/>
        <w:adjustRightInd/>
        <w:snapToGrid/>
        <w:spacing w:line="360" w:lineRule="auto"/>
        <w:ind w:firstLine="964" w:firstLineChars="400"/>
        <w:jc w:val="left"/>
        <w:textAlignment w:val="auto"/>
        <w:rPr>
          <w:rFonts w:hint="eastAsia" w:ascii="仿宋" w:hAnsi="仿宋" w:eastAsia="仿宋" w:cs="仿宋"/>
          <w:color w:val="auto"/>
        </w:rPr>
      </w:pPr>
      <w:r>
        <w:rPr>
          <w:rFonts w:hint="eastAsia" w:ascii="仿宋" w:hAnsi="仿宋" w:eastAsia="仿宋" w:cs="仿宋"/>
          <w:b/>
          <w:bCs/>
          <w:color w:val="auto"/>
          <w:kern w:val="0"/>
          <w:sz w:val="24"/>
          <w:szCs w:val="24"/>
          <w:lang w:val="en-US" w:eastAsia="zh-CN" w:bidi="ar"/>
        </w:rPr>
        <w:t>乙方（供应商公章）名称：</w:t>
      </w:r>
      <w:r>
        <w:rPr>
          <w:rFonts w:hint="eastAsia" w:ascii="仿宋" w:hAnsi="仿宋" w:eastAsia="仿宋" w:cs="仿宋"/>
          <w:color w:val="auto"/>
          <w:kern w:val="0"/>
          <w:sz w:val="24"/>
          <w:szCs w:val="24"/>
          <w:lang w:val="en-US" w:eastAsia="zh-CN" w:bidi="ar"/>
        </w:rPr>
        <w:t xml:space="preserve"> </w:t>
      </w:r>
    </w:p>
    <w:p w14:paraId="0C8E5F8B">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地址： </w:t>
      </w:r>
    </w:p>
    <w:p w14:paraId="0B14F8CD">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邮编： </w:t>
      </w:r>
    </w:p>
    <w:p w14:paraId="7C7EA3AE">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法定代表人： </w:t>
      </w:r>
    </w:p>
    <w:p w14:paraId="59868589">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委托代理人： </w:t>
      </w:r>
    </w:p>
    <w:p w14:paraId="759F51C4">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电话： </w:t>
      </w:r>
    </w:p>
    <w:p w14:paraId="104E28BD">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开户银行： </w:t>
      </w:r>
    </w:p>
    <w:p w14:paraId="48D5C30D">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账号： </w:t>
      </w:r>
    </w:p>
    <w:p w14:paraId="2C798758">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kern w:val="0"/>
          <w:sz w:val="24"/>
          <w:szCs w:val="24"/>
          <w:lang w:val="en-US" w:eastAsia="zh-CN" w:bidi="ar"/>
        </w:rPr>
      </w:pPr>
    </w:p>
    <w:p w14:paraId="08027270">
      <w:pPr>
        <w:keepNext w:val="0"/>
        <w:keepLines w:val="0"/>
        <w:pageBreakBefore w:val="0"/>
        <w:widowControl/>
        <w:suppressLineNumbers w:val="0"/>
        <w:kinsoku/>
        <w:wordWrap/>
        <w:overflowPunct/>
        <w:topLinePunct w:val="0"/>
        <w:autoSpaceDE/>
        <w:autoSpaceDN/>
        <w:bidi w:val="0"/>
        <w:adjustRightInd/>
        <w:snapToGrid/>
        <w:spacing w:line="360" w:lineRule="auto"/>
        <w:ind w:firstLine="964" w:firstLineChars="400"/>
        <w:jc w:val="left"/>
        <w:textAlignment w:val="auto"/>
        <w:rPr>
          <w:rFonts w:hint="eastAsia" w:ascii="仿宋" w:hAnsi="仿宋" w:eastAsia="仿宋" w:cs="仿宋"/>
          <w:color w:val="auto"/>
        </w:rPr>
      </w:pPr>
      <w:r>
        <w:rPr>
          <w:rFonts w:hint="eastAsia" w:ascii="仿宋" w:hAnsi="仿宋" w:eastAsia="仿宋" w:cs="仿宋"/>
          <w:b/>
          <w:bCs/>
          <w:color w:val="auto"/>
          <w:kern w:val="0"/>
          <w:sz w:val="24"/>
          <w:szCs w:val="24"/>
          <w:lang w:val="en-US" w:eastAsia="zh-CN" w:bidi="ar"/>
        </w:rPr>
        <w:t>丙方（鉴证方公章）名称：</w:t>
      </w:r>
      <w:r>
        <w:rPr>
          <w:rFonts w:hint="eastAsia" w:ascii="仿宋" w:hAnsi="仿宋" w:eastAsia="仿宋" w:cs="仿宋"/>
          <w:color w:val="auto"/>
          <w:kern w:val="0"/>
          <w:sz w:val="24"/>
          <w:szCs w:val="24"/>
          <w:lang w:val="en-US" w:eastAsia="zh-CN" w:bidi="ar"/>
        </w:rPr>
        <w:t xml:space="preserve"> </w:t>
      </w:r>
    </w:p>
    <w:p w14:paraId="72C2E149">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地址： </w:t>
      </w:r>
    </w:p>
    <w:p w14:paraId="410E24AB">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邮编： </w:t>
      </w:r>
    </w:p>
    <w:p w14:paraId="0BF6F61E">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法定代表人： </w:t>
      </w:r>
    </w:p>
    <w:p w14:paraId="735BDE78">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经办人： </w:t>
      </w:r>
    </w:p>
    <w:p w14:paraId="3829440D">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电话： </w:t>
      </w:r>
    </w:p>
    <w:p w14:paraId="4640F489">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left"/>
        <w:textAlignment w:val="auto"/>
        <w:rPr>
          <w:rFonts w:hint="eastAsia" w:ascii="仿宋" w:hAnsi="仿宋" w:eastAsia="仿宋" w:cs="仿宋"/>
          <w:color w:val="auto"/>
        </w:rPr>
      </w:pPr>
      <w:r>
        <w:rPr>
          <w:rFonts w:hint="eastAsia" w:ascii="仿宋" w:hAnsi="仿宋" w:eastAsia="仿宋" w:cs="仿宋"/>
          <w:color w:val="auto"/>
          <w:kern w:val="0"/>
          <w:sz w:val="24"/>
          <w:szCs w:val="24"/>
          <w:lang w:val="en-US" w:eastAsia="zh-CN" w:bidi="ar"/>
        </w:rPr>
        <w:t xml:space="preserve">开户银行： </w:t>
      </w:r>
    </w:p>
    <w:p w14:paraId="0B4BA532">
      <w:pPr>
        <w:keepNext w:val="0"/>
        <w:keepLines w:val="0"/>
        <w:pageBreakBefore w:val="0"/>
        <w:kinsoku/>
        <w:wordWrap/>
        <w:overflowPunct/>
        <w:topLinePunct w:val="0"/>
        <w:autoSpaceDE/>
        <w:autoSpaceDN/>
        <w:bidi w:val="0"/>
        <w:adjustRightInd/>
        <w:snapToGrid/>
        <w:ind w:firstLine="960" w:firstLineChars="400"/>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账号： </w:t>
      </w:r>
    </w:p>
    <w:p w14:paraId="065971C7">
      <w:pPr>
        <w:tabs>
          <w:tab w:val="left" w:pos="2180"/>
        </w:tabs>
        <w:spacing w:after="0" w:line="274" w:lineRule="exact"/>
        <w:ind w:left="1600"/>
        <w:rPr>
          <w:rFonts w:hint="eastAsia" w:ascii="仿宋" w:hAnsi="仿宋" w:eastAsia="仿宋" w:cs="仿宋"/>
          <w:color w:val="auto"/>
          <w:sz w:val="24"/>
          <w:szCs w:val="24"/>
          <w:lang w:eastAsia="zh-CN"/>
        </w:rPr>
      </w:pPr>
    </w:p>
    <w:p w14:paraId="0466E9BD">
      <w:pPr>
        <w:rPr>
          <w:rFonts w:hint="eastAsia" w:ascii="仿宋" w:hAnsi="仿宋" w:eastAsia="仿宋" w:cs="仿宋"/>
          <w:b/>
          <w:color w:val="auto"/>
          <w:sz w:val="36"/>
        </w:rPr>
      </w:pPr>
      <w:r>
        <w:rPr>
          <w:rFonts w:hint="eastAsia" w:ascii="仿宋" w:hAnsi="仿宋" w:eastAsia="仿宋" w:cs="仿宋"/>
          <w:b/>
          <w:color w:val="auto"/>
          <w:sz w:val="36"/>
        </w:rPr>
        <w:br w:type="page"/>
      </w:r>
    </w:p>
    <w:p w14:paraId="24427442">
      <w:pPr>
        <w:autoSpaceDE w:val="0"/>
        <w:autoSpaceDN w:val="0"/>
        <w:adjustRightInd w:val="0"/>
        <w:spacing w:line="400" w:lineRule="atLeast"/>
        <w:ind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根据</w:t>
      </w:r>
      <w:r>
        <w:rPr>
          <w:rFonts w:hint="eastAsia" w:ascii="仿宋" w:hAnsi="仿宋" w:eastAsia="仿宋" w:cs="仿宋"/>
          <w:bCs/>
          <w:color w:val="auto"/>
          <w:sz w:val="24"/>
          <w:u w:val="single"/>
          <w:lang w:eastAsia="zh-CN"/>
        </w:rPr>
        <w:t>昆明市第三人民医院医疗设备（64排CT)维护和保养服务项目</w:t>
      </w:r>
      <w:r>
        <w:rPr>
          <w:rFonts w:hint="eastAsia" w:ascii="仿宋" w:hAnsi="仿宋" w:eastAsia="仿宋" w:cs="仿宋"/>
          <w:color w:val="auto"/>
          <w:kern w:val="0"/>
          <w:sz w:val="24"/>
          <w:lang w:val="zh-CN"/>
        </w:rPr>
        <w:t>公开招标采购结果，经甲乙双方协商，签订以下内容：</w:t>
      </w:r>
    </w:p>
    <w:p w14:paraId="24A7DF9B">
      <w:pPr>
        <w:spacing w:line="460" w:lineRule="exact"/>
        <w:ind w:firstLine="540" w:firstLineChars="224"/>
        <w:rPr>
          <w:rFonts w:hint="eastAsia" w:ascii="仿宋" w:hAnsi="仿宋" w:eastAsia="仿宋" w:cs="仿宋"/>
          <w:b/>
          <w:color w:val="auto"/>
          <w:sz w:val="24"/>
        </w:rPr>
      </w:pPr>
      <w:r>
        <w:rPr>
          <w:rFonts w:hint="eastAsia" w:ascii="仿宋" w:hAnsi="仿宋" w:eastAsia="仿宋" w:cs="仿宋"/>
          <w:b/>
          <w:color w:val="auto"/>
          <w:sz w:val="24"/>
        </w:rPr>
        <w:t xml:space="preserve">一、项目或设备(产品)名称、品牌、型号规格、产地、制造商名、数量、单价                                   </w:t>
      </w:r>
    </w:p>
    <w:p w14:paraId="61381B87">
      <w:pPr>
        <w:spacing w:line="460" w:lineRule="exact"/>
        <w:rPr>
          <w:rFonts w:hint="eastAsia" w:ascii="仿宋" w:hAnsi="仿宋" w:eastAsia="仿宋" w:cs="仿宋"/>
          <w:color w:val="auto"/>
          <w:sz w:val="24"/>
        </w:rPr>
      </w:pPr>
    </w:p>
    <w:p w14:paraId="46577A4D">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 xml:space="preserve"> (详见投标文件或技术参数和详细配置另作附件)</w:t>
      </w:r>
    </w:p>
    <w:p w14:paraId="76801A60">
      <w:pPr>
        <w:spacing w:line="460" w:lineRule="exact"/>
        <w:rPr>
          <w:rFonts w:hint="eastAsia" w:ascii="仿宋" w:hAnsi="仿宋" w:eastAsia="仿宋" w:cs="仿宋"/>
          <w:color w:val="auto"/>
          <w:sz w:val="24"/>
        </w:rPr>
      </w:pPr>
    </w:p>
    <w:p w14:paraId="35543935">
      <w:pPr>
        <w:spacing w:line="460" w:lineRule="exact"/>
        <w:ind w:firstLine="540" w:firstLineChars="224"/>
        <w:rPr>
          <w:rFonts w:hint="eastAsia" w:ascii="仿宋" w:hAnsi="仿宋" w:eastAsia="仿宋" w:cs="仿宋"/>
          <w:b/>
          <w:color w:val="auto"/>
          <w:sz w:val="24"/>
        </w:rPr>
      </w:pPr>
      <w:r>
        <w:rPr>
          <w:rFonts w:hint="eastAsia" w:ascii="仿宋" w:hAnsi="仿宋" w:eastAsia="仿宋" w:cs="仿宋"/>
          <w:b/>
          <w:color w:val="auto"/>
          <w:sz w:val="24"/>
        </w:rPr>
        <w:t>二、随机资料和配套附属设备要求</w:t>
      </w:r>
    </w:p>
    <w:p w14:paraId="69757729">
      <w:pPr>
        <w:spacing w:line="460" w:lineRule="exact"/>
        <w:ind w:firstLine="960" w:firstLineChars="400"/>
        <w:rPr>
          <w:rFonts w:hint="eastAsia" w:ascii="仿宋" w:hAnsi="仿宋" w:eastAsia="仿宋" w:cs="仿宋"/>
          <w:bCs/>
          <w:color w:val="auto"/>
          <w:sz w:val="24"/>
        </w:rPr>
      </w:pPr>
    </w:p>
    <w:p w14:paraId="2F27EB3D">
      <w:pPr>
        <w:spacing w:line="460" w:lineRule="exact"/>
        <w:rPr>
          <w:rFonts w:hint="eastAsia" w:ascii="仿宋" w:hAnsi="仿宋" w:eastAsia="仿宋" w:cs="仿宋"/>
          <w:b/>
          <w:color w:val="auto"/>
          <w:sz w:val="24"/>
        </w:rPr>
      </w:pPr>
    </w:p>
    <w:p w14:paraId="4A24C245">
      <w:pPr>
        <w:spacing w:line="460" w:lineRule="exact"/>
        <w:ind w:firstLine="540" w:firstLineChars="224"/>
        <w:rPr>
          <w:rFonts w:hint="eastAsia" w:ascii="仿宋" w:hAnsi="仿宋" w:eastAsia="仿宋" w:cs="仿宋"/>
          <w:b/>
          <w:color w:val="auto"/>
          <w:sz w:val="24"/>
        </w:rPr>
      </w:pPr>
      <w:r>
        <w:rPr>
          <w:rFonts w:hint="eastAsia" w:ascii="仿宋" w:hAnsi="仿宋" w:eastAsia="仿宋" w:cs="仿宋"/>
          <w:b/>
          <w:color w:val="auto"/>
          <w:sz w:val="24"/>
        </w:rPr>
        <w:t>三、安装调试要求</w:t>
      </w:r>
    </w:p>
    <w:p w14:paraId="65724E2F">
      <w:pPr>
        <w:spacing w:line="460" w:lineRule="exact"/>
        <w:ind w:firstLine="480"/>
        <w:rPr>
          <w:rFonts w:hint="eastAsia" w:ascii="仿宋" w:hAnsi="仿宋" w:eastAsia="仿宋" w:cs="仿宋"/>
          <w:color w:val="auto"/>
          <w:sz w:val="24"/>
        </w:rPr>
      </w:pPr>
      <w:r>
        <w:rPr>
          <w:rFonts w:hint="eastAsia" w:ascii="仿宋" w:hAnsi="仿宋" w:eastAsia="仿宋" w:cs="仿宋"/>
          <w:color w:val="auto"/>
          <w:sz w:val="24"/>
        </w:rPr>
        <w:t xml:space="preserve">设备安装调试(或项目建设)符合 </w:t>
      </w:r>
      <w:r>
        <w:rPr>
          <w:rFonts w:hint="eastAsia" w:ascii="仿宋" w:hAnsi="仿宋" w:eastAsia="仿宋" w:cs="仿宋"/>
          <w:color w:val="auto"/>
          <w:sz w:val="24"/>
          <w:u w:val="single"/>
        </w:rPr>
        <w:t xml:space="preserve">                              </w:t>
      </w:r>
      <w:r>
        <w:rPr>
          <w:rFonts w:hint="eastAsia" w:ascii="仿宋" w:hAnsi="仿宋" w:eastAsia="仿宋" w:cs="仿宋"/>
          <w:color w:val="auto"/>
          <w:sz w:val="24"/>
        </w:rPr>
        <w:t>标准，并满足甲方技术要求，乙方负责进行设备的免费安装测试同时完成。</w:t>
      </w:r>
    </w:p>
    <w:p w14:paraId="16D0C8E6">
      <w:pPr>
        <w:spacing w:line="460" w:lineRule="exact"/>
        <w:ind w:firstLine="540" w:firstLineChars="224"/>
        <w:rPr>
          <w:rFonts w:hint="eastAsia" w:ascii="仿宋" w:hAnsi="仿宋" w:eastAsia="仿宋" w:cs="仿宋"/>
          <w:b/>
          <w:color w:val="auto"/>
          <w:sz w:val="24"/>
        </w:rPr>
      </w:pPr>
      <w:r>
        <w:rPr>
          <w:rFonts w:hint="eastAsia" w:ascii="仿宋" w:hAnsi="仿宋" w:eastAsia="仿宋" w:cs="仿宋"/>
          <w:b/>
          <w:color w:val="auto"/>
          <w:sz w:val="24"/>
        </w:rPr>
        <w:t>四、配套设备、备品备件(含易损件或消耗品)要求及长期供应优惠条件；</w:t>
      </w:r>
    </w:p>
    <w:p w14:paraId="2DDC1904">
      <w:pPr>
        <w:spacing w:line="460" w:lineRule="exact"/>
        <w:rPr>
          <w:rFonts w:hint="eastAsia" w:ascii="仿宋" w:hAnsi="仿宋" w:eastAsia="仿宋" w:cs="仿宋"/>
          <w:b/>
          <w:color w:val="auto"/>
          <w:sz w:val="24"/>
        </w:rPr>
      </w:pPr>
    </w:p>
    <w:p w14:paraId="0C525091">
      <w:pPr>
        <w:spacing w:line="460" w:lineRule="exact"/>
        <w:rPr>
          <w:rFonts w:hint="eastAsia" w:ascii="仿宋" w:hAnsi="仿宋" w:eastAsia="仿宋" w:cs="仿宋"/>
          <w:b/>
          <w:color w:val="auto"/>
          <w:sz w:val="24"/>
        </w:rPr>
      </w:pPr>
    </w:p>
    <w:p w14:paraId="308BAC2F">
      <w:pPr>
        <w:spacing w:line="460" w:lineRule="exact"/>
        <w:ind w:firstLine="540" w:firstLineChars="224"/>
        <w:rPr>
          <w:rFonts w:hint="eastAsia" w:ascii="仿宋" w:hAnsi="仿宋" w:eastAsia="仿宋" w:cs="仿宋"/>
          <w:b/>
          <w:color w:val="auto"/>
          <w:sz w:val="24"/>
        </w:rPr>
      </w:pPr>
      <w:r>
        <w:rPr>
          <w:rFonts w:hint="eastAsia" w:ascii="仿宋" w:hAnsi="仿宋" w:eastAsia="仿宋" w:cs="仿宋"/>
          <w:b/>
          <w:color w:val="auto"/>
          <w:sz w:val="24"/>
        </w:rPr>
        <w:t>五、合同总价(大写)：</w:t>
      </w:r>
      <w:r>
        <w:rPr>
          <w:rFonts w:hint="eastAsia" w:ascii="仿宋" w:hAnsi="仿宋" w:eastAsia="仿宋" w:cs="仿宋"/>
          <w:b/>
          <w:color w:val="auto"/>
          <w:sz w:val="24"/>
          <w:u w:val="single"/>
        </w:rPr>
        <w:t xml:space="preserve">                        </w:t>
      </w:r>
      <w:r>
        <w:rPr>
          <w:rFonts w:hint="eastAsia" w:ascii="仿宋" w:hAnsi="仿宋" w:eastAsia="仿宋" w:cs="仿宋"/>
          <w:b/>
          <w:color w:val="auto"/>
          <w:sz w:val="24"/>
        </w:rPr>
        <w:t>(人民币)</w:t>
      </w:r>
    </w:p>
    <w:p w14:paraId="49DE9F4C">
      <w:pPr>
        <w:spacing w:line="460" w:lineRule="exact"/>
        <w:ind w:firstLine="1682" w:firstLineChars="698"/>
        <w:rPr>
          <w:rFonts w:hint="eastAsia" w:ascii="仿宋" w:hAnsi="仿宋" w:eastAsia="仿宋" w:cs="仿宋"/>
          <w:b/>
          <w:bCs/>
          <w:color w:val="auto"/>
          <w:sz w:val="24"/>
        </w:rPr>
      </w:pPr>
      <w:r>
        <w:rPr>
          <w:rFonts w:hint="eastAsia" w:ascii="仿宋" w:hAnsi="仿宋" w:eastAsia="仿宋" w:cs="仿宋"/>
          <w:b/>
          <w:bCs/>
          <w:color w:val="auto"/>
          <w:sz w:val="24"/>
        </w:rPr>
        <w:t>小写：￥</w:t>
      </w:r>
      <w:r>
        <w:rPr>
          <w:rFonts w:hint="eastAsia" w:ascii="仿宋" w:hAnsi="仿宋" w:eastAsia="仿宋" w:cs="仿宋"/>
          <w:b/>
          <w:color w:val="auto"/>
          <w:sz w:val="24"/>
          <w:u w:val="single"/>
        </w:rPr>
        <w:t xml:space="preserve">                           </w:t>
      </w:r>
    </w:p>
    <w:p w14:paraId="416F3F1B">
      <w:pPr>
        <w:spacing w:line="4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以上价格为甲方指定地点交货价并包含安装运输调试等费用。</w:t>
      </w:r>
    </w:p>
    <w:p w14:paraId="2E292DF5">
      <w:pPr>
        <w:spacing w:line="4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本合同的供货范围，除包括上述货物外，还包括随机的辅助电气设备、专用电线电缆、随机软件、技术文档、设备运行所必需的随机消耗品(如箱包等)，相应的技术服务与质量保证文件等。</w:t>
      </w:r>
    </w:p>
    <w:p w14:paraId="53386204">
      <w:pPr>
        <w:spacing w:line="460" w:lineRule="exact"/>
        <w:ind w:firstLine="540" w:firstLineChars="224"/>
        <w:rPr>
          <w:rFonts w:hint="eastAsia" w:ascii="仿宋" w:hAnsi="仿宋" w:eastAsia="仿宋" w:cs="仿宋"/>
          <w:b/>
          <w:color w:val="auto"/>
          <w:sz w:val="24"/>
        </w:rPr>
      </w:pPr>
      <w:r>
        <w:rPr>
          <w:rFonts w:hint="eastAsia" w:ascii="仿宋" w:hAnsi="仿宋" w:eastAsia="仿宋" w:cs="仿宋"/>
          <w:b/>
          <w:color w:val="auto"/>
          <w:sz w:val="24"/>
        </w:rPr>
        <w:t>六、甲乙双方的权利和义务</w:t>
      </w:r>
    </w:p>
    <w:p w14:paraId="43593B2B">
      <w:pPr>
        <w:spacing w:line="460" w:lineRule="exact"/>
        <w:ind w:firstLine="480"/>
        <w:rPr>
          <w:rFonts w:hint="eastAsia" w:ascii="仿宋" w:hAnsi="仿宋" w:eastAsia="仿宋" w:cs="仿宋"/>
          <w:color w:val="auto"/>
          <w:sz w:val="24"/>
        </w:rPr>
      </w:pPr>
      <w:r>
        <w:rPr>
          <w:rFonts w:hint="eastAsia" w:ascii="仿宋" w:hAnsi="仿宋" w:eastAsia="仿宋" w:cs="仿宋"/>
          <w:color w:val="auto"/>
          <w:sz w:val="24"/>
        </w:rPr>
        <w:t>(一)甲方的权利和义务</w:t>
      </w:r>
    </w:p>
    <w:p w14:paraId="14165C63">
      <w:pPr>
        <w:spacing w:line="460" w:lineRule="exact"/>
        <w:ind w:firstLine="480"/>
        <w:rPr>
          <w:rFonts w:hint="eastAsia" w:ascii="仿宋" w:hAnsi="仿宋" w:eastAsia="仿宋" w:cs="仿宋"/>
          <w:color w:val="auto"/>
          <w:sz w:val="24"/>
        </w:rPr>
      </w:pPr>
      <w:r>
        <w:rPr>
          <w:rFonts w:hint="eastAsia" w:ascii="仿宋" w:hAnsi="仿宋" w:eastAsia="仿宋" w:cs="仿宋"/>
          <w:color w:val="auto"/>
          <w:sz w:val="24"/>
        </w:rPr>
        <w:t>1.负责合同签订后项目的配合、协调工作(如与乙方的具体联系和衔接，设备现场安装调试或项目建设施工时配备人员进行监管控制)；</w:t>
      </w:r>
    </w:p>
    <w:p w14:paraId="644F1A82">
      <w:pPr>
        <w:spacing w:line="460" w:lineRule="exact"/>
        <w:ind w:firstLine="480"/>
        <w:rPr>
          <w:rFonts w:hint="eastAsia" w:ascii="仿宋" w:hAnsi="仿宋" w:eastAsia="仿宋" w:cs="仿宋"/>
          <w:color w:val="auto"/>
          <w:sz w:val="24"/>
        </w:rPr>
      </w:pPr>
      <w:r>
        <w:rPr>
          <w:rFonts w:hint="eastAsia" w:ascii="仿宋" w:hAnsi="仿宋" w:eastAsia="仿宋" w:cs="仿宋"/>
          <w:color w:val="auto"/>
          <w:sz w:val="24"/>
        </w:rPr>
        <w:t>2.负责提供设备和安装调试或项目建设施工所必须的场地和环境；</w:t>
      </w:r>
    </w:p>
    <w:p w14:paraId="6F2F9EAB">
      <w:pPr>
        <w:spacing w:line="460" w:lineRule="exact"/>
        <w:ind w:firstLine="480"/>
        <w:rPr>
          <w:rFonts w:hint="eastAsia" w:ascii="仿宋" w:hAnsi="仿宋" w:eastAsia="仿宋" w:cs="仿宋"/>
          <w:color w:val="auto"/>
          <w:sz w:val="24"/>
        </w:rPr>
      </w:pPr>
      <w:r>
        <w:rPr>
          <w:rFonts w:hint="eastAsia" w:ascii="仿宋" w:hAnsi="仿宋" w:eastAsia="仿宋" w:cs="仿宋"/>
          <w:color w:val="auto"/>
          <w:sz w:val="24"/>
        </w:rPr>
        <w:t>3.负责组织成立验收小组对设备或项目进行验收并签署验收报告；</w:t>
      </w:r>
    </w:p>
    <w:p w14:paraId="3AD18737">
      <w:pPr>
        <w:spacing w:line="460" w:lineRule="exact"/>
        <w:ind w:firstLine="480"/>
        <w:rPr>
          <w:rFonts w:hint="eastAsia" w:ascii="仿宋" w:hAnsi="仿宋" w:eastAsia="仿宋" w:cs="仿宋"/>
          <w:color w:val="auto"/>
          <w:sz w:val="24"/>
        </w:rPr>
      </w:pPr>
      <w:r>
        <w:rPr>
          <w:rFonts w:hint="eastAsia" w:ascii="仿宋" w:hAnsi="仿宋" w:eastAsia="仿宋" w:cs="仿宋"/>
          <w:color w:val="auto"/>
          <w:sz w:val="24"/>
        </w:rPr>
        <w:t>4.按合同规定享有乙方提供的设备和项目服务。</w:t>
      </w:r>
    </w:p>
    <w:p w14:paraId="6B48919F">
      <w:pPr>
        <w:spacing w:line="460" w:lineRule="exact"/>
        <w:ind w:firstLine="480"/>
        <w:rPr>
          <w:rFonts w:hint="eastAsia" w:ascii="仿宋" w:hAnsi="仿宋" w:eastAsia="仿宋" w:cs="仿宋"/>
          <w:color w:val="auto"/>
          <w:sz w:val="24"/>
        </w:rPr>
      </w:pPr>
      <w:r>
        <w:rPr>
          <w:rFonts w:hint="eastAsia" w:ascii="仿宋" w:hAnsi="仿宋" w:eastAsia="仿宋" w:cs="仿宋"/>
          <w:color w:val="auto"/>
          <w:sz w:val="24"/>
        </w:rPr>
        <w:t>(二)乙方的权利和义务</w:t>
      </w:r>
    </w:p>
    <w:p w14:paraId="521341B8">
      <w:pPr>
        <w:spacing w:line="460" w:lineRule="exact"/>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1.乙方保证按本合同一、二、三、四、五条款负责完成甲方项目，并保证提供的设备是全新(包括零部件)、符合招标文件规定、具有国家有关部门注册并符合国家质量检测标准(进口产品具有国家有关部门完整手续)和产品出厂标准的设备；设备及主要配件保修期为(   )年，终身负责维修；并保证设备在甲方报废前正常运行。 具体服务：保修期内，乙方对设备提供全免费上门保修或免费更换；在保修期，同一货物、同一质量问题连续三次维修仍无法正常使用，乙方必须予以更换同品牌、同型号或不低于投标配置的其它新机器。保修期后，收取成本费维修(自然灾害及人为故意损坏除外)；主设备乙方提供现场维修，维修人员在收到故障报告后保证(  )小时内到达现场，</w:t>
      </w:r>
      <w:r>
        <w:rPr>
          <w:rFonts w:hint="eastAsia" w:ascii="仿宋" w:hAnsi="仿宋" w:eastAsia="仿宋" w:cs="仿宋"/>
          <w:color w:val="auto"/>
          <w:sz w:val="24"/>
          <w:u w:val="single"/>
        </w:rPr>
        <w:t xml:space="preserve">      </w:t>
      </w:r>
      <w:r>
        <w:rPr>
          <w:rFonts w:hint="eastAsia" w:ascii="仿宋" w:hAnsi="仿宋" w:eastAsia="仿宋" w:cs="仿宋"/>
          <w:color w:val="auto"/>
          <w:sz w:val="24"/>
        </w:rPr>
        <w:t>类故障保证由</w:t>
      </w:r>
      <w:r>
        <w:rPr>
          <w:rFonts w:hint="eastAsia" w:ascii="仿宋" w:hAnsi="仿宋" w:eastAsia="仿宋" w:cs="仿宋"/>
          <w:color w:val="auto"/>
          <w:sz w:val="24"/>
          <w:u w:val="single"/>
        </w:rPr>
        <w:t xml:space="preserve">     </w:t>
      </w:r>
      <w:r>
        <w:rPr>
          <w:rFonts w:hint="eastAsia" w:ascii="仿宋" w:hAnsi="仿宋" w:eastAsia="仿宋" w:cs="仿宋"/>
          <w:color w:val="auto"/>
          <w:sz w:val="24"/>
        </w:rPr>
        <w:t>人员(或工程师)在(  )天内修复，</w:t>
      </w:r>
      <w:r>
        <w:rPr>
          <w:rFonts w:hint="eastAsia" w:ascii="仿宋" w:hAnsi="仿宋" w:eastAsia="仿宋" w:cs="仿宋"/>
          <w:color w:val="auto"/>
          <w:sz w:val="24"/>
          <w:u w:val="single"/>
        </w:rPr>
        <w:t xml:space="preserve">         </w:t>
      </w:r>
      <w:r>
        <w:rPr>
          <w:rFonts w:hint="eastAsia" w:ascii="仿宋" w:hAnsi="仿宋" w:eastAsia="仿宋" w:cs="仿宋"/>
          <w:color w:val="auto"/>
          <w:sz w:val="24"/>
        </w:rPr>
        <w:t>类故障保证由</w:t>
      </w:r>
      <w:r>
        <w:rPr>
          <w:rFonts w:hint="eastAsia" w:ascii="仿宋" w:hAnsi="仿宋" w:eastAsia="仿宋" w:cs="仿宋"/>
          <w:color w:val="auto"/>
          <w:sz w:val="24"/>
          <w:u w:val="single"/>
        </w:rPr>
        <w:t xml:space="preserve">          </w:t>
      </w:r>
      <w:r>
        <w:rPr>
          <w:rFonts w:hint="eastAsia" w:ascii="仿宋" w:hAnsi="仿宋" w:eastAsia="仿宋" w:cs="仿宋"/>
          <w:color w:val="auto"/>
          <w:sz w:val="24"/>
        </w:rPr>
        <w:t>人员(或工程师)在(   )天内修复；乙方保证在甲方指定地点供应备品备件(含易损件)和配套消耗品；乙方对所提供的设备实行(   )月时间定期进行保养(或维护、巡检)制度；</w:t>
      </w:r>
    </w:p>
    <w:p w14:paraId="302FB435">
      <w:pPr>
        <w:spacing w:line="460" w:lineRule="exact"/>
        <w:ind w:firstLine="480"/>
        <w:rPr>
          <w:rFonts w:hint="eastAsia" w:ascii="仿宋" w:hAnsi="仿宋" w:eastAsia="仿宋" w:cs="仿宋"/>
          <w:color w:val="auto"/>
          <w:sz w:val="24"/>
        </w:rPr>
      </w:pPr>
      <w:r>
        <w:rPr>
          <w:rFonts w:hint="eastAsia" w:ascii="仿宋" w:hAnsi="仿宋" w:eastAsia="仿宋" w:cs="仿宋"/>
          <w:color w:val="auto"/>
          <w:sz w:val="24"/>
        </w:rPr>
        <w:t>2.保证甲方在合同设备或项目(有配套软件的还包括软件产品)使用期间不受第三方提出侵犯其专利权、商标权和工业设计权的起诉。</w:t>
      </w:r>
    </w:p>
    <w:p w14:paraId="27C9C9C6">
      <w:pPr>
        <w:spacing w:line="460" w:lineRule="exact"/>
        <w:ind w:firstLine="480"/>
        <w:rPr>
          <w:rFonts w:hint="eastAsia" w:ascii="仿宋" w:hAnsi="仿宋" w:eastAsia="仿宋" w:cs="仿宋"/>
          <w:b/>
          <w:color w:val="auto"/>
          <w:sz w:val="24"/>
        </w:rPr>
      </w:pPr>
      <w:r>
        <w:rPr>
          <w:rFonts w:hint="eastAsia" w:ascii="仿宋" w:hAnsi="仿宋" w:eastAsia="仿宋" w:cs="仿宋"/>
          <w:b/>
          <w:color w:val="auto"/>
          <w:sz w:val="24"/>
        </w:rPr>
        <w:t>3.项目所有硬件设备质保、保修期为不低于</w:t>
      </w:r>
      <w:r>
        <w:rPr>
          <w:rFonts w:hint="eastAsia" w:ascii="仿宋" w:hAnsi="仿宋" w:eastAsia="仿宋" w:cs="仿宋"/>
          <w:b/>
          <w:color w:val="auto"/>
          <w:sz w:val="24"/>
          <w:u w:val="single"/>
        </w:rPr>
        <w:t xml:space="preserve">   </w:t>
      </w:r>
      <w:r>
        <w:rPr>
          <w:rFonts w:hint="eastAsia" w:ascii="仿宋" w:hAnsi="仿宋" w:eastAsia="仿宋" w:cs="仿宋"/>
          <w:b/>
          <w:color w:val="auto"/>
          <w:sz w:val="24"/>
        </w:rPr>
        <w:t>年，质保期后终身负责、有偿维修；并保证设备在甲方报废前正常运行，质保、保修期内，乙方对设备提供全免费保修或免费更换；保修期后，收取成本费维修（自然灾害及人为故意损坏除外）。</w:t>
      </w:r>
    </w:p>
    <w:p w14:paraId="06E33EBB">
      <w:pPr>
        <w:spacing w:line="460" w:lineRule="exact"/>
        <w:ind w:firstLine="480"/>
        <w:rPr>
          <w:rFonts w:hint="eastAsia" w:ascii="仿宋" w:hAnsi="仿宋" w:eastAsia="仿宋" w:cs="仿宋"/>
          <w:color w:val="auto"/>
          <w:sz w:val="24"/>
        </w:rPr>
      </w:pPr>
      <w:r>
        <w:rPr>
          <w:rFonts w:hint="eastAsia" w:ascii="仿宋" w:hAnsi="仿宋" w:eastAsia="仿宋" w:cs="仿宋"/>
          <w:color w:val="auto"/>
          <w:sz w:val="24"/>
        </w:rPr>
        <w:t>4.严格遵守投标、技术澄清、商务</w:t>
      </w:r>
      <w:r>
        <w:rPr>
          <w:rFonts w:hint="eastAsia" w:ascii="仿宋" w:hAnsi="仿宋" w:eastAsia="仿宋" w:cs="仿宋"/>
          <w:color w:val="auto"/>
          <w:sz w:val="24"/>
          <w:lang w:eastAsia="zh-CN"/>
        </w:rPr>
        <w:t>投标</w:t>
      </w:r>
      <w:r>
        <w:rPr>
          <w:rFonts w:hint="eastAsia" w:ascii="仿宋" w:hAnsi="仿宋" w:eastAsia="仿宋" w:cs="仿宋"/>
          <w:color w:val="auto"/>
          <w:sz w:val="24"/>
        </w:rPr>
        <w:t>、中标所承诺的一切规定和条款；</w:t>
      </w:r>
    </w:p>
    <w:p w14:paraId="1EF4BE7B">
      <w:pPr>
        <w:spacing w:line="460" w:lineRule="exact"/>
        <w:ind w:firstLine="480"/>
        <w:rPr>
          <w:rFonts w:hint="eastAsia" w:ascii="仿宋" w:hAnsi="仿宋" w:eastAsia="仿宋" w:cs="仿宋"/>
          <w:color w:val="auto"/>
          <w:sz w:val="24"/>
        </w:rPr>
      </w:pPr>
      <w:r>
        <w:rPr>
          <w:rFonts w:hint="eastAsia" w:ascii="仿宋" w:hAnsi="仿宋" w:eastAsia="仿宋" w:cs="仿宋"/>
          <w:color w:val="auto"/>
          <w:sz w:val="24"/>
        </w:rPr>
        <w:t xml:space="preserve">5.参与甲方共同进行设备和项目的验收。                                       </w:t>
      </w:r>
    </w:p>
    <w:p w14:paraId="0534B022">
      <w:pPr>
        <w:spacing w:line="460" w:lineRule="exact"/>
        <w:ind w:firstLine="359" w:firstLineChars="149"/>
        <w:rPr>
          <w:rFonts w:hint="eastAsia" w:ascii="仿宋" w:hAnsi="仿宋" w:eastAsia="仿宋" w:cs="仿宋"/>
          <w:b/>
          <w:color w:val="auto"/>
          <w:sz w:val="24"/>
        </w:rPr>
      </w:pPr>
      <w:r>
        <w:rPr>
          <w:rFonts w:hint="eastAsia" w:ascii="仿宋" w:hAnsi="仿宋" w:eastAsia="仿宋" w:cs="仿宋"/>
          <w:b/>
          <w:color w:val="auto"/>
          <w:sz w:val="24"/>
        </w:rPr>
        <w:t>七、以上内容与甲方采购确认和乙方中标承诺情况一致(或中标产品和设备或项目的技术及服务保证甲方正常使用)。</w:t>
      </w:r>
    </w:p>
    <w:p w14:paraId="29DB585C">
      <w:pPr>
        <w:spacing w:line="460" w:lineRule="exact"/>
        <w:ind w:firstLine="359" w:firstLineChars="149"/>
        <w:rPr>
          <w:rFonts w:hint="eastAsia" w:ascii="仿宋" w:hAnsi="仿宋" w:eastAsia="仿宋" w:cs="仿宋"/>
          <w:b/>
          <w:color w:val="auto"/>
          <w:sz w:val="24"/>
        </w:rPr>
      </w:pPr>
      <w:r>
        <w:rPr>
          <w:rFonts w:hint="eastAsia" w:ascii="仿宋" w:hAnsi="仿宋" w:eastAsia="仿宋" w:cs="仿宋"/>
          <w:b/>
          <w:color w:val="auto"/>
          <w:sz w:val="24"/>
        </w:rPr>
        <w:t>八、技术培训：</w:t>
      </w:r>
    </w:p>
    <w:p w14:paraId="67C746D6">
      <w:pPr>
        <w:spacing w:line="500" w:lineRule="exact"/>
        <w:ind w:right="-128" w:rightChars="-61" w:firstLine="480" w:firstLineChars="200"/>
        <w:rPr>
          <w:rFonts w:hint="eastAsia" w:ascii="仿宋" w:hAnsi="仿宋" w:eastAsia="仿宋" w:cs="仿宋"/>
          <w:color w:val="auto"/>
          <w:sz w:val="24"/>
        </w:rPr>
      </w:pPr>
      <w:r>
        <w:rPr>
          <w:rFonts w:hint="eastAsia" w:ascii="仿宋" w:hAnsi="仿宋" w:eastAsia="仿宋" w:cs="仿宋"/>
          <w:color w:val="auto"/>
          <w:sz w:val="24"/>
        </w:rPr>
        <w:t>乙方向甲方提供</w:t>
      </w:r>
      <w:r>
        <w:rPr>
          <w:rFonts w:hint="eastAsia" w:ascii="仿宋" w:hAnsi="仿宋" w:eastAsia="仿宋" w:cs="仿宋"/>
          <w:color w:val="auto"/>
          <w:sz w:val="24"/>
          <w:u w:val="single"/>
        </w:rPr>
        <w:t xml:space="preserve">     </w:t>
      </w:r>
      <w:r>
        <w:rPr>
          <w:rFonts w:hint="eastAsia" w:ascii="仿宋" w:hAnsi="仿宋" w:eastAsia="仿宋" w:cs="仿宋"/>
          <w:color w:val="auto"/>
          <w:sz w:val="24"/>
        </w:rPr>
        <w:t>天的设备使用人员现场例行免费培训，培训内容包括设备的调试、使用、一般的维修、维护及保养等；食宿自理(各自负责)；大型设备(或招标文件有要求、或投标文件有承诺的)，乙方还将负责甲方</w:t>
      </w:r>
      <w:r>
        <w:rPr>
          <w:rFonts w:hint="eastAsia" w:ascii="仿宋" w:hAnsi="仿宋" w:eastAsia="仿宋" w:cs="仿宋"/>
          <w:color w:val="auto"/>
          <w:sz w:val="24"/>
          <w:u w:val="single"/>
        </w:rPr>
        <w:t xml:space="preserve">     </w:t>
      </w:r>
      <w:r>
        <w:rPr>
          <w:rFonts w:hint="eastAsia" w:ascii="仿宋" w:hAnsi="仿宋" w:eastAsia="仿宋" w:cs="仿宋"/>
          <w:color w:val="auto"/>
          <w:sz w:val="24"/>
        </w:rPr>
        <w:t>人专业技术人员(或工程师)国内培训并应获得技术证书，费用由乙方负责，具体时间为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天、地点为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，其他由甲乙双方协定。</w:t>
      </w:r>
    </w:p>
    <w:p w14:paraId="714AA3E4">
      <w:pPr>
        <w:spacing w:line="500" w:lineRule="exact"/>
        <w:ind w:right="-128" w:rightChars="-61" w:firstLine="482" w:firstLineChars="200"/>
        <w:rPr>
          <w:rFonts w:hint="eastAsia" w:ascii="仿宋" w:hAnsi="仿宋" w:eastAsia="仿宋" w:cs="仿宋"/>
          <w:color w:val="auto"/>
          <w:sz w:val="24"/>
        </w:rPr>
      </w:pPr>
      <w:r>
        <w:rPr>
          <w:rFonts w:hint="eastAsia" w:ascii="仿宋" w:hAnsi="仿宋" w:eastAsia="仿宋" w:cs="仿宋"/>
          <w:b/>
          <w:color w:val="auto"/>
          <w:sz w:val="24"/>
        </w:rPr>
        <w:t>九、甲方在设备使用过程中发生技术质量问题，乙方应提供及时有效的技术支持。</w:t>
      </w:r>
    </w:p>
    <w:p w14:paraId="4CF7A0A9">
      <w:pPr>
        <w:spacing w:line="500" w:lineRule="exact"/>
        <w:ind w:firstLine="510"/>
        <w:rPr>
          <w:rFonts w:hint="eastAsia" w:ascii="仿宋" w:hAnsi="仿宋" w:eastAsia="仿宋" w:cs="仿宋"/>
          <w:b/>
          <w:color w:val="auto"/>
          <w:sz w:val="24"/>
        </w:rPr>
      </w:pPr>
      <w:r>
        <w:rPr>
          <w:rFonts w:hint="eastAsia" w:ascii="仿宋" w:hAnsi="仿宋" w:eastAsia="仿宋" w:cs="仿宋"/>
          <w:b/>
          <w:color w:val="auto"/>
          <w:sz w:val="24"/>
        </w:rPr>
        <w:t>1.</w:t>
      </w:r>
      <w:r>
        <w:rPr>
          <w:rFonts w:hint="eastAsia" w:ascii="仿宋" w:hAnsi="仿宋" w:eastAsia="仿宋" w:cs="仿宋"/>
          <w:b/>
          <w:color w:val="auto"/>
          <w:szCs w:val="21"/>
        </w:rPr>
        <w:t xml:space="preserve"> </w:t>
      </w:r>
      <w:r>
        <w:rPr>
          <w:rFonts w:hint="eastAsia" w:ascii="仿宋" w:hAnsi="仿宋" w:eastAsia="仿宋" w:cs="仿宋"/>
          <w:b/>
          <w:color w:val="auto"/>
          <w:sz w:val="24"/>
        </w:rPr>
        <w:t>投标设备维修人员在收到故障报告后保证</w:t>
      </w:r>
      <w:r>
        <w:rPr>
          <w:rFonts w:hint="eastAsia" w:ascii="仿宋" w:hAnsi="仿宋" w:eastAsia="仿宋" w:cs="仿宋"/>
          <w:b/>
          <w:color w:val="auto"/>
          <w:sz w:val="24"/>
          <w:u w:val="single"/>
        </w:rPr>
        <w:t xml:space="preserve">   </w:t>
      </w:r>
      <w:r>
        <w:rPr>
          <w:rFonts w:hint="eastAsia" w:ascii="仿宋" w:hAnsi="仿宋" w:eastAsia="仿宋" w:cs="仿宋"/>
          <w:b/>
          <w:color w:val="auto"/>
          <w:sz w:val="24"/>
        </w:rPr>
        <w:t>小时内到达现场，在</w:t>
      </w:r>
      <w:r>
        <w:rPr>
          <w:rFonts w:hint="eastAsia" w:ascii="仿宋" w:hAnsi="仿宋" w:eastAsia="仿宋" w:cs="仿宋"/>
          <w:b/>
          <w:color w:val="auto"/>
          <w:sz w:val="24"/>
          <w:u w:val="single"/>
        </w:rPr>
        <w:t xml:space="preserve">   </w:t>
      </w:r>
      <w:r>
        <w:rPr>
          <w:rFonts w:hint="eastAsia" w:ascii="仿宋" w:hAnsi="仿宋" w:eastAsia="仿宋" w:cs="仿宋"/>
          <w:b/>
          <w:color w:val="auto"/>
          <w:sz w:val="24"/>
        </w:rPr>
        <w:t>小时内修复，重特大故障保证由乙方人员、工程师在</w:t>
      </w:r>
      <w:r>
        <w:rPr>
          <w:rFonts w:hint="eastAsia" w:ascii="仿宋" w:hAnsi="仿宋" w:eastAsia="仿宋" w:cs="仿宋"/>
          <w:b/>
          <w:color w:val="auto"/>
          <w:sz w:val="24"/>
          <w:u w:val="single"/>
        </w:rPr>
        <w:t xml:space="preserve">   </w:t>
      </w:r>
      <w:r>
        <w:rPr>
          <w:rFonts w:hint="eastAsia" w:ascii="仿宋" w:hAnsi="仿宋" w:eastAsia="仿宋" w:cs="仿宋"/>
          <w:b/>
          <w:color w:val="auto"/>
          <w:sz w:val="24"/>
        </w:rPr>
        <w:t>个工作日内修复，中标方未按承诺响应采购方要求并未按时完成维护，每次扣</w:t>
      </w:r>
      <w:r>
        <w:rPr>
          <w:rFonts w:hint="eastAsia" w:ascii="仿宋" w:hAnsi="仿宋" w:eastAsia="仿宋" w:cs="仿宋"/>
          <w:b/>
          <w:color w:val="auto"/>
          <w:sz w:val="24"/>
          <w:u w:val="single"/>
        </w:rPr>
        <w:t xml:space="preserve">    </w:t>
      </w:r>
      <w:r>
        <w:rPr>
          <w:rFonts w:hint="eastAsia" w:ascii="仿宋" w:hAnsi="仿宋" w:eastAsia="仿宋" w:cs="仿宋"/>
          <w:b/>
          <w:color w:val="auto"/>
          <w:sz w:val="24"/>
        </w:rPr>
        <w:t>元；乙方对所提供的设备实行</w:t>
      </w:r>
      <w:r>
        <w:rPr>
          <w:rFonts w:hint="eastAsia" w:ascii="仿宋" w:hAnsi="仿宋" w:eastAsia="仿宋" w:cs="仿宋"/>
          <w:b/>
          <w:color w:val="auto"/>
          <w:sz w:val="24"/>
          <w:u w:val="single"/>
        </w:rPr>
        <w:t xml:space="preserve">     </w:t>
      </w:r>
      <w:r>
        <w:rPr>
          <w:rFonts w:hint="eastAsia" w:ascii="仿宋" w:hAnsi="仿宋" w:eastAsia="仿宋" w:cs="仿宋"/>
          <w:b/>
          <w:color w:val="auto"/>
          <w:sz w:val="24"/>
        </w:rPr>
        <w:t>定期进行维护、巡检制度。</w:t>
      </w:r>
    </w:p>
    <w:p w14:paraId="516EBCC6">
      <w:pPr>
        <w:spacing w:line="500" w:lineRule="exact"/>
        <w:ind w:firstLine="510"/>
        <w:rPr>
          <w:rFonts w:hint="eastAsia" w:ascii="仿宋" w:hAnsi="仿宋" w:eastAsia="仿宋" w:cs="仿宋"/>
          <w:b/>
          <w:color w:val="auto"/>
          <w:sz w:val="24"/>
        </w:rPr>
      </w:pPr>
      <w:r>
        <w:rPr>
          <w:rFonts w:hint="eastAsia" w:ascii="仿宋" w:hAnsi="仿宋" w:eastAsia="仿宋" w:cs="仿宋"/>
          <w:color w:val="auto"/>
          <w:sz w:val="24"/>
        </w:rPr>
        <w:t>2.乙方应向甲方提供在省内的维修服务中心、特约维修服务站等售后服务网点的名单、联系地址、联系电话。</w:t>
      </w:r>
    </w:p>
    <w:p w14:paraId="56DD8575">
      <w:pPr>
        <w:spacing w:line="500" w:lineRule="exact"/>
        <w:ind w:firstLine="480"/>
        <w:rPr>
          <w:rFonts w:hint="eastAsia" w:ascii="仿宋" w:hAnsi="仿宋" w:eastAsia="仿宋" w:cs="仿宋"/>
          <w:color w:val="auto"/>
          <w:sz w:val="24"/>
        </w:rPr>
      </w:pPr>
      <w:r>
        <w:rPr>
          <w:rFonts w:hint="eastAsia" w:ascii="仿宋" w:hAnsi="仿宋" w:eastAsia="仿宋" w:cs="仿宋"/>
          <w:color w:val="auto"/>
          <w:sz w:val="24"/>
        </w:rPr>
        <w:t>乙方技术支持电话：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65FD5D3">
      <w:pPr>
        <w:spacing w:line="500" w:lineRule="exact"/>
        <w:ind w:firstLine="540" w:firstLineChars="224"/>
        <w:rPr>
          <w:rFonts w:hint="eastAsia" w:ascii="仿宋" w:hAnsi="仿宋" w:eastAsia="仿宋" w:cs="仿宋"/>
          <w:b/>
          <w:color w:val="auto"/>
          <w:sz w:val="24"/>
        </w:rPr>
      </w:pPr>
      <w:r>
        <w:rPr>
          <w:rFonts w:hint="eastAsia" w:ascii="仿宋" w:hAnsi="仿宋" w:eastAsia="仿宋" w:cs="仿宋"/>
          <w:b/>
          <w:color w:val="auto"/>
          <w:sz w:val="24"/>
        </w:rPr>
        <w:t>十、整体项目完成时间或设备送达甲方指定地点并按规范安装调试完毕时间为合同签订生效后</w:t>
      </w:r>
      <w:r>
        <w:rPr>
          <w:rFonts w:hint="eastAsia" w:ascii="仿宋" w:hAnsi="仿宋" w:eastAsia="仿宋" w:cs="仿宋"/>
          <w:b/>
          <w:color w:val="auto"/>
          <w:sz w:val="24"/>
          <w:u w:val="single"/>
        </w:rPr>
        <w:t xml:space="preserve">          </w:t>
      </w:r>
      <w:r>
        <w:rPr>
          <w:rFonts w:hint="eastAsia" w:ascii="仿宋" w:hAnsi="仿宋" w:eastAsia="仿宋" w:cs="仿宋"/>
          <w:b/>
          <w:color w:val="auto"/>
          <w:sz w:val="24"/>
        </w:rPr>
        <w:t>日内。</w:t>
      </w:r>
    </w:p>
    <w:p w14:paraId="55486524">
      <w:pPr>
        <w:spacing w:line="500" w:lineRule="exact"/>
        <w:ind w:firstLine="477" w:firstLineChars="198"/>
        <w:rPr>
          <w:rFonts w:hint="eastAsia" w:ascii="仿宋" w:hAnsi="仿宋" w:eastAsia="仿宋" w:cs="仿宋"/>
          <w:b/>
          <w:color w:val="auto"/>
          <w:sz w:val="24"/>
        </w:rPr>
      </w:pPr>
      <w:r>
        <w:rPr>
          <w:rFonts w:hint="eastAsia" w:ascii="仿宋" w:hAnsi="仿宋" w:eastAsia="仿宋" w:cs="仿宋"/>
          <w:b/>
          <w:color w:val="auto"/>
          <w:sz w:val="24"/>
        </w:rPr>
        <w:t>十一、验收及验收标准</w:t>
      </w:r>
    </w:p>
    <w:p w14:paraId="0BD3A04E">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(一)设备验收：设备到达甲方指定地点后甲方统一初验是否符合合同要求(或按所提供样品进行验收)；</w:t>
      </w:r>
    </w:p>
    <w:p w14:paraId="6CFEE065">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设备交验地点和方式：合同签订后，乙方负责将完整配套的原封设备(含开机必要消耗品)送到甲方指定的地点(        )，由甲乙双方共同开箱初验，并由乙方按合同规范要求完成安装及加电测试等。交货时，乙方随货向甲方交付设备必需的合格证、保修卡，相关资料(如操作手册、使用指南、维修手册、安装调试说明书、服务手册等)及配备的用件、工具等；货物到达指定交货地点后，将由甲方和乙方进行集中验货，若开箱加电测试发现不合格的货物，乙方必须予以更换；在货物最终验收后的质量保证期，乙方应对由于设计、工艺或者材料的缺陷而发生的任何不足或故障负责，费用由乙方承担。</w:t>
      </w:r>
    </w:p>
    <w:p w14:paraId="21F84F25">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(二)项目验收：设备安装和调试或项目建设施工完成后，甲方检验、测试是否合格并满足合同技术要求。</w:t>
      </w:r>
    </w:p>
    <w:p w14:paraId="7F830540">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(三)验收标准：按国家、行业标准。</w:t>
      </w:r>
    </w:p>
    <w:p w14:paraId="758F6F92">
      <w:pPr>
        <w:spacing w:line="5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(四)如符合招标文件中技术规格的货物如因停产或其他原因造成市场上无法供货，必须采用技术参数及配置不低于《投标文件》中所述的货物供货并按上述要求进行验收。</w:t>
      </w:r>
    </w:p>
    <w:p w14:paraId="0BA98F80">
      <w:pPr>
        <w:tabs>
          <w:tab w:val="left" w:pos="6930"/>
        </w:tabs>
        <w:autoSpaceDE w:val="0"/>
        <w:autoSpaceDN w:val="0"/>
        <w:adjustRightInd w:val="0"/>
        <w:spacing w:line="500" w:lineRule="exact"/>
        <w:ind w:right="525" w:firstLine="359" w:firstLineChars="149"/>
        <w:jc w:val="left"/>
        <w:rPr>
          <w:rFonts w:hint="eastAsia" w:ascii="仿宋" w:hAnsi="仿宋" w:eastAsia="仿宋" w:cs="仿宋"/>
          <w:b/>
          <w:color w:val="auto"/>
          <w:sz w:val="24"/>
        </w:rPr>
      </w:pPr>
      <w:r>
        <w:rPr>
          <w:rFonts w:hint="eastAsia" w:ascii="仿宋" w:hAnsi="仿宋" w:eastAsia="仿宋" w:cs="仿宋"/>
          <w:b/>
          <w:color w:val="auto"/>
          <w:sz w:val="24"/>
        </w:rPr>
        <w:t>十二、合同价款结算</w:t>
      </w:r>
    </w:p>
    <w:p w14:paraId="6A88027D">
      <w:pPr>
        <w:tabs>
          <w:tab w:val="left" w:pos="6930"/>
        </w:tabs>
        <w:autoSpaceDE w:val="0"/>
        <w:autoSpaceDN w:val="0"/>
        <w:adjustRightInd w:val="0"/>
        <w:spacing w:line="500" w:lineRule="exact"/>
        <w:ind w:right="525" w:firstLine="361" w:firstLineChars="150"/>
        <w:jc w:val="left"/>
        <w:rPr>
          <w:rFonts w:hint="eastAsia" w:ascii="仿宋" w:hAnsi="仿宋" w:eastAsia="仿宋" w:cs="仿宋"/>
          <w:color w:val="auto"/>
          <w:kern w:val="0"/>
          <w:sz w:val="24"/>
          <w:szCs w:val="28"/>
        </w:rPr>
      </w:pPr>
      <w:r>
        <w:rPr>
          <w:rFonts w:hint="eastAsia" w:ascii="仿宋" w:hAnsi="仿宋" w:eastAsia="仿宋" w:cs="仿宋"/>
          <w:b/>
          <w:color w:val="auto"/>
          <w:kern w:val="0"/>
          <w:sz w:val="24"/>
          <w:szCs w:val="28"/>
        </w:rPr>
        <w:t>(一)</w:t>
      </w:r>
      <w:r>
        <w:rPr>
          <w:rFonts w:hint="eastAsia" w:ascii="仿宋" w:hAnsi="仿宋" w:eastAsia="仿宋" w:cs="仿宋"/>
          <w:b/>
          <w:color w:val="auto"/>
          <w:sz w:val="24"/>
        </w:rPr>
        <w:t>合同生效</w:t>
      </w:r>
    </w:p>
    <w:p w14:paraId="764EA22F">
      <w:pPr>
        <w:spacing w:line="500" w:lineRule="exact"/>
        <w:ind w:firstLine="510"/>
        <w:rPr>
          <w:rFonts w:hint="eastAsia" w:ascii="仿宋" w:hAnsi="仿宋" w:eastAsia="仿宋" w:cs="仿宋"/>
          <w:color w:val="auto"/>
          <w:sz w:val="24"/>
        </w:rPr>
      </w:pPr>
      <w:r>
        <w:rPr>
          <w:rFonts w:hint="eastAsia" w:ascii="仿宋" w:hAnsi="仿宋" w:eastAsia="仿宋" w:cs="仿宋"/>
          <w:color w:val="auto"/>
          <w:sz w:val="24"/>
        </w:rPr>
        <w:t>合同生效：中标人与</w:t>
      </w:r>
      <w:r>
        <w:rPr>
          <w:rFonts w:hint="eastAsia" w:ascii="仿宋" w:hAnsi="仿宋" w:eastAsia="仿宋" w:cs="仿宋"/>
          <w:color w:val="auto"/>
          <w:sz w:val="24"/>
          <w:lang w:eastAsia="zh-CN"/>
        </w:rPr>
        <w:t>采购人</w:t>
      </w:r>
      <w:r>
        <w:rPr>
          <w:rFonts w:hint="eastAsia" w:ascii="仿宋" w:hAnsi="仿宋" w:eastAsia="仿宋" w:cs="仿宋"/>
          <w:color w:val="auto"/>
          <w:sz w:val="24"/>
        </w:rPr>
        <w:t>签订合同后正式生效。</w:t>
      </w:r>
    </w:p>
    <w:p w14:paraId="0A140A43">
      <w:pPr>
        <w:ind w:firstLine="354" w:firstLineChars="147"/>
        <w:rPr>
          <w:rFonts w:hint="eastAsia" w:ascii="仿宋" w:hAnsi="仿宋" w:eastAsia="仿宋" w:cs="仿宋"/>
          <w:b/>
          <w:color w:val="auto"/>
          <w:sz w:val="24"/>
        </w:rPr>
      </w:pPr>
      <w:bookmarkStart w:id="37" w:name="_Toc396922191"/>
      <w:r>
        <w:rPr>
          <w:rFonts w:hint="eastAsia" w:ascii="仿宋" w:hAnsi="仿宋" w:eastAsia="仿宋" w:cs="仿宋"/>
          <w:b/>
          <w:color w:val="auto"/>
          <w:sz w:val="24"/>
        </w:rPr>
        <w:t>(二) 付款方式：</w:t>
      </w:r>
      <w:bookmarkEnd w:id="37"/>
    </w:p>
    <w:p w14:paraId="38EE0720">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 合同签订后支付</w:t>
      </w:r>
      <w:r>
        <w:rPr>
          <w:rFonts w:hint="eastAsia" w:ascii="仿宋" w:hAnsi="仿宋" w:eastAsia="仿宋" w:cs="仿宋"/>
          <w:color w:val="auto"/>
          <w:sz w:val="24"/>
          <w:u w:val="single"/>
        </w:rPr>
        <w:t xml:space="preserve">   </w:t>
      </w:r>
      <w:r>
        <w:rPr>
          <w:rFonts w:hint="eastAsia" w:ascii="仿宋" w:hAnsi="仿宋" w:eastAsia="仿宋" w:cs="仿宋"/>
          <w:color w:val="auto"/>
          <w:sz w:val="24"/>
        </w:rPr>
        <w:t>%的货款；培训使用人员合格后，设备正常运行使用满一年无质量问题后一次性无息付清</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%的货款。</w:t>
      </w:r>
    </w:p>
    <w:p w14:paraId="750EC6C1">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2.中标方未按承诺响应采购方要求并未按时完成维护，每次扣</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p>
    <w:p w14:paraId="6F471830">
      <w:pPr>
        <w:spacing w:line="500" w:lineRule="exact"/>
        <w:ind w:firstLine="359" w:firstLineChars="149"/>
        <w:rPr>
          <w:rFonts w:hint="eastAsia" w:ascii="仿宋" w:hAnsi="仿宋" w:eastAsia="仿宋" w:cs="仿宋"/>
          <w:b/>
          <w:color w:val="auto"/>
          <w:sz w:val="24"/>
        </w:rPr>
      </w:pPr>
      <w:r>
        <w:rPr>
          <w:rFonts w:hint="eastAsia" w:ascii="仿宋" w:hAnsi="仿宋" w:eastAsia="仿宋" w:cs="仿宋"/>
          <w:b/>
          <w:color w:val="auto"/>
          <w:sz w:val="24"/>
        </w:rPr>
        <w:t>十三、违约责任：</w:t>
      </w:r>
    </w:p>
    <w:p w14:paraId="7264EF5D">
      <w:pPr>
        <w:pStyle w:val="12"/>
        <w:spacing w:line="48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除发生不可抗力事实外，乙方所交设备(或项目)和安装调试(或建设施工)与合同标准不相符合</w:t>
      </w:r>
      <w:r>
        <w:rPr>
          <w:rFonts w:hint="eastAsia" w:ascii="仿宋" w:hAnsi="仿宋" w:eastAsia="仿宋" w:cs="仿宋"/>
          <w:color w:val="auto"/>
          <w:sz w:val="24"/>
          <w:szCs w:val="24"/>
        </w:rPr>
        <w:t>且不能在实质上响应招标要求的</w:t>
      </w:r>
      <w:r>
        <w:rPr>
          <w:rFonts w:hint="eastAsia" w:ascii="仿宋" w:hAnsi="仿宋" w:eastAsia="仿宋" w:cs="仿宋"/>
          <w:color w:val="auto"/>
          <w:sz w:val="24"/>
        </w:rPr>
        <w:t>，甲方有权拒收设备(或验收项目)</w:t>
      </w:r>
      <w:r>
        <w:rPr>
          <w:rFonts w:hint="eastAsia" w:ascii="仿宋" w:hAnsi="仿宋" w:eastAsia="仿宋" w:cs="仿宋"/>
          <w:color w:val="auto"/>
          <w:sz w:val="24"/>
          <w:szCs w:val="24"/>
        </w:rPr>
        <w:t>，并视为以虚假信息谋取中标，甲方将依法取消乙方的中标资格。</w:t>
      </w:r>
    </w:p>
    <w:p w14:paraId="3AF9FE36">
      <w:pPr>
        <w:pStyle w:val="12"/>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逾期交货(或完工)的由乙方向甲方每日偿付合同总额万分之五的滞纳金。</w:t>
      </w:r>
    </w:p>
    <w:p w14:paraId="0CB6A592">
      <w:pPr>
        <w:pStyle w:val="12"/>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因乙方不能按期交付设备(或项目)和完成安装调试(或建设施工)及所交设备(或项目)和安装调试(或建设施工)与合同标准不符使甲方造成经济损失的应依法赔偿。</w:t>
      </w:r>
    </w:p>
    <w:p w14:paraId="3A59B018">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甲方无正当理由拒收设备(或项目)，甲方向乙方偿付合同款总价百分之五的违约金；逾期支付合同款将向乙方每日偿付欠款总额万分之五的滞纳金。</w:t>
      </w:r>
    </w:p>
    <w:p w14:paraId="7CD2A747">
      <w:pPr>
        <w:spacing w:line="6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甲方有权拒付合同价以外的任何费用；乙方有权拒绝合同整体范围以外的条件。</w:t>
      </w:r>
    </w:p>
    <w:p w14:paraId="3923FDB1">
      <w:pPr>
        <w:spacing w:line="600" w:lineRule="exact"/>
        <w:ind w:left="1" w:firstLine="359" w:firstLineChars="149"/>
        <w:rPr>
          <w:rFonts w:hint="eastAsia" w:ascii="仿宋" w:hAnsi="仿宋" w:eastAsia="仿宋" w:cs="仿宋"/>
          <w:color w:val="auto"/>
          <w:sz w:val="24"/>
        </w:rPr>
      </w:pPr>
      <w:r>
        <w:rPr>
          <w:rFonts w:hint="eastAsia" w:ascii="仿宋" w:hAnsi="仿宋" w:eastAsia="仿宋" w:cs="仿宋"/>
          <w:b/>
          <w:color w:val="auto"/>
          <w:sz w:val="24"/>
        </w:rPr>
        <w:t>十四、</w:t>
      </w:r>
      <w:r>
        <w:rPr>
          <w:rFonts w:hint="eastAsia" w:ascii="仿宋" w:hAnsi="仿宋" w:eastAsia="仿宋" w:cs="仿宋"/>
          <w:color w:val="auto"/>
          <w:sz w:val="24"/>
        </w:rPr>
        <w:t>甲乙双方在履行合同过程中发生纠纷，应及时向有关监督管理部门反映，以便相关部门进行协调或处理；也可以直接向合同签订地仲裁部门申请仲裁；本合同发生争议产生的诉讼，由合同签订地人民法院管辖。</w:t>
      </w:r>
    </w:p>
    <w:p w14:paraId="17B832B1">
      <w:pPr>
        <w:spacing w:line="600" w:lineRule="exact"/>
        <w:ind w:left="1" w:firstLine="359" w:firstLineChars="149"/>
        <w:rPr>
          <w:rFonts w:hint="eastAsia" w:ascii="仿宋" w:hAnsi="仿宋" w:eastAsia="仿宋" w:cs="仿宋"/>
          <w:color w:val="auto"/>
          <w:sz w:val="24"/>
        </w:rPr>
      </w:pPr>
      <w:r>
        <w:rPr>
          <w:rFonts w:hint="eastAsia" w:ascii="仿宋" w:hAnsi="仿宋" w:eastAsia="仿宋" w:cs="仿宋"/>
          <w:b/>
          <w:color w:val="auto"/>
          <w:sz w:val="24"/>
        </w:rPr>
        <w:t>十五、</w:t>
      </w:r>
      <w:r>
        <w:rPr>
          <w:rFonts w:hint="eastAsia" w:ascii="仿宋" w:hAnsi="仿宋" w:eastAsia="仿宋" w:cs="仿宋"/>
          <w:color w:val="auto"/>
          <w:sz w:val="24"/>
        </w:rPr>
        <w:t>本合同其他未尽事宜，按国家《中华人民共和国民法典》有关规定处理。</w:t>
      </w:r>
    </w:p>
    <w:p w14:paraId="1A40CBB9">
      <w:pPr>
        <w:spacing w:line="600" w:lineRule="exact"/>
        <w:ind w:left="1" w:firstLine="359" w:firstLineChars="149"/>
        <w:rPr>
          <w:rFonts w:hint="eastAsia" w:ascii="仿宋" w:hAnsi="仿宋" w:eastAsia="仿宋" w:cs="仿宋"/>
          <w:color w:val="auto"/>
          <w:sz w:val="24"/>
        </w:rPr>
      </w:pPr>
      <w:r>
        <w:rPr>
          <w:rFonts w:hint="eastAsia" w:ascii="仿宋" w:hAnsi="仿宋" w:eastAsia="仿宋" w:cs="仿宋"/>
          <w:b/>
          <w:color w:val="auto"/>
          <w:sz w:val="24"/>
        </w:rPr>
        <w:t>十六、</w:t>
      </w:r>
      <w:r>
        <w:rPr>
          <w:rFonts w:hint="eastAsia" w:ascii="仿宋" w:hAnsi="仿宋" w:eastAsia="仿宋" w:cs="仿宋"/>
          <w:color w:val="auto"/>
          <w:sz w:val="24"/>
        </w:rPr>
        <w:t>本合同一式六份，甲方四份，乙方二份。</w:t>
      </w:r>
    </w:p>
    <w:p w14:paraId="6023EBA9">
      <w:pPr>
        <w:spacing w:line="600" w:lineRule="exact"/>
        <w:ind w:left="1" w:firstLine="359" w:firstLineChars="149"/>
        <w:rPr>
          <w:rFonts w:hint="eastAsia" w:ascii="仿宋" w:hAnsi="仿宋" w:eastAsia="仿宋" w:cs="仿宋"/>
          <w:color w:val="auto"/>
          <w:sz w:val="24"/>
        </w:rPr>
      </w:pPr>
      <w:r>
        <w:rPr>
          <w:rFonts w:hint="eastAsia" w:ascii="仿宋" w:hAnsi="仿宋" w:eastAsia="仿宋" w:cs="仿宋"/>
          <w:b/>
          <w:color w:val="auto"/>
          <w:sz w:val="24"/>
        </w:rPr>
        <w:t>十七、</w:t>
      </w:r>
      <w:r>
        <w:rPr>
          <w:rFonts w:hint="eastAsia" w:ascii="仿宋" w:hAnsi="仿宋" w:eastAsia="仿宋" w:cs="仿宋"/>
          <w:color w:val="auto"/>
          <w:sz w:val="24"/>
        </w:rPr>
        <w:t>本合同自签订之日起生效。</w:t>
      </w:r>
    </w:p>
    <w:p w14:paraId="0F5D3572">
      <w:pPr>
        <w:spacing w:line="600" w:lineRule="exact"/>
        <w:ind w:left="1" w:firstLine="359" w:firstLineChars="149"/>
        <w:rPr>
          <w:rFonts w:hint="eastAsia" w:ascii="仿宋" w:hAnsi="仿宋" w:eastAsia="仿宋" w:cs="仿宋"/>
          <w:color w:val="auto"/>
          <w:sz w:val="24"/>
        </w:rPr>
      </w:pPr>
      <w:r>
        <w:rPr>
          <w:rFonts w:hint="eastAsia" w:ascii="仿宋" w:hAnsi="仿宋" w:eastAsia="仿宋" w:cs="仿宋"/>
          <w:b/>
          <w:color w:val="auto"/>
          <w:sz w:val="24"/>
        </w:rPr>
        <w:t>十八、</w:t>
      </w:r>
      <w:r>
        <w:rPr>
          <w:rFonts w:hint="eastAsia" w:ascii="仿宋" w:hAnsi="仿宋" w:eastAsia="仿宋" w:cs="仿宋"/>
          <w:color w:val="auto"/>
          <w:sz w:val="24"/>
        </w:rPr>
        <w:t>本合同不可分割之部分：</w:t>
      </w:r>
    </w:p>
    <w:p w14:paraId="278584A8">
      <w:pPr>
        <w:spacing w:line="520" w:lineRule="atLeast"/>
        <w:ind w:firstLine="480"/>
        <w:rPr>
          <w:rFonts w:hint="eastAsia" w:ascii="仿宋" w:hAnsi="仿宋" w:eastAsia="仿宋" w:cs="仿宋"/>
          <w:color w:val="auto"/>
          <w:spacing w:val="-4"/>
          <w:sz w:val="24"/>
        </w:rPr>
      </w:pPr>
      <w:r>
        <w:rPr>
          <w:rFonts w:hint="eastAsia" w:ascii="仿宋" w:hAnsi="仿宋" w:eastAsia="仿宋" w:cs="仿宋"/>
          <w:color w:val="auto"/>
          <w:spacing w:val="-4"/>
          <w:sz w:val="24"/>
        </w:rPr>
        <w:t>(一)招标文件；</w:t>
      </w:r>
    </w:p>
    <w:p w14:paraId="59D7F86C">
      <w:pPr>
        <w:spacing w:line="520" w:lineRule="atLeast"/>
        <w:ind w:firstLine="480"/>
        <w:rPr>
          <w:rFonts w:hint="eastAsia" w:ascii="仿宋" w:hAnsi="仿宋" w:eastAsia="仿宋" w:cs="仿宋"/>
          <w:color w:val="auto"/>
          <w:spacing w:val="-4"/>
          <w:sz w:val="24"/>
        </w:rPr>
      </w:pPr>
      <w:r>
        <w:rPr>
          <w:rFonts w:hint="eastAsia" w:ascii="仿宋" w:hAnsi="仿宋" w:eastAsia="仿宋" w:cs="仿宋"/>
          <w:color w:val="auto"/>
          <w:spacing w:val="-4"/>
          <w:sz w:val="24"/>
        </w:rPr>
        <w:t>(二)中标人投标文件及澄清；</w:t>
      </w:r>
    </w:p>
    <w:p w14:paraId="63DB22C3">
      <w:pPr>
        <w:spacing w:line="520" w:lineRule="atLeast"/>
        <w:ind w:firstLine="480"/>
        <w:rPr>
          <w:rFonts w:hint="eastAsia" w:ascii="仿宋" w:hAnsi="仿宋" w:eastAsia="仿宋" w:cs="仿宋"/>
          <w:color w:val="auto"/>
          <w:spacing w:val="-4"/>
          <w:sz w:val="24"/>
        </w:rPr>
      </w:pPr>
      <w:r>
        <w:rPr>
          <w:rFonts w:hint="eastAsia" w:ascii="仿宋" w:hAnsi="仿宋" w:eastAsia="仿宋" w:cs="仿宋"/>
          <w:color w:val="auto"/>
          <w:spacing w:val="-4"/>
          <w:sz w:val="24"/>
        </w:rPr>
        <w:t>(三)中标通知书；</w:t>
      </w:r>
    </w:p>
    <w:p w14:paraId="1E4B72E4">
      <w:pPr>
        <w:spacing w:line="520" w:lineRule="atLeast"/>
        <w:ind w:firstLine="480"/>
        <w:rPr>
          <w:rFonts w:hint="eastAsia" w:ascii="仿宋" w:hAnsi="仿宋" w:eastAsia="仿宋" w:cs="仿宋"/>
          <w:color w:val="auto"/>
          <w:spacing w:val="-4"/>
          <w:sz w:val="24"/>
        </w:rPr>
      </w:pPr>
      <w:r>
        <w:rPr>
          <w:rFonts w:hint="eastAsia" w:ascii="仿宋" w:hAnsi="仿宋" w:eastAsia="仿宋" w:cs="仿宋"/>
          <w:color w:val="auto"/>
          <w:spacing w:val="-4"/>
          <w:sz w:val="24"/>
        </w:rPr>
        <w:t>(四)合同书附</w:t>
      </w:r>
      <w:r>
        <w:rPr>
          <w:rFonts w:hint="eastAsia" w:ascii="仿宋" w:hAnsi="仿宋" w:eastAsia="仿宋" w:cs="仿宋"/>
          <w:color w:val="auto"/>
          <w:sz w:val="24"/>
        </w:rPr>
        <w:t>件。</w:t>
      </w:r>
    </w:p>
    <w:p w14:paraId="40A36D16">
      <w:pPr>
        <w:keepNext w:val="0"/>
        <w:keepLines w:val="0"/>
        <w:widowControl/>
        <w:suppressLineNumbers w:val="0"/>
        <w:spacing w:line="360" w:lineRule="auto"/>
        <w:jc w:val="center"/>
        <w:rPr>
          <w:rFonts w:hint="eastAsia" w:ascii="仿宋" w:hAnsi="仿宋" w:eastAsia="仿宋" w:cs="仿宋"/>
          <w:b/>
          <w:color w:val="auto"/>
          <w:kern w:val="0"/>
          <w:sz w:val="32"/>
          <w:szCs w:val="32"/>
          <w:lang w:val="en-US" w:eastAsia="zh-CN" w:bidi="ar"/>
        </w:rPr>
      </w:pPr>
      <w:r>
        <w:rPr>
          <w:rFonts w:hint="eastAsia" w:ascii="仿宋" w:hAnsi="仿宋" w:eastAsia="仿宋" w:cs="仿宋"/>
          <w:b/>
          <w:bCs/>
          <w:color w:val="auto"/>
          <w:sz w:val="24"/>
          <w:szCs w:val="32"/>
          <w:lang w:eastAsia="zh-CN"/>
        </w:rPr>
        <w:t>注：以上合同格式仅供招标阶段参考，具体条款待双方签订合同时商榷决定。</w:t>
      </w:r>
    </w:p>
    <w:p w14:paraId="3D67A90D">
      <w:pPr>
        <w:keepNext w:val="0"/>
        <w:keepLines w:val="0"/>
        <w:pageBreakBefore w:val="0"/>
        <w:widowControl w:val="0"/>
        <w:kinsoku/>
        <w:wordWrap/>
        <w:overflowPunct/>
        <w:topLinePunct w:val="0"/>
        <w:autoSpaceDE/>
        <w:autoSpaceDN/>
        <w:bidi w:val="0"/>
        <w:adjustRightInd/>
        <w:snapToGrid/>
        <w:spacing w:line="440" w:lineRule="exact"/>
        <w:ind w:firstLine="904" w:firstLineChars="250"/>
        <w:jc w:val="center"/>
        <w:textAlignment w:val="auto"/>
        <w:outlineLvl w:val="0"/>
        <w:rPr>
          <w:rFonts w:hint="eastAsia" w:ascii="仿宋" w:hAnsi="仿宋" w:eastAsia="仿宋" w:cs="仿宋"/>
          <w:b/>
          <w:color w:val="auto"/>
          <w:sz w:val="36"/>
        </w:rPr>
      </w:pPr>
      <w:r>
        <w:rPr>
          <w:rFonts w:hint="eastAsia" w:ascii="仿宋" w:hAnsi="仿宋" w:eastAsia="仿宋" w:cs="仿宋"/>
          <w:b/>
          <w:color w:val="auto"/>
          <w:sz w:val="36"/>
        </w:rPr>
        <w:br w:type="page"/>
      </w:r>
      <w:bookmarkStart w:id="38" w:name="_Toc25823"/>
      <w:bookmarkStart w:id="39" w:name="_Toc12096"/>
      <w:r>
        <w:rPr>
          <w:rFonts w:hint="eastAsia" w:ascii="仿宋" w:hAnsi="仿宋" w:eastAsia="仿宋" w:cs="仿宋"/>
          <w:b/>
          <w:color w:val="auto"/>
          <w:sz w:val="36"/>
        </w:rPr>
        <w:t>第四章  投标文件格式</w:t>
      </w:r>
      <w:bookmarkEnd w:id="35"/>
      <w:bookmarkEnd w:id="36"/>
      <w:bookmarkEnd w:id="38"/>
      <w:bookmarkEnd w:id="39"/>
    </w:p>
    <w:p w14:paraId="480C61BC">
      <w:pPr>
        <w:rPr>
          <w:rFonts w:hint="eastAsia" w:ascii="仿宋" w:hAnsi="仿宋" w:eastAsia="仿宋" w:cs="仿宋"/>
          <w:color w:val="auto"/>
          <w:lang w:val="en-US" w:eastAsia="zh-CN"/>
        </w:rPr>
      </w:pPr>
    </w:p>
    <w:p w14:paraId="60EA9077">
      <w:pPr>
        <w:pStyle w:val="2"/>
        <w:rPr>
          <w:rFonts w:hint="eastAsia"/>
          <w:lang w:val="en-US" w:eastAsia="zh-CN"/>
        </w:rPr>
      </w:pPr>
    </w:p>
    <w:p w14:paraId="241CA140">
      <w:pPr>
        <w:pStyle w:val="12"/>
        <w:spacing w:line="360" w:lineRule="auto"/>
        <w:jc w:val="center"/>
        <w:rPr>
          <w:rFonts w:hint="default" w:ascii="仿宋" w:hAnsi="仿宋" w:eastAsia="仿宋" w:cs="仿宋"/>
          <w:b/>
          <w:color w:val="auto"/>
          <w:sz w:val="48"/>
          <w:szCs w:val="48"/>
          <w:u w:val="single"/>
          <w:lang w:val="en-US"/>
        </w:rPr>
      </w:pPr>
      <w:r>
        <w:rPr>
          <w:rFonts w:hint="eastAsia" w:ascii="仿宋" w:hAnsi="仿宋" w:eastAsia="仿宋" w:cs="仿宋"/>
          <w:b/>
          <w:bCs/>
          <w:color w:val="auto"/>
          <w:sz w:val="48"/>
          <w:u w:val="single"/>
          <w:lang w:val="en-US" w:eastAsia="zh-CN"/>
        </w:rPr>
        <w:t xml:space="preserve">       </w:t>
      </w:r>
      <w:r>
        <w:rPr>
          <w:rFonts w:hint="eastAsia" w:ascii="仿宋" w:hAnsi="仿宋" w:eastAsia="仿宋" w:cs="仿宋"/>
          <w:b/>
          <w:bCs/>
          <w:color w:val="auto"/>
          <w:sz w:val="48"/>
          <w:u w:val="single"/>
          <w:lang w:eastAsia="zh-CN"/>
        </w:rPr>
        <w:t>（</w:t>
      </w:r>
      <w:r>
        <w:rPr>
          <w:rFonts w:hint="eastAsia" w:ascii="仿宋" w:hAnsi="仿宋" w:eastAsia="仿宋" w:cs="仿宋"/>
          <w:b/>
          <w:bCs/>
          <w:color w:val="auto"/>
          <w:sz w:val="48"/>
          <w:u w:val="single"/>
          <w:lang w:val="en-US" w:eastAsia="zh-CN"/>
        </w:rPr>
        <w:t>项目</w:t>
      </w:r>
      <w:r>
        <w:rPr>
          <w:rFonts w:hint="eastAsia" w:ascii="仿宋" w:hAnsi="仿宋" w:eastAsia="仿宋" w:cs="仿宋"/>
          <w:b/>
          <w:bCs/>
          <w:color w:val="auto"/>
          <w:sz w:val="48"/>
          <w:u w:val="single"/>
          <w:lang w:eastAsia="zh-CN"/>
        </w:rPr>
        <w:t>名称）</w:t>
      </w:r>
      <w:r>
        <w:rPr>
          <w:rFonts w:hint="eastAsia" w:ascii="仿宋" w:hAnsi="仿宋" w:eastAsia="仿宋" w:cs="仿宋"/>
          <w:b/>
          <w:bCs/>
          <w:color w:val="auto"/>
          <w:sz w:val="48"/>
          <w:u w:val="single"/>
          <w:lang w:val="en-US" w:eastAsia="zh-CN"/>
        </w:rPr>
        <w:t xml:space="preserve">    </w:t>
      </w:r>
    </w:p>
    <w:p w14:paraId="231843B5">
      <w:pPr>
        <w:pStyle w:val="12"/>
        <w:spacing w:line="360" w:lineRule="auto"/>
        <w:jc w:val="center"/>
        <w:rPr>
          <w:rFonts w:hint="eastAsia" w:ascii="仿宋" w:hAnsi="仿宋" w:eastAsia="仿宋" w:cs="仿宋"/>
          <w:b/>
          <w:color w:val="auto"/>
          <w:sz w:val="32"/>
          <w:szCs w:val="32"/>
        </w:rPr>
      </w:pPr>
    </w:p>
    <w:p w14:paraId="3A6607E5">
      <w:pPr>
        <w:pStyle w:val="12"/>
        <w:spacing w:line="360" w:lineRule="auto"/>
        <w:jc w:val="center"/>
        <w:rPr>
          <w:rFonts w:hint="eastAsia" w:ascii="仿宋" w:hAnsi="仿宋" w:eastAsia="仿宋" w:cs="仿宋"/>
          <w:b/>
          <w:color w:val="auto"/>
          <w:sz w:val="32"/>
          <w:szCs w:val="32"/>
        </w:rPr>
      </w:pPr>
    </w:p>
    <w:p w14:paraId="61133E49">
      <w:pPr>
        <w:pStyle w:val="12"/>
        <w:spacing w:line="360" w:lineRule="auto"/>
        <w:jc w:val="center"/>
        <w:rPr>
          <w:rFonts w:hint="eastAsia" w:ascii="仿宋" w:hAnsi="仿宋" w:eastAsia="仿宋" w:cs="仿宋"/>
          <w:b/>
          <w:color w:val="auto"/>
          <w:sz w:val="96"/>
          <w:szCs w:val="96"/>
        </w:rPr>
      </w:pPr>
      <w:r>
        <w:rPr>
          <w:rFonts w:hint="eastAsia" w:ascii="仿宋" w:hAnsi="仿宋" w:eastAsia="仿宋" w:cs="仿宋"/>
          <w:b/>
          <w:color w:val="auto"/>
          <w:sz w:val="96"/>
          <w:szCs w:val="96"/>
        </w:rPr>
        <w:t>投标文件</w:t>
      </w:r>
    </w:p>
    <w:p w14:paraId="25B7FFFC">
      <w:pPr>
        <w:pStyle w:val="12"/>
        <w:spacing w:line="360" w:lineRule="auto"/>
        <w:ind w:firstLine="2249" w:firstLineChars="800"/>
        <w:rPr>
          <w:rFonts w:hint="default" w:ascii="仿宋" w:hAnsi="仿宋" w:eastAsia="仿宋" w:cs="仿宋"/>
          <w:b/>
          <w:color w:val="auto"/>
          <w:sz w:val="28"/>
          <w:szCs w:val="28"/>
          <w:u w:val="single"/>
          <w:lang w:val="en-US" w:eastAsia="zh-CN"/>
        </w:rPr>
      </w:pPr>
      <w:r>
        <w:rPr>
          <w:rFonts w:hint="eastAsia" w:ascii="仿宋" w:hAnsi="仿宋" w:eastAsia="仿宋" w:cs="仿宋"/>
          <w:b/>
          <w:color w:val="auto"/>
          <w:sz w:val="28"/>
          <w:szCs w:val="28"/>
          <w:lang w:val="en-US" w:eastAsia="zh-CN"/>
        </w:rPr>
        <w:t>项目编号：</w:t>
      </w:r>
      <w:r>
        <w:rPr>
          <w:rFonts w:hint="eastAsia" w:ascii="仿宋" w:hAnsi="仿宋" w:eastAsia="仿宋" w:cs="仿宋"/>
          <w:b/>
          <w:color w:val="auto"/>
          <w:sz w:val="28"/>
          <w:szCs w:val="28"/>
          <w:u w:val="single"/>
          <w:lang w:val="en-US" w:eastAsia="zh-CN"/>
        </w:rPr>
        <w:t xml:space="preserve">                    </w:t>
      </w:r>
    </w:p>
    <w:p w14:paraId="2AF9B201">
      <w:pPr>
        <w:pStyle w:val="12"/>
        <w:spacing w:line="360" w:lineRule="auto"/>
        <w:ind w:firstLine="2249" w:firstLineChars="800"/>
        <w:rPr>
          <w:rFonts w:hint="eastAsia" w:ascii="仿宋" w:hAnsi="仿宋" w:eastAsia="仿宋" w:cs="仿宋"/>
          <w:b/>
          <w:color w:val="auto"/>
          <w:sz w:val="28"/>
          <w:szCs w:val="28"/>
          <w:u w:val="single"/>
          <w:lang w:val="en-US" w:eastAsia="zh-CN"/>
        </w:rPr>
      </w:pPr>
      <w:r>
        <w:rPr>
          <w:rFonts w:hint="eastAsia" w:ascii="仿宋" w:hAnsi="仿宋" w:eastAsia="仿宋" w:cs="仿宋"/>
          <w:b/>
          <w:color w:val="auto"/>
          <w:sz w:val="28"/>
          <w:szCs w:val="28"/>
          <w:lang w:val="en-US" w:eastAsia="zh-CN"/>
        </w:rPr>
        <w:t>政采云编号：</w:t>
      </w:r>
      <w:r>
        <w:rPr>
          <w:rFonts w:hint="eastAsia" w:ascii="仿宋" w:hAnsi="仿宋" w:eastAsia="仿宋" w:cs="仿宋"/>
          <w:b/>
          <w:color w:val="auto"/>
          <w:sz w:val="28"/>
          <w:szCs w:val="28"/>
          <w:u w:val="single"/>
          <w:lang w:val="en-US" w:eastAsia="zh-CN"/>
        </w:rPr>
        <w:t xml:space="preserve">                  </w:t>
      </w:r>
    </w:p>
    <w:p w14:paraId="1D55EA2D">
      <w:pPr>
        <w:pStyle w:val="12"/>
        <w:spacing w:line="360" w:lineRule="auto"/>
        <w:rPr>
          <w:rFonts w:hint="eastAsia" w:ascii="仿宋" w:hAnsi="仿宋" w:eastAsia="仿宋" w:cs="仿宋"/>
          <w:b/>
          <w:color w:val="auto"/>
          <w:sz w:val="72"/>
          <w:szCs w:val="72"/>
        </w:rPr>
      </w:pPr>
    </w:p>
    <w:p w14:paraId="3D9136EC">
      <w:pPr>
        <w:rPr>
          <w:rFonts w:hint="eastAsia" w:ascii="仿宋" w:hAnsi="仿宋" w:eastAsia="仿宋" w:cs="仿宋"/>
          <w:b/>
          <w:color w:val="auto"/>
          <w:sz w:val="72"/>
          <w:szCs w:val="72"/>
        </w:rPr>
      </w:pPr>
    </w:p>
    <w:p w14:paraId="741C6AE0">
      <w:pPr>
        <w:pStyle w:val="34"/>
        <w:rPr>
          <w:rFonts w:hint="eastAsia" w:ascii="仿宋" w:hAnsi="仿宋" w:eastAsia="仿宋" w:cs="仿宋"/>
          <w:b/>
          <w:color w:val="auto"/>
          <w:sz w:val="72"/>
          <w:szCs w:val="72"/>
        </w:rPr>
      </w:pPr>
    </w:p>
    <w:p w14:paraId="0C4FD4A3">
      <w:pPr>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投标人全称：</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(加盖电子公章)</w:t>
      </w:r>
    </w:p>
    <w:p w14:paraId="43F8F19A">
      <w:pPr>
        <w:pStyle w:val="12"/>
        <w:keepNext w:val="0"/>
        <w:keepLines w:val="0"/>
        <w:pageBreakBefore w:val="0"/>
        <w:widowControl w:val="0"/>
        <w:kinsoku/>
        <w:wordWrap/>
        <w:overflowPunct/>
        <w:topLinePunct w:val="0"/>
        <w:autoSpaceDE/>
        <w:autoSpaceDN/>
        <w:bidi w:val="0"/>
        <w:adjustRightInd/>
        <w:snapToGrid/>
        <w:spacing w:line="600" w:lineRule="auto"/>
        <w:ind w:firstLine="562" w:firstLineChars="200"/>
        <w:textAlignment w:val="auto"/>
        <w:outlineLvl w:val="9"/>
        <w:rPr>
          <w:rFonts w:hint="eastAsia" w:ascii="仿宋" w:hAnsi="仿宋" w:eastAsia="仿宋" w:cs="仿宋"/>
          <w:b/>
          <w:bCs/>
          <w:color w:val="auto"/>
          <w:sz w:val="28"/>
          <w:szCs w:val="21"/>
        </w:rPr>
      </w:pPr>
      <w:r>
        <w:rPr>
          <w:rFonts w:hint="eastAsia" w:ascii="仿宋" w:hAnsi="仿宋" w:eastAsia="仿宋" w:cs="仿宋"/>
          <w:b/>
          <w:bCs/>
          <w:color w:val="auto"/>
          <w:sz w:val="28"/>
          <w:szCs w:val="21"/>
        </w:rPr>
        <w:t>法定代表人或委托代理人：</w:t>
      </w:r>
      <w:r>
        <w:rPr>
          <w:rFonts w:hint="eastAsia" w:ascii="仿宋" w:hAnsi="仿宋" w:eastAsia="仿宋" w:cs="仿宋"/>
          <w:b/>
          <w:bCs/>
          <w:color w:val="auto"/>
          <w:sz w:val="28"/>
          <w:szCs w:val="21"/>
          <w:u w:val="single"/>
        </w:rPr>
        <w:t xml:space="preserve">                    </w:t>
      </w:r>
      <w:r>
        <w:rPr>
          <w:rFonts w:hint="eastAsia" w:ascii="仿宋" w:hAnsi="仿宋" w:eastAsia="仿宋" w:cs="仿宋"/>
          <w:b/>
          <w:bCs/>
          <w:color w:val="auto"/>
          <w:sz w:val="28"/>
          <w:szCs w:val="21"/>
        </w:rPr>
        <w:t>（电子签名）</w:t>
      </w:r>
    </w:p>
    <w:p w14:paraId="141E094D">
      <w:pPr>
        <w:pStyle w:val="12"/>
        <w:keepNext w:val="0"/>
        <w:keepLines w:val="0"/>
        <w:pageBreakBefore w:val="0"/>
        <w:widowControl w:val="0"/>
        <w:kinsoku/>
        <w:wordWrap/>
        <w:overflowPunct/>
        <w:topLinePunct w:val="0"/>
        <w:autoSpaceDE/>
        <w:autoSpaceDN/>
        <w:bidi w:val="0"/>
        <w:adjustRightInd/>
        <w:snapToGrid/>
        <w:spacing w:line="600" w:lineRule="auto"/>
        <w:jc w:val="center"/>
        <w:textAlignment w:val="auto"/>
        <w:outlineLvl w:val="9"/>
        <w:rPr>
          <w:rFonts w:hint="eastAsia" w:ascii="仿宋" w:hAnsi="仿宋" w:eastAsia="仿宋" w:cs="仿宋"/>
          <w:b/>
          <w:bCs/>
          <w:color w:val="auto"/>
          <w:sz w:val="28"/>
          <w:szCs w:val="21"/>
        </w:rPr>
      </w:pPr>
      <w:r>
        <w:rPr>
          <w:rFonts w:hint="eastAsia" w:ascii="仿宋" w:hAnsi="仿宋" w:eastAsia="仿宋" w:cs="仿宋"/>
          <w:b/>
          <w:bCs/>
          <w:color w:val="auto"/>
          <w:sz w:val="28"/>
          <w:szCs w:val="21"/>
          <w:u w:val="none"/>
          <w:lang w:val="en-US" w:eastAsia="zh-CN"/>
        </w:rPr>
        <w:t>日期：</w:t>
      </w:r>
      <w:r>
        <w:rPr>
          <w:rFonts w:hint="eastAsia" w:ascii="仿宋" w:hAnsi="仿宋" w:eastAsia="仿宋" w:cs="仿宋"/>
          <w:b/>
          <w:bCs/>
          <w:color w:val="auto"/>
          <w:sz w:val="28"/>
          <w:szCs w:val="21"/>
          <w:u w:val="single"/>
          <w:lang w:val="en-US" w:eastAsia="zh-CN"/>
        </w:rPr>
        <w:t xml:space="preserve">       </w:t>
      </w:r>
      <w:r>
        <w:rPr>
          <w:rFonts w:hint="eastAsia" w:ascii="仿宋" w:hAnsi="仿宋" w:eastAsia="仿宋" w:cs="仿宋"/>
          <w:b/>
          <w:bCs/>
          <w:color w:val="auto"/>
          <w:sz w:val="28"/>
          <w:szCs w:val="21"/>
        </w:rPr>
        <w:t>年</w:t>
      </w:r>
      <w:r>
        <w:rPr>
          <w:rFonts w:hint="eastAsia" w:ascii="仿宋" w:hAnsi="仿宋" w:eastAsia="仿宋" w:cs="仿宋"/>
          <w:b/>
          <w:bCs/>
          <w:color w:val="auto"/>
          <w:sz w:val="28"/>
          <w:szCs w:val="21"/>
          <w:u w:val="single"/>
        </w:rPr>
        <w:t xml:space="preserve">  </w:t>
      </w:r>
      <w:r>
        <w:rPr>
          <w:rFonts w:hint="eastAsia" w:ascii="仿宋" w:hAnsi="仿宋" w:eastAsia="仿宋" w:cs="仿宋"/>
          <w:b/>
          <w:bCs/>
          <w:color w:val="auto"/>
          <w:sz w:val="28"/>
          <w:szCs w:val="21"/>
          <w:u w:val="single"/>
          <w:lang w:val="en-US" w:eastAsia="zh-CN"/>
        </w:rPr>
        <w:t xml:space="preserve">   </w:t>
      </w:r>
      <w:r>
        <w:rPr>
          <w:rFonts w:hint="eastAsia" w:ascii="仿宋" w:hAnsi="仿宋" w:eastAsia="仿宋" w:cs="仿宋"/>
          <w:b/>
          <w:bCs/>
          <w:color w:val="auto"/>
          <w:sz w:val="28"/>
          <w:szCs w:val="21"/>
          <w:u w:val="single"/>
        </w:rPr>
        <w:t xml:space="preserve"> </w:t>
      </w:r>
      <w:r>
        <w:rPr>
          <w:rFonts w:hint="eastAsia" w:ascii="仿宋" w:hAnsi="仿宋" w:eastAsia="仿宋" w:cs="仿宋"/>
          <w:b/>
          <w:bCs/>
          <w:color w:val="auto"/>
          <w:sz w:val="28"/>
          <w:szCs w:val="21"/>
        </w:rPr>
        <w:t>月</w:t>
      </w:r>
      <w:r>
        <w:rPr>
          <w:rFonts w:hint="eastAsia" w:ascii="仿宋" w:hAnsi="仿宋" w:eastAsia="仿宋" w:cs="仿宋"/>
          <w:b/>
          <w:bCs/>
          <w:color w:val="auto"/>
          <w:sz w:val="28"/>
          <w:szCs w:val="21"/>
          <w:u w:val="single"/>
        </w:rPr>
        <w:t xml:space="preserve">   </w:t>
      </w:r>
      <w:r>
        <w:rPr>
          <w:rFonts w:hint="eastAsia" w:ascii="仿宋" w:hAnsi="仿宋" w:eastAsia="仿宋" w:cs="仿宋"/>
          <w:b/>
          <w:bCs/>
          <w:color w:val="auto"/>
          <w:sz w:val="28"/>
          <w:szCs w:val="21"/>
          <w:u w:val="single"/>
          <w:lang w:val="en-US" w:eastAsia="zh-CN"/>
        </w:rPr>
        <w:t xml:space="preserve">  </w:t>
      </w:r>
      <w:r>
        <w:rPr>
          <w:rFonts w:hint="eastAsia" w:ascii="仿宋" w:hAnsi="仿宋" w:eastAsia="仿宋" w:cs="仿宋"/>
          <w:b/>
          <w:bCs/>
          <w:color w:val="auto"/>
          <w:sz w:val="28"/>
          <w:szCs w:val="21"/>
        </w:rPr>
        <w:t>日</w:t>
      </w:r>
    </w:p>
    <w:p w14:paraId="7D79326E">
      <w:pPr>
        <w:pStyle w:val="12"/>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8"/>
          <w:szCs w:val="28"/>
        </w:rPr>
      </w:pPr>
      <w:r>
        <w:rPr>
          <w:rFonts w:hint="eastAsia" w:ascii="仿宋" w:hAnsi="仿宋" w:eastAsia="仿宋" w:cs="仿宋"/>
          <w:color w:val="auto"/>
          <w:sz w:val="28"/>
          <w:szCs w:val="21"/>
        </w:rPr>
        <w:br w:type="page"/>
      </w:r>
    </w:p>
    <w:p w14:paraId="5A8281C2">
      <w:pPr>
        <w:jc w:val="center"/>
        <w:outlineLvl w:val="1"/>
        <w:rPr>
          <w:rFonts w:hint="eastAsia" w:ascii="仿宋" w:hAnsi="仿宋" w:eastAsia="仿宋" w:cs="仿宋"/>
          <w:b/>
          <w:color w:val="auto"/>
          <w:kern w:val="0"/>
          <w:sz w:val="32"/>
          <w:szCs w:val="32"/>
          <w:lang w:val="en-US" w:eastAsia="zh-CN" w:bidi="ar-SA"/>
        </w:rPr>
      </w:pPr>
      <w:bookmarkStart w:id="40" w:name="_Toc6765"/>
      <w:r>
        <w:rPr>
          <w:rFonts w:hint="eastAsia" w:ascii="仿宋" w:hAnsi="仿宋" w:eastAsia="仿宋" w:cs="仿宋"/>
          <w:b/>
          <w:color w:val="auto"/>
          <w:kern w:val="0"/>
          <w:sz w:val="32"/>
          <w:szCs w:val="32"/>
          <w:lang w:val="en-US" w:eastAsia="zh-CN" w:bidi="ar-SA"/>
        </w:rPr>
        <w:t>目 录</w:t>
      </w:r>
    </w:p>
    <w:p w14:paraId="021DF4ED">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bookmarkEnd w:id="40"/>
    <w:p w14:paraId="3C3D0EE4">
      <w:pPr>
        <w:pStyle w:val="4"/>
        <w:numPr>
          <w:ilvl w:val="1"/>
          <w:numId w:val="0"/>
        </w:numPr>
        <w:tabs>
          <w:tab w:val="clear" w:pos="1021"/>
          <w:tab w:val="clear" w:pos="2582"/>
          <w:tab w:val="clear" w:pos="2723"/>
        </w:tabs>
        <w:spacing w:before="0" w:line="360" w:lineRule="auto"/>
        <w:ind w:left="1588" w:leftChars="0" w:hanging="737" w:firstLineChars="0"/>
        <w:jc w:val="center"/>
        <w:rPr>
          <w:rFonts w:hint="default" w:ascii="仿宋" w:hAnsi="仿宋" w:eastAsia="仿宋" w:cs="仿宋"/>
          <w:b w:val="0"/>
          <w:bCs/>
          <w:lang w:val="en-US" w:eastAsia="zh-CN"/>
        </w:rPr>
      </w:pPr>
      <w:bookmarkStart w:id="41" w:name="_Toc111813233"/>
      <w:bookmarkStart w:id="42" w:name="_Toc520749005"/>
      <w:bookmarkStart w:id="43" w:name="_Toc451856213"/>
      <w:bookmarkStart w:id="44" w:name="_Toc10117026"/>
      <w:bookmarkStart w:id="45" w:name="_Toc166764602"/>
      <w:bookmarkStart w:id="46" w:name="_Toc28848"/>
      <w:bookmarkStart w:id="47" w:name="_Toc383636421"/>
      <w:bookmarkStart w:id="48" w:name="_Toc406162626"/>
      <w:bookmarkStart w:id="49" w:name="_Toc8426"/>
      <w:bookmarkStart w:id="50" w:name="_Toc391301880"/>
      <w:bookmarkStart w:id="51" w:name="_Toc99704553"/>
      <w:bookmarkStart w:id="52" w:name="_Toc9312"/>
      <w:bookmarkStart w:id="53" w:name="_Toc5494"/>
      <w:r>
        <w:rPr>
          <w:rFonts w:hint="eastAsia" w:ascii="仿宋" w:hAnsi="仿宋" w:eastAsia="仿宋" w:cs="仿宋"/>
          <w:b w:val="0"/>
          <w:bCs/>
          <w:lang w:val="en-US" w:eastAsia="zh-CN"/>
        </w:rPr>
        <w:t>一、资格审查部分格式</w:t>
      </w:r>
    </w:p>
    <w:p w14:paraId="49A04F1D">
      <w:pPr>
        <w:pStyle w:val="5"/>
        <w:numPr>
          <w:ilvl w:val="2"/>
          <w:numId w:val="0"/>
        </w:numPr>
        <w:tabs>
          <w:tab w:val="clear" w:pos="900"/>
        </w:tabs>
        <w:spacing w:before="0" w:line="360" w:lineRule="auto"/>
        <w:jc w:val="center"/>
        <w:rPr>
          <w:rFonts w:hint="eastAsia" w:ascii="仿宋" w:hAnsi="仿宋" w:eastAsia="仿宋" w:cs="仿宋"/>
          <w:b w:val="0"/>
          <w:bCs/>
        </w:rPr>
      </w:pPr>
      <w:r>
        <w:rPr>
          <w:rFonts w:hint="eastAsia" w:ascii="仿宋" w:hAnsi="仿宋" w:eastAsia="仿宋" w:cs="仿宋"/>
          <w:b w:val="0"/>
          <w:bCs/>
        </w:rPr>
        <w:t>（一）投标函</w:t>
      </w:r>
      <w:bookmarkEnd w:id="41"/>
      <w:bookmarkEnd w:id="42"/>
      <w:bookmarkEnd w:id="43"/>
      <w:bookmarkEnd w:id="44"/>
      <w:bookmarkEnd w:id="45"/>
    </w:p>
    <w:p w14:paraId="37AB296D">
      <w:pPr>
        <w:spacing w:line="360" w:lineRule="auto"/>
        <w:rPr>
          <w:rFonts w:hint="eastAsia" w:ascii="仿宋" w:hAnsi="仿宋" w:eastAsia="仿宋" w:cs="仿宋"/>
          <w:b w:val="0"/>
          <w:bCs/>
          <w:szCs w:val="21"/>
          <w:lang w:val="en-US" w:eastAsia="zh-CN"/>
        </w:rPr>
      </w:pPr>
      <w:r>
        <w:rPr>
          <w:rFonts w:hint="eastAsia" w:ascii="仿宋" w:hAnsi="仿宋" w:eastAsia="仿宋" w:cs="仿宋"/>
          <w:b w:val="0"/>
          <w:bCs/>
          <w:szCs w:val="21"/>
        </w:rPr>
        <w:t>致：</w:t>
      </w:r>
      <w:r>
        <w:rPr>
          <w:rFonts w:hint="eastAsia" w:ascii="仿宋" w:hAnsi="仿宋" w:eastAsia="仿宋" w:cs="仿宋"/>
          <w:b w:val="0"/>
          <w:bCs/>
          <w:szCs w:val="21"/>
          <w:u w:val="single"/>
          <w:lang w:val="en-US" w:eastAsia="zh-CN"/>
        </w:rPr>
        <w:t xml:space="preserve">            （招标人或招标代理机构）</w:t>
      </w:r>
    </w:p>
    <w:p w14:paraId="208E4E7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我方仔细研究了</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（采购项目名称） （项目编号：       ）</w:t>
      </w:r>
      <w:r>
        <w:rPr>
          <w:rFonts w:hint="eastAsia" w:ascii="仿宋" w:hAnsi="仿宋" w:eastAsia="仿宋" w:cs="仿宋"/>
          <w:szCs w:val="21"/>
          <w:u w:val="single"/>
          <w:lang w:val="en-US" w:eastAsia="zh-CN"/>
        </w:rPr>
        <w:t xml:space="preserve"> </w:t>
      </w:r>
      <w:r>
        <w:rPr>
          <w:rFonts w:hint="eastAsia" w:ascii="仿宋" w:hAnsi="仿宋" w:eastAsia="仿宋" w:cs="仿宋"/>
          <w:szCs w:val="21"/>
        </w:rPr>
        <w:t>招标文件的全部内容，正式授权</w:t>
      </w:r>
      <w:r>
        <w:rPr>
          <w:rFonts w:hint="eastAsia" w:ascii="仿宋" w:hAnsi="仿宋" w:eastAsia="仿宋" w:cs="仿宋"/>
          <w:szCs w:val="21"/>
          <w:u w:val="single"/>
        </w:rPr>
        <w:t xml:space="preserve">     （姓名和职务）    </w:t>
      </w:r>
      <w:r>
        <w:rPr>
          <w:rFonts w:hint="eastAsia" w:ascii="仿宋" w:hAnsi="仿宋" w:eastAsia="仿宋" w:cs="仿宋"/>
          <w:szCs w:val="21"/>
        </w:rPr>
        <w:t>全权代表</w:t>
      </w:r>
      <w:r>
        <w:rPr>
          <w:rFonts w:hint="eastAsia" w:ascii="仿宋" w:hAnsi="仿宋" w:eastAsia="仿宋" w:cs="仿宋"/>
          <w:szCs w:val="21"/>
          <w:u w:val="single"/>
        </w:rPr>
        <w:t xml:space="preserve">    （投标人全称）    </w:t>
      </w:r>
      <w:r>
        <w:rPr>
          <w:rFonts w:hint="eastAsia" w:ascii="仿宋" w:hAnsi="仿宋" w:eastAsia="仿宋" w:cs="仿宋"/>
          <w:szCs w:val="21"/>
        </w:rPr>
        <w:t>参加投标，并提交投标文件。</w:t>
      </w:r>
    </w:p>
    <w:p w14:paraId="15829EE7">
      <w:pPr>
        <w:spacing w:line="360" w:lineRule="auto"/>
        <w:ind w:firstLine="420" w:firstLineChars="200"/>
        <w:rPr>
          <w:rFonts w:hint="eastAsia" w:ascii="仿宋" w:hAnsi="仿宋" w:eastAsia="仿宋" w:cs="仿宋"/>
          <w:szCs w:val="21"/>
          <w:lang w:eastAsia="zh-CN"/>
        </w:rPr>
      </w:pPr>
      <w:r>
        <w:rPr>
          <w:rFonts w:hint="eastAsia" w:ascii="仿宋" w:hAnsi="仿宋" w:eastAsia="仿宋" w:cs="仿宋"/>
          <w:szCs w:val="21"/>
          <w:lang w:eastAsia="zh-CN"/>
        </w:rPr>
        <w:t>据此函，我公司宣布同意如下：</w:t>
      </w:r>
    </w:p>
    <w:p w14:paraId="28CD6D4A">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1、按招标文件</w:t>
      </w:r>
      <w:r>
        <w:rPr>
          <w:rFonts w:hint="eastAsia" w:ascii="仿宋" w:hAnsi="仿宋" w:eastAsia="仿宋" w:cs="仿宋"/>
          <w:szCs w:val="21"/>
          <w:lang w:eastAsia="zh-CN"/>
        </w:rPr>
        <w:t>采购需求及服务要求</w:t>
      </w:r>
      <w:r>
        <w:rPr>
          <w:rFonts w:hint="eastAsia" w:ascii="仿宋" w:hAnsi="仿宋" w:eastAsia="仿宋" w:cs="仿宋"/>
          <w:szCs w:val="21"/>
        </w:rPr>
        <w:t>，投标总报价</w:t>
      </w:r>
      <w:r>
        <w:rPr>
          <w:rFonts w:hint="eastAsia" w:ascii="仿宋" w:hAnsi="仿宋" w:eastAsia="仿宋" w:cs="仿宋"/>
          <w:szCs w:val="21"/>
          <w:u w:val="single"/>
        </w:rPr>
        <w:t xml:space="preserve"> （大写）人民币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元</w:t>
      </w:r>
      <w:r>
        <w:rPr>
          <w:rFonts w:hint="eastAsia" w:ascii="仿宋" w:hAnsi="仿宋" w:eastAsia="仿宋" w:cs="仿宋"/>
          <w:szCs w:val="21"/>
        </w:rPr>
        <w:t>，</w:t>
      </w:r>
      <w:r>
        <w:rPr>
          <w:rFonts w:hint="eastAsia" w:ascii="仿宋" w:hAnsi="仿宋" w:eastAsia="仿宋" w:cs="仿宋"/>
          <w:szCs w:val="21"/>
          <w:u w:val="single"/>
        </w:rPr>
        <w:t>(</w:t>
      </w:r>
      <w:r>
        <w:rPr>
          <w:rFonts w:hint="eastAsia" w:ascii="仿宋" w:hAnsi="仿宋" w:eastAsia="仿宋" w:cs="仿宋"/>
          <w:szCs w:val="21"/>
          <w:u w:val="single"/>
          <w:lang w:val="en-US" w:eastAsia="zh-CN"/>
        </w:rPr>
        <w:t>小写</w:t>
      </w:r>
      <w:r>
        <w:rPr>
          <w:rFonts w:hint="eastAsia" w:ascii="仿宋" w:hAnsi="仿宋" w:eastAsia="仿宋" w:cs="仿宋"/>
          <w:szCs w:val="21"/>
          <w:u w:val="single"/>
        </w:rPr>
        <w:t>￥</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zCs w:val="21"/>
          <w:lang w:val="en-US" w:eastAsia="zh-CN"/>
        </w:rPr>
        <w:t>合同服务期限：</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w:t>
      </w:r>
    </w:p>
    <w:p w14:paraId="7B63B85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2、我方已详细审查全部招标文件，包括澄清文件(如有)。我们完全理解并同意放弃对这方面有不明及误解的权力。</w:t>
      </w:r>
    </w:p>
    <w:p w14:paraId="6A7758BC">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3、在投标人须知规定的开标日期起遵循本投标文件，并在投标人须知规定的投标有效期满之前均具有约束力。</w:t>
      </w:r>
    </w:p>
    <w:p w14:paraId="2700E1C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4、同意投标人须知中关于没收投标保证金的规定。</w:t>
      </w:r>
    </w:p>
    <w:p w14:paraId="0623C633">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5、同意应贵方要求提供与本投标有关的任何数据或资料，并保证数据和资料的完整性和真实性。</w:t>
      </w:r>
    </w:p>
    <w:p w14:paraId="501A311F">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6、完全理解贵方不一定要接受最低报价的投标人为中标人的行为。</w:t>
      </w:r>
    </w:p>
    <w:p w14:paraId="26902FB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7、如我方中标：</w:t>
      </w:r>
    </w:p>
    <w:p w14:paraId="4FA85FB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（1）我方承诺在收到中标通知书后，在中标通知书规定的期限内与采购人签订合同，并履行相应的合同责任和义务。</w:t>
      </w:r>
    </w:p>
    <w:p w14:paraId="4E1FAB2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（2）我方承诺按照招标文件规定向你方递交履约担保。</w:t>
      </w:r>
    </w:p>
    <w:p w14:paraId="148B49C1">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（3）我方承诺将承担售后服务及保修责任。</w:t>
      </w:r>
    </w:p>
    <w:p w14:paraId="10296EE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8、我方在此声明，所递交的投标文件及有关资料内容完整、真实和准确。</w:t>
      </w:r>
    </w:p>
    <w:p w14:paraId="5D2A1BA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9、我公司理解并完全接受本文件全部内容，并承诺参与投标后，不再对招标文件内容有任何疑问。</w:t>
      </w:r>
    </w:p>
    <w:p w14:paraId="4B3F7EAE">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10、本投标自开标之日起</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天内有效。</w:t>
      </w:r>
    </w:p>
    <w:p w14:paraId="7CE58FD4">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11、</w:t>
      </w:r>
      <w:r>
        <w:rPr>
          <w:rFonts w:hint="eastAsia" w:ascii="仿宋" w:hAnsi="仿宋" w:eastAsia="仿宋" w:cs="仿宋"/>
          <w:szCs w:val="21"/>
          <w:u w:val="single"/>
        </w:rPr>
        <w:t xml:space="preserve">              （其他补充说明）     </w:t>
      </w:r>
      <w:r>
        <w:rPr>
          <w:rFonts w:hint="eastAsia" w:ascii="仿宋" w:hAnsi="仿宋" w:eastAsia="仿宋" w:cs="仿宋"/>
          <w:szCs w:val="21"/>
        </w:rPr>
        <w:t>。</w:t>
      </w:r>
    </w:p>
    <w:p w14:paraId="4544D148">
      <w:pPr>
        <w:spacing w:before="60" w:after="60" w:line="360" w:lineRule="auto"/>
        <w:ind w:left="424" w:leftChars="202"/>
        <w:rPr>
          <w:rFonts w:hint="eastAsia" w:ascii="仿宋" w:hAnsi="仿宋" w:eastAsia="仿宋" w:cs="仿宋"/>
          <w:szCs w:val="21"/>
          <w:u w:val="single"/>
        </w:rPr>
      </w:pPr>
      <w:r>
        <w:rPr>
          <w:rFonts w:hint="eastAsia" w:ascii="仿宋" w:hAnsi="仿宋" w:eastAsia="仿宋" w:cs="仿宋"/>
          <w:szCs w:val="21"/>
        </w:rPr>
        <w:t>与本投标有关的正式通讯地址为：</w:t>
      </w:r>
    </w:p>
    <w:p w14:paraId="31233357">
      <w:pPr>
        <w:spacing w:before="60" w:after="60" w:line="360" w:lineRule="auto"/>
        <w:ind w:left="424" w:leftChars="202"/>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single"/>
        </w:rPr>
        <w:t xml:space="preserve">                        </w:t>
      </w:r>
      <w:r>
        <w:rPr>
          <w:rFonts w:hint="eastAsia" w:ascii="仿宋" w:hAnsi="仿宋" w:eastAsia="仿宋" w:cs="仿宋"/>
          <w:szCs w:val="21"/>
        </w:rPr>
        <w:t xml:space="preserve">  邮政编码：</w:t>
      </w:r>
      <w:r>
        <w:rPr>
          <w:rFonts w:hint="eastAsia" w:ascii="仿宋" w:hAnsi="仿宋" w:eastAsia="仿宋" w:cs="仿宋"/>
          <w:szCs w:val="21"/>
          <w:u w:val="single"/>
        </w:rPr>
        <w:t xml:space="preserve">                         </w:t>
      </w:r>
    </w:p>
    <w:p w14:paraId="21B2DE79">
      <w:pPr>
        <w:spacing w:before="60" w:after="60" w:line="360" w:lineRule="auto"/>
        <w:ind w:left="424" w:leftChars="202"/>
        <w:rPr>
          <w:rFonts w:hint="eastAsia" w:ascii="仿宋" w:hAnsi="仿宋" w:eastAsia="仿宋" w:cs="仿宋"/>
          <w:szCs w:val="21"/>
        </w:rPr>
      </w:pPr>
      <w:r>
        <w:rPr>
          <w:rFonts w:hint="eastAsia" w:ascii="仿宋" w:hAnsi="仿宋" w:eastAsia="仿宋" w:cs="仿宋"/>
          <w:szCs w:val="21"/>
        </w:rPr>
        <w:t>电话：</w:t>
      </w:r>
      <w:r>
        <w:rPr>
          <w:rFonts w:hint="eastAsia" w:ascii="仿宋" w:hAnsi="仿宋" w:eastAsia="仿宋" w:cs="仿宋"/>
          <w:szCs w:val="21"/>
          <w:u w:val="single"/>
        </w:rPr>
        <w:t xml:space="preserve">                        </w:t>
      </w:r>
      <w:r>
        <w:rPr>
          <w:rFonts w:hint="eastAsia" w:ascii="仿宋" w:hAnsi="仿宋" w:eastAsia="仿宋" w:cs="仿宋"/>
          <w:szCs w:val="21"/>
        </w:rPr>
        <w:t xml:space="preserve">  传    真：</w:t>
      </w:r>
      <w:r>
        <w:rPr>
          <w:rFonts w:hint="eastAsia" w:ascii="仿宋" w:hAnsi="仿宋" w:eastAsia="仿宋" w:cs="仿宋"/>
          <w:szCs w:val="21"/>
          <w:u w:val="single"/>
        </w:rPr>
        <w:t xml:space="preserve">                         </w:t>
      </w:r>
    </w:p>
    <w:p w14:paraId="4713590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开户银行名称：</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szCs w:val="21"/>
          <w:u w:val="single"/>
        </w:rPr>
        <w:tab/>
      </w:r>
    </w:p>
    <w:p w14:paraId="34EE53C6">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开户银行账号：</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szCs w:val="21"/>
          <w:u w:val="single"/>
        </w:rPr>
        <w:t xml:space="preserve">  </w:t>
      </w:r>
      <w:r>
        <w:rPr>
          <w:rFonts w:hint="eastAsia" w:ascii="仿宋" w:hAnsi="仿宋" w:eastAsia="仿宋" w:cs="仿宋"/>
          <w:szCs w:val="21"/>
          <w:u w:val="single"/>
        </w:rPr>
        <w:tab/>
      </w:r>
      <w:r>
        <w:rPr>
          <w:rFonts w:hint="eastAsia" w:ascii="仿宋" w:hAnsi="仿宋" w:eastAsia="仿宋" w:cs="仿宋"/>
          <w:szCs w:val="21"/>
          <w:u w:val="single"/>
        </w:rPr>
        <w:tab/>
      </w:r>
      <w:r>
        <w:rPr>
          <w:rFonts w:hint="eastAsia" w:ascii="仿宋" w:hAnsi="仿宋" w:eastAsia="仿宋" w:cs="仿宋"/>
          <w:szCs w:val="21"/>
          <w:u w:val="single"/>
        </w:rPr>
        <w:tab/>
      </w:r>
    </w:p>
    <w:p w14:paraId="7FB215D7">
      <w:pPr>
        <w:spacing w:before="60" w:after="60" w:line="360" w:lineRule="auto"/>
        <w:ind w:left="424" w:leftChars="202"/>
        <w:rPr>
          <w:rFonts w:hint="eastAsia" w:ascii="仿宋" w:hAnsi="仿宋" w:eastAsia="仿宋" w:cs="仿宋"/>
          <w:szCs w:val="21"/>
        </w:rPr>
      </w:pPr>
      <w:r>
        <w:rPr>
          <w:rFonts w:hint="eastAsia" w:ascii="仿宋" w:hAnsi="仿宋" w:eastAsia="仿宋" w:cs="仿宋"/>
        </w:rPr>
        <w:t>法定代表人</w:t>
      </w:r>
      <w:bookmarkStart w:id="54" w:name="_Hlk17977763"/>
      <w:r>
        <w:rPr>
          <w:rFonts w:hint="eastAsia" w:ascii="仿宋" w:hAnsi="仿宋" w:eastAsia="仿宋" w:cs="仿宋"/>
        </w:rPr>
        <w:t>或委托代理人</w:t>
      </w:r>
      <w:bookmarkEnd w:id="54"/>
      <w:r>
        <w:rPr>
          <w:rFonts w:hint="eastAsia" w:ascii="仿宋" w:hAnsi="仿宋" w:eastAsia="仿宋" w:cs="仿宋"/>
          <w:szCs w:val="21"/>
        </w:rPr>
        <w:t>（电子签名）：</w:t>
      </w:r>
      <w:r>
        <w:rPr>
          <w:rFonts w:hint="eastAsia" w:ascii="仿宋" w:hAnsi="仿宋" w:eastAsia="仿宋" w:cs="仿宋"/>
          <w:szCs w:val="21"/>
          <w:u w:val="single"/>
        </w:rPr>
        <w:t xml:space="preserve">                   </w:t>
      </w:r>
    </w:p>
    <w:p w14:paraId="7A862C62">
      <w:pPr>
        <w:spacing w:before="60" w:after="60" w:line="360" w:lineRule="auto"/>
        <w:ind w:left="424" w:leftChars="202"/>
        <w:rPr>
          <w:rFonts w:hint="eastAsia" w:ascii="仿宋" w:hAnsi="仿宋" w:eastAsia="仿宋" w:cs="仿宋"/>
          <w:szCs w:val="21"/>
        </w:rPr>
      </w:pPr>
      <w:r>
        <w:rPr>
          <w:rFonts w:hint="eastAsia" w:ascii="仿宋" w:hAnsi="仿宋" w:eastAsia="仿宋" w:cs="仿宋"/>
          <w:szCs w:val="21"/>
        </w:rPr>
        <w:t>投标人全称（加盖电子公章）：</w:t>
      </w:r>
      <w:r>
        <w:rPr>
          <w:rFonts w:hint="eastAsia" w:ascii="仿宋" w:hAnsi="仿宋" w:eastAsia="仿宋" w:cs="仿宋"/>
          <w:szCs w:val="21"/>
          <w:u w:val="single"/>
        </w:rPr>
        <w:t xml:space="preserve">                           </w:t>
      </w:r>
    </w:p>
    <w:p w14:paraId="43B49DC3">
      <w:pPr>
        <w:spacing w:line="360" w:lineRule="auto"/>
        <w:ind w:firstLine="420" w:firstLineChars="200"/>
        <w:rPr>
          <w:rFonts w:hint="eastAsia" w:ascii="仿宋" w:hAnsi="仿宋" w:eastAsia="仿宋" w:cs="仿宋"/>
          <w:b/>
          <w:bCs/>
          <w:sz w:val="30"/>
          <w:szCs w:val="32"/>
        </w:rPr>
      </w:pPr>
      <w:r>
        <w:rPr>
          <w:rFonts w:hint="eastAsia" w:ascii="仿宋" w:hAnsi="仿宋" w:eastAsia="仿宋" w:cs="仿宋"/>
          <w:szCs w:val="21"/>
        </w:rPr>
        <w:t>日期：</w:t>
      </w:r>
      <w:r>
        <w:rPr>
          <w:rFonts w:hint="eastAsia" w:ascii="仿宋" w:hAnsi="仿宋" w:eastAsia="仿宋" w:cs="仿宋"/>
          <w:szCs w:val="21"/>
          <w:u w:val="single"/>
        </w:rPr>
        <w:t xml:space="preserve">                                                </w:t>
      </w:r>
      <w:bookmarkStart w:id="55" w:name="_Toc10117027"/>
      <w:bookmarkStart w:id="56" w:name="_Toc520749006"/>
    </w:p>
    <w:p w14:paraId="5E22C4E1">
      <w:pPr>
        <w:rPr>
          <w:rFonts w:hint="eastAsia" w:ascii="仿宋" w:hAnsi="仿宋" w:eastAsia="仿宋" w:cs="仿宋"/>
        </w:rPr>
      </w:pPr>
      <w:bookmarkStart w:id="57" w:name="_Toc10117037"/>
      <w:bookmarkStart w:id="58" w:name="_Toc166764603"/>
      <w:bookmarkStart w:id="59" w:name="_Toc111813244"/>
      <w:bookmarkStart w:id="60" w:name="_Toc520749015"/>
      <w:bookmarkStart w:id="61" w:name="_Toc111813234"/>
      <w:r>
        <w:rPr>
          <w:rFonts w:hint="eastAsia" w:ascii="仿宋" w:hAnsi="仿宋" w:eastAsia="仿宋" w:cs="仿宋"/>
        </w:rPr>
        <w:br w:type="page"/>
      </w:r>
    </w:p>
    <w:p w14:paraId="29BA220A">
      <w:pPr>
        <w:pStyle w:val="5"/>
        <w:numPr>
          <w:ilvl w:val="2"/>
          <w:numId w:val="0"/>
        </w:numPr>
        <w:tabs>
          <w:tab w:val="clear" w:pos="900"/>
        </w:tabs>
        <w:spacing w:line="360" w:lineRule="auto"/>
        <w:jc w:val="center"/>
        <w:rPr>
          <w:rFonts w:hint="eastAsia" w:ascii="仿宋" w:hAnsi="仿宋" w:eastAsia="仿宋" w:cs="仿宋"/>
          <w:sz w:val="24"/>
          <w:szCs w:val="24"/>
        </w:rPr>
      </w:pPr>
      <w:r>
        <w:rPr>
          <w:rFonts w:hint="eastAsia" w:ascii="仿宋" w:hAnsi="仿宋" w:eastAsia="仿宋" w:cs="仿宋"/>
        </w:rPr>
        <w:t>（二）法定代表人身份证明书</w:t>
      </w:r>
      <w:bookmarkEnd w:id="57"/>
      <w:bookmarkEnd w:id="58"/>
      <w:bookmarkEnd w:id="59"/>
      <w:bookmarkEnd w:id="60"/>
    </w:p>
    <w:p w14:paraId="7D6E7AE6">
      <w:pPr>
        <w:spacing w:line="360" w:lineRule="auto"/>
        <w:rPr>
          <w:rFonts w:hint="eastAsia" w:ascii="仿宋" w:hAnsi="仿宋" w:eastAsia="仿宋" w:cs="仿宋"/>
          <w:szCs w:val="21"/>
        </w:rPr>
      </w:pPr>
    </w:p>
    <w:p w14:paraId="25999F56">
      <w:pPr>
        <w:spacing w:line="360" w:lineRule="auto"/>
        <w:rPr>
          <w:rFonts w:hint="eastAsia" w:ascii="仿宋" w:hAnsi="仿宋" w:eastAsia="仿宋" w:cs="仿宋"/>
          <w:szCs w:val="21"/>
        </w:rPr>
      </w:pPr>
      <w:r>
        <w:rPr>
          <w:rFonts w:hint="eastAsia" w:ascii="仿宋" w:hAnsi="仿宋" w:eastAsia="仿宋" w:cs="仿宋"/>
          <w:szCs w:val="21"/>
        </w:rPr>
        <w:t>投 标 人：</w:t>
      </w:r>
      <w:r>
        <w:rPr>
          <w:rFonts w:hint="eastAsia" w:ascii="仿宋" w:hAnsi="仿宋" w:eastAsia="仿宋" w:cs="仿宋"/>
          <w:szCs w:val="21"/>
          <w:u w:val="single"/>
        </w:rPr>
        <w:t xml:space="preserve">                                                       </w:t>
      </w:r>
    </w:p>
    <w:p w14:paraId="3FC428A2">
      <w:pPr>
        <w:spacing w:line="360" w:lineRule="auto"/>
        <w:rPr>
          <w:rFonts w:hint="eastAsia" w:ascii="仿宋" w:hAnsi="仿宋" w:eastAsia="仿宋" w:cs="仿宋"/>
          <w:szCs w:val="21"/>
          <w:u w:val="single"/>
        </w:rPr>
      </w:pPr>
      <w:r>
        <w:rPr>
          <w:rFonts w:hint="eastAsia" w:ascii="仿宋" w:hAnsi="仿宋" w:eastAsia="仿宋" w:cs="仿宋"/>
          <w:szCs w:val="21"/>
        </w:rPr>
        <w:t>单位性质：</w:t>
      </w:r>
      <w:r>
        <w:rPr>
          <w:rFonts w:hint="eastAsia" w:ascii="仿宋" w:hAnsi="仿宋" w:eastAsia="仿宋" w:cs="仿宋"/>
          <w:szCs w:val="21"/>
          <w:u w:val="single"/>
        </w:rPr>
        <w:t xml:space="preserve">                                                       </w:t>
      </w:r>
    </w:p>
    <w:p w14:paraId="1B7A36CA">
      <w:pPr>
        <w:spacing w:line="360" w:lineRule="auto"/>
        <w:rPr>
          <w:rFonts w:hint="eastAsia" w:ascii="仿宋" w:hAnsi="仿宋" w:eastAsia="仿宋" w:cs="仿宋"/>
          <w:szCs w:val="21"/>
        </w:rPr>
      </w:pPr>
      <w:r>
        <w:rPr>
          <w:rFonts w:hint="eastAsia" w:ascii="仿宋" w:hAnsi="仿宋" w:eastAsia="仿宋" w:cs="仿宋"/>
          <w:szCs w:val="21"/>
        </w:rPr>
        <w:t>地    址：</w:t>
      </w:r>
      <w:r>
        <w:rPr>
          <w:rFonts w:hint="eastAsia" w:ascii="仿宋" w:hAnsi="仿宋" w:eastAsia="仿宋" w:cs="仿宋"/>
          <w:szCs w:val="21"/>
          <w:u w:val="single"/>
        </w:rPr>
        <w:t xml:space="preserve">                                                       </w:t>
      </w:r>
    </w:p>
    <w:p w14:paraId="0C401924">
      <w:pPr>
        <w:spacing w:line="360" w:lineRule="auto"/>
        <w:rPr>
          <w:rFonts w:hint="eastAsia" w:ascii="仿宋" w:hAnsi="仿宋" w:eastAsia="仿宋" w:cs="仿宋"/>
          <w:szCs w:val="21"/>
        </w:rPr>
      </w:pPr>
      <w:r>
        <w:rPr>
          <w:rFonts w:hint="eastAsia" w:ascii="仿宋" w:hAnsi="仿宋" w:eastAsia="仿宋" w:cs="仿宋"/>
          <w:szCs w:val="21"/>
        </w:rPr>
        <w:t>成立时间：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7C5D1B3E">
      <w:pPr>
        <w:spacing w:line="360" w:lineRule="auto"/>
        <w:rPr>
          <w:rFonts w:hint="eastAsia" w:ascii="仿宋" w:hAnsi="仿宋" w:eastAsia="仿宋" w:cs="仿宋"/>
          <w:szCs w:val="21"/>
        </w:rPr>
      </w:pPr>
      <w:r>
        <w:rPr>
          <w:rFonts w:hint="eastAsia" w:ascii="仿宋" w:hAnsi="仿宋" w:eastAsia="仿宋" w:cs="仿宋"/>
          <w:szCs w:val="21"/>
        </w:rPr>
        <w:t>经营期限：</w:t>
      </w:r>
      <w:r>
        <w:rPr>
          <w:rFonts w:hint="eastAsia" w:ascii="仿宋" w:hAnsi="仿宋" w:eastAsia="仿宋" w:cs="仿宋"/>
          <w:szCs w:val="21"/>
          <w:u w:val="single"/>
        </w:rPr>
        <w:t xml:space="preserve">                                                       </w:t>
      </w:r>
    </w:p>
    <w:p w14:paraId="1F4D0FD9">
      <w:pPr>
        <w:spacing w:line="360" w:lineRule="auto"/>
        <w:rPr>
          <w:rFonts w:hint="eastAsia" w:ascii="仿宋" w:hAnsi="仿宋" w:eastAsia="仿宋" w:cs="仿宋"/>
          <w:szCs w:val="21"/>
        </w:rPr>
      </w:pPr>
      <w:r>
        <w:rPr>
          <w:rFonts w:hint="eastAsia" w:ascii="仿宋" w:hAnsi="仿宋" w:eastAsia="仿宋" w:cs="仿宋"/>
          <w:szCs w:val="21"/>
        </w:rPr>
        <w:t>姓    名：</w:t>
      </w:r>
      <w:r>
        <w:rPr>
          <w:rFonts w:hint="eastAsia" w:ascii="仿宋" w:hAnsi="仿宋" w:eastAsia="仿宋" w:cs="仿宋"/>
          <w:szCs w:val="21"/>
          <w:u w:val="single"/>
        </w:rPr>
        <w:t xml:space="preserve">             </w:t>
      </w:r>
      <w:r>
        <w:rPr>
          <w:rFonts w:hint="eastAsia" w:ascii="仿宋" w:hAnsi="仿宋" w:eastAsia="仿宋" w:cs="仿宋"/>
          <w:szCs w:val="21"/>
        </w:rPr>
        <w:t>性    别：</w:t>
      </w:r>
      <w:r>
        <w:rPr>
          <w:rFonts w:hint="eastAsia" w:ascii="仿宋" w:hAnsi="仿宋" w:eastAsia="仿宋" w:cs="仿宋"/>
          <w:szCs w:val="21"/>
          <w:u w:val="single"/>
        </w:rPr>
        <w:t xml:space="preserve">               </w:t>
      </w:r>
    </w:p>
    <w:p w14:paraId="4DAAAFCC">
      <w:pPr>
        <w:spacing w:line="360" w:lineRule="auto"/>
        <w:rPr>
          <w:rFonts w:hint="eastAsia" w:ascii="仿宋" w:hAnsi="仿宋" w:eastAsia="仿宋" w:cs="仿宋"/>
          <w:szCs w:val="21"/>
        </w:rPr>
      </w:pPr>
      <w:r>
        <w:rPr>
          <w:rFonts w:hint="eastAsia" w:ascii="仿宋" w:hAnsi="仿宋" w:eastAsia="仿宋" w:cs="仿宋"/>
          <w:szCs w:val="21"/>
        </w:rPr>
        <w:t>年    龄：</w:t>
      </w:r>
      <w:r>
        <w:rPr>
          <w:rFonts w:hint="eastAsia" w:ascii="仿宋" w:hAnsi="仿宋" w:eastAsia="仿宋" w:cs="仿宋"/>
          <w:szCs w:val="21"/>
          <w:u w:val="single"/>
        </w:rPr>
        <w:t xml:space="preserve">             </w:t>
      </w:r>
      <w:r>
        <w:rPr>
          <w:rFonts w:hint="eastAsia" w:ascii="仿宋" w:hAnsi="仿宋" w:eastAsia="仿宋" w:cs="仿宋"/>
          <w:szCs w:val="21"/>
        </w:rPr>
        <w:t>职    务：</w:t>
      </w:r>
      <w:r>
        <w:rPr>
          <w:rFonts w:hint="eastAsia" w:ascii="仿宋" w:hAnsi="仿宋" w:eastAsia="仿宋" w:cs="仿宋"/>
          <w:szCs w:val="21"/>
          <w:u w:val="single"/>
        </w:rPr>
        <w:t xml:space="preserve">               </w:t>
      </w:r>
    </w:p>
    <w:p w14:paraId="21A2DFA0">
      <w:pPr>
        <w:spacing w:line="360" w:lineRule="auto"/>
        <w:rPr>
          <w:rFonts w:hint="eastAsia" w:ascii="仿宋" w:hAnsi="仿宋" w:eastAsia="仿宋" w:cs="仿宋"/>
          <w:szCs w:val="21"/>
        </w:rPr>
      </w:pPr>
      <w:r>
        <w:rPr>
          <w:rFonts w:hint="eastAsia" w:ascii="仿宋" w:hAnsi="仿宋" w:eastAsia="仿宋" w:cs="仿宋"/>
          <w:szCs w:val="21"/>
        </w:rPr>
        <w:t>系</w:t>
      </w:r>
      <w:r>
        <w:rPr>
          <w:rFonts w:hint="eastAsia" w:ascii="仿宋" w:hAnsi="仿宋" w:eastAsia="仿宋" w:cs="仿宋"/>
          <w:szCs w:val="21"/>
          <w:u w:val="single"/>
        </w:rPr>
        <w:t xml:space="preserve">                                </w:t>
      </w:r>
      <w:r>
        <w:rPr>
          <w:rFonts w:hint="eastAsia" w:ascii="仿宋" w:hAnsi="仿宋" w:eastAsia="仿宋" w:cs="仿宋"/>
          <w:szCs w:val="21"/>
        </w:rPr>
        <w:t>（投标人名称）的法定代表人。</w:t>
      </w:r>
    </w:p>
    <w:p w14:paraId="7648F1CC">
      <w:pPr>
        <w:spacing w:line="360" w:lineRule="auto"/>
        <w:rPr>
          <w:rFonts w:hint="eastAsia" w:ascii="仿宋" w:hAnsi="仿宋" w:eastAsia="仿宋" w:cs="仿宋"/>
          <w:szCs w:val="21"/>
        </w:rPr>
      </w:pPr>
      <w:r>
        <w:rPr>
          <w:rFonts w:hint="eastAsia" w:ascii="仿宋" w:hAnsi="仿宋" w:eastAsia="仿宋" w:cs="仿宋"/>
          <w:szCs w:val="21"/>
        </w:rPr>
        <w:t>特此证明。</w:t>
      </w:r>
    </w:p>
    <w:p w14:paraId="192F50B4">
      <w:pPr>
        <w:spacing w:line="360" w:lineRule="auto"/>
        <w:rPr>
          <w:rFonts w:hint="eastAsia" w:ascii="仿宋" w:hAnsi="仿宋" w:eastAsia="仿宋" w:cs="仿宋"/>
          <w:szCs w:val="21"/>
        </w:rPr>
      </w:pPr>
    </w:p>
    <w:p w14:paraId="1F84A313">
      <w:pPr>
        <w:spacing w:line="360" w:lineRule="auto"/>
        <w:rPr>
          <w:rFonts w:hint="eastAsia" w:ascii="仿宋" w:hAnsi="仿宋" w:eastAsia="仿宋" w:cs="仿宋"/>
          <w:szCs w:val="21"/>
        </w:rPr>
      </w:pPr>
      <w:r>
        <w:rPr>
          <w:rFonts w:hint="eastAsia" w:ascii="仿宋" w:hAnsi="仿宋" w:eastAsia="仿宋" w:cs="仿宋"/>
          <w:b/>
          <w:szCs w:val="21"/>
        </w:rPr>
        <w:t>注：附法定代表人身份证扫描件（彩色）。</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846"/>
        <w:gridCol w:w="257"/>
        <w:gridCol w:w="4674"/>
      </w:tblGrid>
      <w:tr w14:paraId="6F5F87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10" w:hRule="atLeast"/>
          <w:jc w:val="center"/>
        </w:trPr>
        <w:tc>
          <w:tcPr>
            <w:tcW w:w="4846" w:type="dxa"/>
            <w:noWrap w:val="0"/>
            <w:vAlign w:val="center"/>
          </w:tcPr>
          <w:p w14:paraId="556CE438">
            <w:pPr>
              <w:spacing w:line="460" w:lineRule="exact"/>
              <w:jc w:val="center"/>
              <w:rPr>
                <w:rFonts w:hint="eastAsia" w:ascii="仿宋" w:hAnsi="仿宋" w:eastAsia="仿宋" w:cs="仿宋"/>
                <w:szCs w:val="21"/>
              </w:rPr>
            </w:pPr>
            <w:r>
              <w:rPr>
                <w:rFonts w:hint="eastAsia" w:ascii="仿宋" w:hAnsi="仿宋" w:eastAsia="仿宋" w:cs="仿宋"/>
                <w:szCs w:val="21"/>
              </w:rPr>
              <w:t>法定代表人身份证复印件正</w:t>
            </w:r>
            <w:r>
              <w:rPr>
                <w:rFonts w:hint="eastAsia" w:ascii="仿宋" w:hAnsi="仿宋" w:eastAsia="仿宋" w:cs="仿宋"/>
                <w:szCs w:val="21"/>
                <w:lang w:val="en-US" w:eastAsia="zh-CN"/>
              </w:rPr>
              <w:t>/反</w:t>
            </w:r>
            <w:r>
              <w:rPr>
                <w:rFonts w:hint="eastAsia" w:ascii="仿宋" w:hAnsi="仿宋" w:eastAsia="仿宋" w:cs="仿宋"/>
                <w:szCs w:val="21"/>
              </w:rPr>
              <w:t>面</w:t>
            </w:r>
          </w:p>
        </w:tc>
        <w:tc>
          <w:tcPr>
            <w:tcW w:w="257" w:type="dxa"/>
            <w:tcBorders>
              <w:top w:val="nil"/>
              <w:bottom w:val="nil"/>
            </w:tcBorders>
            <w:noWrap w:val="0"/>
            <w:vAlign w:val="center"/>
          </w:tcPr>
          <w:p w14:paraId="3AB699AC">
            <w:pPr>
              <w:widowControl/>
              <w:spacing w:line="460" w:lineRule="exact"/>
              <w:jc w:val="center"/>
              <w:rPr>
                <w:rFonts w:hint="eastAsia" w:ascii="仿宋" w:hAnsi="仿宋" w:eastAsia="仿宋" w:cs="仿宋"/>
                <w:szCs w:val="21"/>
              </w:rPr>
            </w:pPr>
          </w:p>
          <w:p w14:paraId="31B9B371">
            <w:pPr>
              <w:spacing w:line="460" w:lineRule="exact"/>
              <w:jc w:val="center"/>
              <w:rPr>
                <w:rFonts w:hint="eastAsia" w:ascii="仿宋" w:hAnsi="仿宋" w:eastAsia="仿宋" w:cs="仿宋"/>
                <w:szCs w:val="21"/>
              </w:rPr>
            </w:pPr>
          </w:p>
        </w:tc>
        <w:tc>
          <w:tcPr>
            <w:tcW w:w="4674" w:type="dxa"/>
            <w:noWrap w:val="0"/>
            <w:vAlign w:val="center"/>
          </w:tcPr>
          <w:p w14:paraId="5A29A9FE">
            <w:pPr>
              <w:spacing w:line="460" w:lineRule="exact"/>
              <w:jc w:val="center"/>
              <w:rPr>
                <w:rFonts w:hint="eastAsia" w:ascii="仿宋" w:hAnsi="仿宋" w:eastAsia="仿宋" w:cs="仿宋"/>
                <w:szCs w:val="21"/>
              </w:rPr>
            </w:pPr>
            <w:r>
              <w:rPr>
                <w:rFonts w:hint="eastAsia" w:ascii="仿宋" w:hAnsi="仿宋" w:eastAsia="仿宋" w:cs="仿宋"/>
                <w:szCs w:val="21"/>
              </w:rPr>
              <w:t>法定代表人身份证复印件正</w:t>
            </w:r>
            <w:r>
              <w:rPr>
                <w:rFonts w:hint="eastAsia" w:ascii="仿宋" w:hAnsi="仿宋" w:eastAsia="仿宋" w:cs="仿宋"/>
                <w:szCs w:val="21"/>
                <w:lang w:val="en-US" w:eastAsia="zh-CN"/>
              </w:rPr>
              <w:t>/反</w:t>
            </w:r>
            <w:r>
              <w:rPr>
                <w:rFonts w:hint="eastAsia" w:ascii="仿宋" w:hAnsi="仿宋" w:eastAsia="仿宋" w:cs="仿宋"/>
                <w:szCs w:val="21"/>
              </w:rPr>
              <w:t>面</w:t>
            </w:r>
          </w:p>
        </w:tc>
      </w:tr>
    </w:tbl>
    <w:p w14:paraId="7C866672">
      <w:pPr>
        <w:spacing w:line="360" w:lineRule="auto"/>
        <w:rPr>
          <w:rFonts w:hint="eastAsia" w:ascii="仿宋" w:hAnsi="仿宋" w:eastAsia="仿宋" w:cs="仿宋"/>
          <w:szCs w:val="21"/>
        </w:rPr>
      </w:pPr>
    </w:p>
    <w:p w14:paraId="02547BE6">
      <w:pPr>
        <w:spacing w:line="360" w:lineRule="auto"/>
        <w:rPr>
          <w:rFonts w:hint="eastAsia" w:ascii="仿宋" w:hAnsi="仿宋" w:eastAsia="仿宋" w:cs="仿宋"/>
          <w:szCs w:val="21"/>
        </w:rPr>
      </w:pPr>
    </w:p>
    <w:p w14:paraId="2D943B3E">
      <w:pPr>
        <w:spacing w:line="360" w:lineRule="auto"/>
        <w:rPr>
          <w:rFonts w:hint="eastAsia" w:ascii="仿宋" w:hAnsi="仿宋" w:eastAsia="仿宋" w:cs="仿宋"/>
          <w:szCs w:val="21"/>
        </w:rPr>
      </w:pPr>
    </w:p>
    <w:p w14:paraId="145E8973">
      <w:pPr>
        <w:spacing w:line="360" w:lineRule="auto"/>
        <w:rPr>
          <w:rFonts w:hint="eastAsia" w:ascii="仿宋" w:hAnsi="仿宋" w:eastAsia="仿宋" w:cs="仿宋"/>
          <w:szCs w:val="21"/>
        </w:rPr>
      </w:pPr>
    </w:p>
    <w:p w14:paraId="731A7645">
      <w:pPr>
        <w:spacing w:line="360" w:lineRule="auto"/>
        <w:ind w:right="525"/>
        <w:rPr>
          <w:rFonts w:hint="eastAsia" w:ascii="仿宋" w:hAnsi="仿宋" w:eastAsia="仿宋" w:cs="仿宋"/>
          <w:szCs w:val="21"/>
        </w:rPr>
      </w:pPr>
      <w:r>
        <w:rPr>
          <w:rFonts w:hint="eastAsia" w:ascii="仿宋" w:hAnsi="仿宋" w:eastAsia="仿宋" w:cs="仿宋"/>
          <w:szCs w:val="21"/>
        </w:rPr>
        <w:t>投标人全称（加盖电子公章）：</w:t>
      </w:r>
      <w:r>
        <w:rPr>
          <w:rFonts w:hint="eastAsia" w:ascii="仿宋" w:hAnsi="仿宋" w:eastAsia="仿宋" w:cs="仿宋"/>
          <w:szCs w:val="21"/>
          <w:u w:val="single"/>
        </w:rPr>
        <w:t xml:space="preserve">                     </w:t>
      </w:r>
    </w:p>
    <w:p w14:paraId="1FB0B4A7">
      <w:pPr>
        <w:spacing w:line="360" w:lineRule="auto"/>
        <w:jc w:val="right"/>
        <w:rPr>
          <w:rFonts w:hint="eastAsia" w:ascii="仿宋" w:hAnsi="仿宋" w:eastAsia="仿宋" w:cs="仿宋"/>
          <w:szCs w:val="21"/>
        </w:rPr>
      </w:pPr>
    </w:p>
    <w:p w14:paraId="48EC9B0E">
      <w:pPr>
        <w:wordWrap w:val="0"/>
        <w:spacing w:line="360" w:lineRule="auto"/>
        <w:ind w:right="420"/>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 xml:space="preserve">日      </w:t>
      </w:r>
    </w:p>
    <w:p w14:paraId="4EAD9EC3">
      <w:pPr>
        <w:spacing w:line="360" w:lineRule="auto"/>
        <w:jc w:val="right"/>
        <w:rPr>
          <w:rFonts w:hint="eastAsia" w:ascii="仿宋" w:hAnsi="仿宋" w:eastAsia="仿宋" w:cs="仿宋"/>
          <w:szCs w:val="21"/>
        </w:rPr>
      </w:pPr>
    </w:p>
    <w:p w14:paraId="6103BEBF">
      <w:pPr>
        <w:pStyle w:val="5"/>
        <w:numPr>
          <w:ilvl w:val="2"/>
          <w:numId w:val="0"/>
        </w:numPr>
        <w:tabs>
          <w:tab w:val="clear" w:pos="900"/>
        </w:tabs>
        <w:spacing w:line="360" w:lineRule="auto"/>
        <w:jc w:val="center"/>
        <w:rPr>
          <w:rFonts w:hint="eastAsia" w:ascii="仿宋" w:hAnsi="仿宋" w:eastAsia="仿宋" w:cs="仿宋"/>
        </w:rPr>
      </w:pPr>
      <w:r>
        <w:rPr>
          <w:rFonts w:hint="eastAsia" w:ascii="仿宋" w:hAnsi="仿宋" w:eastAsia="仿宋" w:cs="仿宋"/>
        </w:rPr>
        <w:br w:type="page"/>
      </w:r>
      <w:bookmarkStart w:id="62" w:name="_Toc166764604"/>
      <w:r>
        <w:rPr>
          <w:rFonts w:hint="eastAsia" w:ascii="仿宋" w:hAnsi="仿宋" w:eastAsia="仿宋" w:cs="仿宋"/>
        </w:rPr>
        <w:t>（三）法定代表人授权委托书</w:t>
      </w:r>
      <w:bookmarkEnd w:id="62"/>
    </w:p>
    <w:p w14:paraId="134587A2">
      <w:pPr>
        <w:spacing w:line="360" w:lineRule="auto"/>
        <w:ind w:firstLine="420"/>
        <w:rPr>
          <w:rFonts w:hint="eastAsia" w:ascii="仿宋" w:hAnsi="仿宋" w:eastAsia="仿宋" w:cs="仿宋"/>
          <w:szCs w:val="21"/>
        </w:rPr>
      </w:pPr>
      <w:r>
        <w:rPr>
          <w:rFonts w:hint="eastAsia" w:ascii="仿宋" w:hAnsi="仿宋" w:eastAsia="仿宋" w:cs="仿宋"/>
          <w:szCs w:val="21"/>
        </w:rPr>
        <w:t>本授权委托书声明：我</w:t>
      </w:r>
      <w:r>
        <w:rPr>
          <w:rFonts w:hint="eastAsia" w:ascii="仿宋" w:hAnsi="仿宋" w:eastAsia="仿宋" w:cs="仿宋"/>
          <w:szCs w:val="21"/>
          <w:u w:val="single"/>
        </w:rPr>
        <w:t xml:space="preserve">        </w:t>
      </w:r>
      <w:r>
        <w:rPr>
          <w:rFonts w:hint="eastAsia" w:ascii="仿宋" w:hAnsi="仿宋" w:eastAsia="仿宋" w:cs="仿宋"/>
          <w:szCs w:val="21"/>
        </w:rPr>
        <w:t>(姓名)系</w:t>
      </w:r>
      <w:r>
        <w:rPr>
          <w:rFonts w:hint="eastAsia" w:ascii="仿宋" w:hAnsi="仿宋" w:eastAsia="仿宋" w:cs="仿宋"/>
          <w:szCs w:val="21"/>
          <w:u w:val="single"/>
        </w:rPr>
        <w:t xml:space="preserve">                       </w:t>
      </w:r>
      <w:r>
        <w:rPr>
          <w:rFonts w:hint="eastAsia" w:ascii="仿宋" w:hAnsi="仿宋" w:eastAsia="仿宋" w:cs="仿宋"/>
          <w:szCs w:val="21"/>
        </w:rPr>
        <w:t xml:space="preserve">(投标人名称)的法定代表人，现授权委托我单位的 </w:t>
      </w:r>
      <w:r>
        <w:rPr>
          <w:rFonts w:hint="eastAsia" w:ascii="仿宋" w:hAnsi="仿宋" w:eastAsia="仿宋" w:cs="仿宋"/>
          <w:szCs w:val="21"/>
          <w:u w:val="single"/>
        </w:rPr>
        <w:t xml:space="preserve">         </w:t>
      </w:r>
      <w:r>
        <w:rPr>
          <w:rFonts w:hint="eastAsia" w:ascii="仿宋" w:hAnsi="仿宋" w:eastAsia="仿宋" w:cs="仿宋"/>
          <w:szCs w:val="21"/>
        </w:rPr>
        <w:t>(姓名)为我公司代理人，以公司名义参加</w:t>
      </w:r>
      <w:r>
        <w:rPr>
          <w:rFonts w:hint="eastAsia" w:ascii="仿宋" w:hAnsi="仿宋" w:eastAsia="仿宋" w:cs="仿宋"/>
          <w:szCs w:val="21"/>
          <w:u w:val="single"/>
        </w:rPr>
        <w:t xml:space="preserve">       （</w:t>
      </w:r>
      <w:r>
        <w:rPr>
          <w:rFonts w:hint="eastAsia" w:ascii="仿宋" w:hAnsi="仿宋" w:eastAsia="仿宋" w:cs="仿宋"/>
          <w:bCs/>
          <w:szCs w:val="21"/>
          <w:u w:val="single"/>
        </w:rPr>
        <w:t>项目名称</w:t>
      </w:r>
      <w:r>
        <w:rPr>
          <w:rFonts w:hint="eastAsia" w:ascii="仿宋" w:hAnsi="仿宋" w:eastAsia="仿宋" w:cs="仿宋"/>
          <w:szCs w:val="21"/>
          <w:u w:val="single"/>
        </w:rPr>
        <w:t>）</w:t>
      </w:r>
      <w:r>
        <w:rPr>
          <w:rFonts w:hint="eastAsia" w:ascii="仿宋" w:hAnsi="仿宋" w:eastAsia="仿宋" w:cs="仿宋"/>
          <w:bCs/>
          <w:szCs w:val="21"/>
          <w:u w:val="single"/>
        </w:rPr>
        <w:t xml:space="preserve">     </w:t>
      </w:r>
      <w:r>
        <w:rPr>
          <w:rFonts w:hint="eastAsia" w:ascii="仿宋" w:hAnsi="仿宋" w:eastAsia="仿宋" w:cs="仿宋"/>
          <w:szCs w:val="21"/>
        </w:rPr>
        <w:t>(项目编号：</w:t>
      </w:r>
      <w:r>
        <w:rPr>
          <w:rFonts w:hint="eastAsia" w:ascii="仿宋" w:hAnsi="仿宋" w:eastAsia="仿宋" w:cs="仿宋"/>
          <w:szCs w:val="21"/>
          <w:u w:val="single"/>
        </w:rPr>
        <w:t xml:space="preserve">           </w:t>
      </w:r>
      <w:r>
        <w:rPr>
          <w:rFonts w:hint="eastAsia" w:ascii="仿宋" w:hAnsi="仿宋" w:eastAsia="仿宋" w:cs="仿宋"/>
          <w:szCs w:val="21"/>
        </w:rPr>
        <w:t>)的投标活动。代理人在开标、评标、合同谈判过程中所签署的一切文件和处理与之有关的一切事务，我均予以承认。</w:t>
      </w:r>
    </w:p>
    <w:p w14:paraId="3D819D67">
      <w:pPr>
        <w:spacing w:line="360" w:lineRule="auto"/>
        <w:ind w:firstLine="472" w:firstLineChars="225"/>
        <w:rPr>
          <w:rFonts w:hint="eastAsia" w:ascii="仿宋" w:hAnsi="仿宋" w:eastAsia="仿宋" w:cs="仿宋"/>
          <w:szCs w:val="21"/>
        </w:rPr>
      </w:pPr>
      <w:r>
        <w:rPr>
          <w:rFonts w:hint="eastAsia" w:ascii="仿宋" w:hAnsi="仿宋" w:eastAsia="仿宋" w:cs="仿宋"/>
          <w:szCs w:val="21"/>
        </w:rPr>
        <w:t>代理人无转委托权，特此委托。</w:t>
      </w:r>
    </w:p>
    <w:p w14:paraId="074785AF">
      <w:pPr>
        <w:spacing w:before="120" w:beforeLines="50" w:line="240" w:lineRule="auto"/>
        <w:rPr>
          <w:rFonts w:hint="eastAsia" w:ascii="仿宋" w:hAnsi="仿宋" w:eastAsia="仿宋" w:cs="仿宋"/>
          <w:szCs w:val="21"/>
        </w:rPr>
      </w:pPr>
    </w:p>
    <w:p w14:paraId="1FD63C65">
      <w:pPr>
        <w:spacing w:before="120" w:beforeLines="50" w:line="240" w:lineRule="auto"/>
        <w:rPr>
          <w:rFonts w:hint="eastAsia" w:ascii="仿宋" w:hAnsi="仿宋" w:eastAsia="仿宋" w:cs="仿宋"/>
          <w:szCs w:val="21"/>
        </w:rPr>
      </w:pPr>
    </w:p>
    <w:p w14:paraId="4599F872">
      <w:pPr>
        <w:spacing w:before="120" w:beforeLines="50" w:line="240" w:lineRule="auto"/>
        <w:rPr>
          <w:rFonts w:hint="eastAsia" w:ascii="仿宋" w:hAnsi="仿宋" w:eastAsia="仿宋" w:cs="仿宋"/>
          <w:szCs w:val="21"/>
        </w:rPr>
      </w:pPr>
      <w:r>
        <w:rPr>
          <w:rFonts w:hint="eastAsia" w:ascii="仿宋" w:hAnsi="仿宋" w:eastAsia="仿宋" w:cs="仿宋"/>
          <w:szCs w:val="21"/>
        </w:rPr>
        <w:t>代理人：                       性别：                   年龄：</w:t>
      </w:r>
    </w:p>
    <w:p w14:paraId="0188F925">
      <w:pPr>
        <w:spacing w:before="120" w:beforeLines="50" w:line="240" w:lineRule="auto"/>
        <w:rPr>
          <w:rFonts w:hint="eastAsia" w:ascii="仿宋" w:hAnsi="仿宋" w:eastAsia="仿宋" w:cs="仿宋"/>
          <w:szCs w:val="21"/>
        </w:rPr>
      </w:pPr>
      <w:r>
        <w:rPr>
          <w:rFonts w:hint="eastAsia" w:ascii="仿宋" w:hAnsi="仿宋" w:eastAsia="仿宋" w:cs="仿宋"/>
          <w:szCs w:val="21"/>
        </w:rPr>
        <w:t>部    门：                     职务：</w:t>
      </w:r>
    </w:p>
    <w:p w14:paraId="38A2B5F6">
      <w:pPr>
        <w:spacing w:before="120" w:beforeLines="50" w:line="240" w:lineRule="auto"/>
        <w:rPr>
          <w:rFonts w:hint="eastAsia" w:ascii="仿宋" w:hAnsi="仿宋" w:eastAsia="仿宋" w:cs="仿宋"/>
          <w:szCs w:val="21"/>
        </w:rPr>
      </w:pPr>
      <w:r>
        <w:rPr>
          <w:rFonts w:hint="eastAsia" w:ascii="仿宋" w:hAnsi="仿宋" w:eastAsia="仿宋" w:cs="仿宋"/>
          <w:szCs w:val="21"/>
        </w:rPr>
        <w:t>代理人无转委托权，特此委托。</w:t>
      </w:r>
    </w:p>
    <w:p w14:paraId="1F53B8B0">
      <w:pPr>
        <w:spacing w:before="120" w:beforeLines="50" w:line="240" w:lineRule="auto"/>
        <w:rPr>
          <w:rFonts w:hint="eastAsia" w:ascii="仿宋" w:hAnsi="仿宋" w:eastAsia="仿宋" w:cs="仿宋"/>
          <w:szCs w:val="21"/>
        </w:rPr>
      </w:pPr>
      <w:r>
        <w:rPr>
          <w:rFonts w:hint="eastAsia" w:ascii="仿宋" w:hAnsi="仿宋" w:eastAsia="仿宋" w:cs="仿宋"/>
          <w:szCs w:val="21"/>
        </w:rPr>
        <w:t xml:space="preserve">投标人全称(加盖电子公章)： </w:t>
      </w:r>
    </w:p>
    <w:p w14:paraId="6B681FC9">
      <w:pPr>
        <w:pStyle w:val="9"/>
        <w:spacing w:beforeLines="50" w:line="240" w:lineRule="auto"/>
        <w:rPr>
          <w:rFonts w:hint="eastAsia" w:ascii="仿宋" w:hAnsi="仿宋" w:eastAsia="仿宋" w:cs="仿宋"/>
          <w:sz w:val="21"/>
          <w:szCs w:val="21"/>
        </w:rPr>
      </w:pPr>
      <w:r>
        <w:rPr>
          <w:rFonts w:hint="eastAsia" w:ascii="仿宋" w:hAnsi="仿宋" w:eastAsia="仿宋" w:cs="仿宋"/>
          <w:sz w:val="21"/>
          <w:szCs w:val="21"/>
        </w:rPr>
        <w:t>法定代表人 (电子签名)：</w:t>
      </w:r>
    </w:p>
    <w:p w14:paraId="602DBCB1">
      <w:pPr>
        <w:pStyle w:val="9"/>
        <w:spacing w:beforeLines="50" w:line="240" w:lineRule="auto"/>
        <w:rPr>
          <w:rFonts w:hint="eastAsia" w:ascii="仿宋" w:hAnsi="仿宋" w:eastAsia="仿宋" w:cs="仿宋"/>
          <w:sz w:val="21"/>
          <w:szCs w:val="21"/>
        </w:rPr>
      </w:pPr>
      <w:r>
        <w:rPr>
          <w:rFonts w:hint="eastAsia" w:ascii="仿宋" w:hAnsi="仿宋" w:eastAsia="仿宋" w:cs="仿宋"/>
          <w:sz w:val="21"/>
          <w:szCs w:val="21"/>
        </w:rPr>
        <w:t xml:space="preserve">代理人： </w:t>
      </w:r>
    </w:p>
    <w:p w14:paraId="6A12E34E">
      <w:pPr>
        <w:spacing w:before="120" w:beforeLines="50" w:line="240" w:lineRule="auto"/>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4735BED5">
      <w:pPr>
        <w:spacing w:line="360" w:lineRule="auto"/>
        <w:rPr>
          <w:rFonts w:hint="eastAsia" w:ascii="仿宋" w:hAnsi="仿宋" w:eastAsia="仿宋" w:cs="仿宋"/>
          <w:szCs w:val="21"/>
        </w:rPr>
      </w:pP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846"/>
        <w:gridCol w:w="257"/>
        <w:gridCol w:w="4674"/>
      </w:tblGrid>
      <w:tr w14:paraId="3FDB2F3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10" w:hRule="atLeast"/>
          <w:jc w:val="center"/>
        </w:trPr>
        <w:tc>
          <w:tcPr>
            <w:tcW w:w="4846" w:type="dxa"/>
            <w:noWrap w:val="0"/>
            <w:vAlign w:val="center"/>
          </w:tcPr>
          <w:p w14:paraId="391C2347">
            <w:pPr>
              <w:spacing w:line="460" w:lineRule="exact"/>
              <w:jc w:val="center"/>
              <w:rPr>
                <w:rFonts w:hint="eastAsia" w:ascii="仿宋" w:hAnsi="仿宋" w:eastAsia="仿宋" w:cs="仿宋"/>
                <w:szCs w:val="21"/>
              </w:rPr>
            </w:pPr>
            <w:r>
              <w:rPr>
                <w:rFonts w:hint="eastAsia" w:ascii="仿宋" w:hAnsi="仿宋" w:eastAsia="仿宋" w:cs="仿宋"/>
                <w:szCs w:val="21"/>
              </w:rPr>
              <w:t>代理人身份证复印件正</w:t>
            </w:r>
            <w:r>
              <w:rPr>
                <w:rFonts w:hint="eastAsia" w:ascii="仿宋" w:hAnsi="仿宋" w:eastAsia="仿宋" w:cs="仿宋"/>
                <w:szCs w:val="21"/>
                <w:lang w:val="en-US" w:eastAsia="zh-CN"/>
              </w:rPr>
              <w:t>/反</w:t>
            </w:r>
            <w:r>
              <w:rPr>
                <w:rFonts w:hint="eastAsia" w:ascii="仿宋" w:hAnsi="仿宋" w:eastAsia="仿宋" w:cs="仿宋"/>
                <w:szCs w:val="21"/>
              </w:rPr>
              <w:t>面</w:t>
            </w:r>
          </w:p>
        </w:tc>
        <w:tc>
          <w:tcPr>
            <w:tcW w:w="257" w:type="dxa"/>
            <w:tcBorders>
              <w:top w:val="nil"/>
              <w:bottom w:val="nil"/>
            </w:tcBorders>
            <w:noWrap w:val="0"/>
            <w:vAlign w:val="center"/>
          </w:tcPr>
          <w:p w14:paraId="24ED09A1">
            <w:pPr>
              <w:widowControl/>
              <w:spacing w:line="460" w:lineRule="exact"/>
              <w:jc w:val="center"/>
              <w:rPr>
                <w:rFonts w:hint="eastAsia" w:ascii="仿宋" w:hAnsi="仿宋" w:eastAsia="仿宋" w:cs="仿宋"/>
                <w:szCs w:val="21"/>
              </w:rPr>
            </w:pPr>
          </w:p>
          <w:p w14:paraId="003D27B6">
            <w:pPr>
              <w:spacing w:line="460" w:lineRule="exact"/>
              <w:jc w:val="center"/>
              <w:rPr>
                <w:rFonts w:hint="eastAsia" w:ascii="仿宋" w:hAnsi="仿宋" w:eastAsia="仿宋" w:cs="仿宋"/>
                <w:szCs w:val="21"/>
              </w:rPr>
            </w:pPr>
          </w:p>
        </w:tc>
        <w:tc>
          <w:tcPr>
            <w:tcW w:w="4674" w:type="dxa"/>
            <w:noWrap w:val="0"/>
            <w:vAlign w:val="center"/>
          </w:tcPr>
          <w:p w14:paraId="76D23D9C">
            <w:pPr>
              <w:spacing w:line="460" w:lineRule="exact"/>
              <w:jc w:val="center"/>
              <w:rPr>
                <w:rFonts w:hint="eastAsia" w:ascii="仿宋" w:hAnsi="仿宋" w:eastAsia="仿宋" w:cs="仿宋"/>
                <w:szCs w:val="21"/>
              </w:rPr>
            </w:pPr>
            <w:r>
              <w:rPr>
                <w:rFonts w:hint="eastAsia" w:ascii="仿宋" w:hAnsi="仿宋" w:eastAsia="仿宋" w:cs="仿宋"/>
                <w:szCs w:val="21"/>
              </w:rPr>
              <w:t>代理人身份证复印件正</w:t>
            </w:r>
            <w:r>
              <w:rPr>
                <w:rFonts w:hint="eastAsia" w:ascii="仿宋" w:hAnsi="仿宋" w:eastAsia="仿宋" w:cs="仿宋"/>
                <w:szCs w:val="21"/>
                <w:lang w:val="en-US" w:eastAsia="zh-CN"/>
              </w:rPr>
              <w:t>/反</w:t>
            </w:r>
            <w:r>
              <w:rPr>
                <w:rFonts w:hint="eastAsia" w:ascii="仿宋" w:hAnsi="仿宋" w:eastAsia="仿宋" w:cs="仿宋"/>
                <w:szCs w:val="21"/>
              </w:rPr>
              <w:t>面</w:t>
            </w:r>
          </w:p>
        </w:tc>
      </w:tr>
    </w:tbl>
    <w:p w14:paraId="34D04E07">
      <w:pPr>
        <w:spacing w:line="360" w:lineRule="auto"/>
        <w:ind w:firstLine="472" w:firstLineChars="224"/>
        <w:rPr>
          <w:rFonts w:hint="eastAsia" w:ascii="仿宋" w:hAnsi="仿宋" w:eastAsia="仿宋" w:cs="仿宋"/>
          <w:b/>
          <w:szCs w:val="21"/>
        </w:rPr>
      </w:pPr>
    </w:p>
    <w:p w14:paraId="5D712F63">
      <w:pPr>
        <w:spacing w:line="360" w:lineRule="auto"/>
        <w:ind w:firstLine="472" w:firstLineChars="224"/>
        <w:rPr>
          <w:rFonts w:hint="eastAsia" w:ascii="仿宋" w:hAnsi="仿宋" w:eastAsia="仿宋" w:cs="仿宋"/>
          <w:b/>
          <w:szCs w:val="21"/>
        </w:rPr>
      </w:pPr>
      <w:r>
        <w:rPr>
          <w:rFonts w:hint="eastAsia" w:ascii="仿宋" w:hAnsi="仿宋" w:eastAsia="仿宋" w:cs="仿宋"/>
          <w:b/>
          <w:szCs w:val="21"/>
        </w:rPr>
        <w:t>注：附授权委托人身份证扫描件（彩色），如投标人由法定代表人亲自签署投标文件并参与相关活动，则不需要办理授权。如有被授权的代理人签署上述文件，则必须按本格式规定填报并提交授权书，否则被授权的代理人将不被认可。</w:t>
      </w:r>
    </w:p>
    <w:p w14:paraId="74F6167D">
      <w:pPr>
        <w:rPr>
          <w:rFonts w:hint="eastAsia" w:ascii="仿宋" w:hAnsi="仿宋" w:eastAsia="仿宋" w:cs="仿宋"/>
        </w:rPr>
      </w:pPr>
      <w:bookmarkStart w:id="63" w:name="_Toc166764605"/>
      <w:r>
        <w:rPr>
          <w:rFonts w:hint="eastAsia" w:ascii="仿宋" w:hAnsi="仿宋" w:eastAsia="仿宋" w:cs="仿宋"/>
        </w:rPr>
        <w:br w:type="page"/>
      </w:r>
    </w:p>
    <w:p w14:paraId="03C4C4CE">
      <w:pPr>
        <w:pStyle w:val="5"/>
        <w:numPr>
          <w:ilvl w:val="2"/>
          <w:numId w:val="0"/>
        </w:numPr>
        <w:tabs>
          <w:tab w:val="clear" w:pos="900"/>
        </w:tabs>
        <w:spacing w:line="360" w:lineRule="auto"/>
        <w:jc w:val="center"/>
        <w:rPr>
          <w:rFonts w:hint="eastAsia" w:ascii="仿宋" w:hAnsi="仿宋" w:eastAsia="仿宋" w:cs="仿宋"/>
        </w:rPr>
      </w:pPr>
      <w:r>
        <w:rPr>
          <w:rFonts w:hint="eastAsia" w:ascii="仿宋" w:hAnsi="仿宋" w:eastAsia="仿宋" w:cs="仿宋"/>
        </w:rPr>
        <w:t>（四）</w:t>
      </w:r>
      <w:bookmarkEnd w:id="55"/>
      <w:bookmarkEnd w:id="56"/>
      <w:r>
        <w:rPr>
          <w:rFonts w:hint="eastAsia" w:ascii="仿宋" w:hAnsi="仿宋" w:eastAsia="仿宋" w:cs="仿宋"/>
        </w:rPr>
        <w:t>投标人基本情况表</w:t>
      </w:r>
      <w:bookmarkEnd w:id="61"/>
      <w:bookmarkEnd w:id="63"/>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79"/>
        <w:gridCol w:w="3859"/>
        <w:gridCol w:w="4738"/>
      </w:tblGrid>
      <w:tr w14:paraId="48C25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noWrap w:val="0"/>
            <w:vAlign w:val="center"/>
          </w:tcPr>
          <w:p w14:paraId="38EAB777">
            <w:pPr>
              <w:spacing w:line="360" w:lineRule="auto"/>
              <w:jc w:val="center"/>
              <w:rPr>
                <w:rFonts w:hint="eastAsia" w:ascii="仿宋" w:hAnsi="仿宋" w:eastAsia="仿宋" w:cs="仿宋"/>
                <w:szCs w:val="21"/>
              </w:rPr>
            </w:pPr>
            <w:r>
              <w:rPr>
                <w:rFonts w:hint="eastAsia" w:ascii="仿宋" w:hAnsi="仿宋" w:eastAsia="仿宋" w:cs="仿宋"/>
                <w:szCs w:val="21"/>
              </w:rPr>
              <w:t>1</w:t>
            </w:r>
          </w:p>
        </w:tc>
        <w:tc>
          <w:tcPr>
            <w:tcW w:w="8597" w:type="dxa"/>
            <w:gridSpan w:val="2"/>
            <w:tcBorders>
              <w:top w:val="single" w:color="auto" w:sz="6" w:space="0"/>
              <w:left w:val="single" w:color="auto" w:sz="6" w:space="0"/>
              <w:bottom w:val="single" w:color="auto" w:sz="6" w:space="0"/>
              <w:right w:val="single" w:color="auto" w:sz="6" w:space="0"/>
            </w:tcBorders>
            <w:noWrap w:val="0"/>
            <w:vAlign w:val="center"/>
          </w:tcPr>
          <w:p w14:paraId="3C2754EE">
            <w:pPr>
              <w:spacing w:line="360" w:lineRule="auto"/>
              <w:ind w:firstLine="100"/>
              <w:rPr>
                <w:rFonts w:hint="eastAsia" w:ascii="仿宋" w:hAnsi="仿宋" w:eastAsia="仿宋" w:cs="仿宋"/>
                <w:szCs w:val="21"/>
              </w:rPr>
            </w:pPr>
            <w:r>
              <w:rPr>
                <w:rFonts w:hint="eastAsia" w:ascii="仿宋" w:hAnsi="仿宋" w:eastAsia="仿宋" w:cs="仿宋"/>
                <w:szCs w:val="21"/>
              </w:rPr>
              <w:t>企业名称：</w:t>
            </w:r>
          </w:p>
        </w:tc>
      </w:tr>
      <w:tr w14:paraId="769BE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noWrap w:val="0"/>
            <w:vAlign w:val="center"/>
          </w:tcPr>
          <w:p w14:paraId="75570A4A">
            <w:pPr>
              <w:spacing w:line="360" w:lineRule="auto"/>
              <w:jc w:val="center"/>
              <w:rPr>
                <w:rFonts w:hint="eastAsia" w:ascii="仿宋" w:hAnsi="仿宋" w:eastAsia="仿宋" w:cs="仿宋"/>
                <w:szCs w:val="21"/>
              </w:rPr>
            </w:pPr>
            <w:r>
              <w:rPr>
                <w:rFonts w:hint="eastAsia" w:ascii="仿宋" w:hAnsi="仿宋" w:eastAsia="仿宋" w:cs="仿宋"/>
                <w:szCs w:val="21"/>
              </w:rPr>
              <w:t>2</w:t>
            </w:r>
          </w:p>
        </w:tc>
        <w:tc>
          <w:tcPr>
            <w:tcW w:w="8597" w:type="dxa"/>
            <w:gridSpan w:val="2"/>
            <w:tcBorders>
              <w:top w:val="single" w:color="auto" w:sz="6" w:space="0"/>
              <w:left w:val="single" w:color="auto" w:sz="6" w:space="0"/>
              <w:bottom w:val="single" w:color="auto" w:sz="6" w:space="0"/>
              <w:right w:val="single" w:color="auto" w:sz="6" w:space="0"/>
            </w:tcBorders>
            <w:noWrap w:val="0"/>
            <w:vAlign w:val="center"/>
          </w:tcPr>
          <w:p w14:paraId="42906D04">
            <w:pPr>
              <w:spacing w:line="360" w:lineRule="auto"/>
              <w:ind w:firstLine="100"/>
              <w:rPr>
                <w:rFonts w:hint="eastAsia" w:ascii="仿宋" w:hAnsi="仿宋" w:eastAsia="仿宋" w:cs="仿宋"/>
                <w:szCs w:val="21"/>
              </w:rPr>
            </w:pPr>
            <w:r>
              <w:rPr>
                <w:rFonts w:hint="eastAsia" w:ascii="仿宋" w:hAnsi="仿宋" w:eastAsia="仿宋" w:cs="仿宋"/>
                <w:szCs w:val="21"/>
              </w:rPr>
              <w:t>企业地址：</w:t>
            </w:r>
          </w:p>
        </w:tc>
      </w:tr>
      <w:tr w14:paraId="71895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noWrap w:val="0"/>
            <w:vAlign w:val="center"/>
          </w:tcPr>
          <w:p w14:paraId="78DC5DCB">
            <w:pPr>
              <w:spacing w:line="360" w:lineRule="auto"/>
              <w:jc w:val="center"/>
              <w:rPr>
                <w:rFonts w:hint="eastAsia" w:ascii="仿宋" w:hAnsi="仿宋" w:eastAsia="仿宋" w:cs="仿宋"/>
                <w:szCs w:val="21"/>
              </w:rPr>
            </w:pPr>
            <w:r>
              <w:rPr>
                <w:rFonts w:hint="eastAsia" w:ascii="仿宋" w:hAnsi="仿宋" w:eastAsia="仿宋" w:cs="仿宋"/>
                <w:szCs w:val="21"/>
              </w:rPr>
              <w:t>3</w:t>
            </w:r>
          </w:p>
        </w:tc>
        <w:tc>
          <w:tcPr>
            <w:tcW w:w="8597" w:type="dxa"/>
            <w:gridSpan w:val="2"/>
            <w:tcBorders>
              <w:top w:val="single" w:color="auto" w:sz="6" w:space="0"/>
              <w:left w:val="single" w:color="auto" w:sz="6" w:space="0"/>
              <w:bottom w:val="single" w:color="auto" w:sz="6" w:space="0"/>
              <w:right w:val="single" w:color="auto" w:sz="6" w:space="0"/>
            </w:tcBorders>
            <w:noWrap w:val="0"/>
            <w:vAlign w:val="center"/>
          </w:tcPr>
          <w:p w14:paraId="7BCA9E2B">
            <w:pPr>
              <w:spacing w:line="360" w:lineRule="auto"/>
              <w:ind w:firstLine="100"/>
              <w:rPr>
                <w:rFonts w:hint="eastAsia" w:ascii="仿宋" w:hAnsi="仿宋" w:eastAsia="仿宋" w:cs="仿宋"/>
                <w:szCs w:val="21"/>
              </w:rPr>
            </w:pPr>
            <w:r>
              <w:rPr>
                <w:rFonts w:hint="eastAsia" w:ascii="仿宋" w:hAnsi="仿宋" w:eastAsia="仿宋" w:cs="仿宋"/>
                <w:szCs w:val="21"/>
              </w:rPr>
              <w:t>所有资质：</w:t>
            </w:r>
          </w:p>
        </w:tc>
      </w:tr>
      <w:tr w14:paraId="56216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noWrap w:val="0"/>
            <w:vAlign w:val="center"/>
          </w:tcPr>
          <w:p w14:paraId="79284599">
            <w:pPr>
              <w:spacing w:line="360" w:lineRule="auto"/>
              <w:jc w:val="center"/>
              <w:rPr>
                <w:rFonts w:hint="eastAsia" w:ascii="仿宋" w:hAnsi="仿宋" w:eastAsia="仿宋" w:cs="仿宋"/>
                <w:szCs w:val="21"/>
              </w:rPr>
            </w:pPr>
            <w:r>
              <w:rPr>
                <w:rFonts w:hint="eastAsia" w:ascii="仿宋" w:hAnsi="仿宋" w:eastAsia="仿宋" w:cs="仿宋"/>
                <w:szCs w:val="21"/>
              </w:rPr>
              <w:t>4</w:t>
            </w:r>
          </w:p>
        </w:tc>
        <w:tc>
          <w:tcPr>
            <w:tcW w:w="3859" w:type="dxa"/>
            <w:tcBorders>
              <w:top w:val="single" w:color="auto" w:sz="6" w:space="0"/>
              <w:left w:val="single" w:color="auto" w:sz="6" w:space="0"/>
              <w:bottom w:val="single" w:color="auto" w:sz="6" w:space="0"/>
              <w:right w:val="single" w:color="auto" w:sz="6" w:space="0"/>
            </w:tcBorders>
            <w:noWrap w:val="0"/>
            <w:vAlign w:val="center"/>
          </w:tcPr>
          <w:p w14:paraId="6AADB942">
            <w:pPr>
              <w:spacing w:line="360" w:lineRule="auto"/>
              <w:ind w:firstLine="100"/>
              <w:rPr>
                <w:rFonts w:hint="eastAsia" w:ascii="仿宋" w:hAnsi="仿宋" w:eastAsia="仿宋" w:cs="仿宋"/>
                <w:szCs w:val="21"/>
              </w:rPr>
            </w:pPr>
            <w:r>
              <w:rPr>
                <w:rFonts w:hint="eastAsia" w:ascii="仿宋" w:hAnsi="仿宋" w:eastAsia="仿宋" w:cs="仿宋"/>
                <w:szCs w:val="21"/>
              </w:rPr>
              <w:t>电话</w:t>
            </w:r>
          </w:p>
        </w:tc>
        <w:tc>
          <w:tcPr>
            <w:tcW w:w="4738" w:type="dxa"/>
            <w:tcBorders>
              <w:top w:val="single" w:color="auto" w:sz="6" w:space="0"/>
              <w:left w:val="single" w:color="auto" w:sz="6" w:space="0"/>
              <w:bottom w:val="single" w:color="auto" w:sz="6" w:space="0"/>
              <w:right w:val="single" w:color="auto" w:sz="6" w:space="0"/>
            </w:tcBorders>
            <w:noWrap w:val="0"/>
            <w:vAlign w:val="center"/>
          </w:tcPr>
          <w:p w14:paraId="798A8649">
            <w:pPr>
              <w:spacing w:line="360" w:lineRule="auto"/>
              <w:ind w:firstLine="100"/>
              <w:rPr>
                <w:rFonts w:hint="eastAsia" w:ascii="仿宋" w:hAnsi="仿宋" w:eastAsia="仿宋" w:cs="仿宋"/>
                <w:szCs w:val="21"/>
              </w:rPr>
            </w:pPr>
            <w:r>
              <w:rPr>
                <w:rFonts w:hint="eastAsia" w:ascii="仿宋" w:hAnsi="仿宋" w:eastAsia="仿宋" w:cs="仿宋"/>
                <w:szCs w:val="21"/>
              </w:rPr>
              <w:t>联系人</w:t>
            </w:r>
          </w:p>
        </w:tc>
      </w:tr>
      <w:tr w14:paraId="65884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noWrap w:val="0"/>
            <w:vAlign w:val="center"/>
          </w:tcPr>
          <w:p w14:paraId="05A7494A">
            <w:pPr>
              <w:spacing w:line="360" w:lineRule="auto"/>
              <w:jc w:val="center"/>
              <w:rPr>
                <w:rFonts w:hint="eastAsia" w:ascii="仿宋" w:hAnsi="仿宋" w:eastAsia="仿宋" w:cs="仿宋"/>
                <w:szCs w:val="21"/>
              </w:rPr>
            </w:pPr>
            <w:r>
              <w:rPr>
                <w:rFonts w:hint="eastAsia" w:ascii="仿宋" w:hAnsi="仿宋" w:eastAsia="仿宋" w:cs="仿宋"/>
                <w:szCs w:val="21"/>
              </w:rPr>
              <w:t>5</w:t>
            </w:r>
          </w:p>
        </w:tc>
        <w:tc>
          <w:tcPr>
            <w:tcW w:w="3859" w:type="dxa"/>
            <w:tcBorders>
              <w:top w:val="single" w:color="auto" w:sz="6" w:space="0"/>
              <w:left w:val="single" w:color="auto" w:sz="6" w:space="0"/>
              <w:bottom w:val="single" w:color="auto" w:sz="6" w:space="0"/>
              <w:right w:val="single" w:color="auto" w:sz="6" w:space="0"/>
            </w:tcBorders>
            <w:noWrap w:val="0"/>
            <w:vAlign w:val="center"/>
          </w:tcPr>
          <w:p w14:paraId="0DD5F298">
            <w:pPr>
              <w:spacing w:line="360" w:lineRule="auto"/>
              <w:ind w:firstLine="100"/>
              <w:rPr>
                <w:rFonts w:hint="eastAsia" w:ascii="仿宋" w:hAnsi="仿宋" w:eastAsia="仿宋" w:cs="仿宋"/>
                <w:szCs w:val="21"/>
              </w:rPr>
            </w:pPr>
            <w:r>
              <w:rPr>
                <w:rFonts w:hint="eastAsia" w:ascii="仿宋" w:hAnsi="仿宋" w:eastAsia="仿宋" w:cs="仿宋"/>
                <w:szCs w:val="21"/>
              </w:rPr>
              <w:t>传真</w:t>
            </w:r>
          </w:p>
        </w:tc>
        <w:tc>
          <w:tcPr>
            <w:tcW w:w="4738" w:type="dxa"/>
            <w:tcBorders>
              <w:top w:val="single" w:color="auto" w:sz="6" w:space="0"/>
              <w:left w:val="single" w:color="auto" w:sz="6" w:space="0"/>
              <w:bottom w:val="single" w:color="auto" w:sz="6" w:space="0"/>
              <w:right w:val="single" w:color="auto" w:sz="6" w:space="0"/>
            </w:tcBorders>
            <w:noWrap w:val="0"/>
            <w:vAlign w:val="center"/>
          </w:tcPr>
          <w:p w14:paraId="765DD42F">
            <w:pPr>
              <w:spacing w:line="360" w:lineRule="auto"/>
              <w:ind w:firstLine="100"/>
              <w:rPr>
                <w:rFonts w:hint="eastAsia" w:ascii="仿宋" w:hAnsi="仿宋" w:eastAsia="仿宋" w:cs="仿宋"/>
                <w:szCs w:val="21"/>
              </w:rPr>
            </w:pPr>
            <w:r>
              <w:rPr>
                <w:rFonts w:hint="eastAsia" w:ascii="仿宋" w:hAnsi="仿宋" w:eastAsia="仿宋" w:cs="仿宋"/>
                <w:szCs w:val="21"/>
              </w:rPr>
              <w:t>电子邮箱</w:t>
            </w:r>
          </w:p>
        </w:tc>
      </w:tr>
      <w:tr w14:paraId="02352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noWrap w:val="0"/>
            <w:vAlign w:val="center"/>
          </w:tcPr>
          <w:p w14:paraId="2FEA8A20">
            <w:pPr>
              <w:spacing w:line="360" w:lineRule="auto"/>
              <w:jc w:val="center"/>
              <w:rPr>
                <w:rFonts w:hint="eastAsia" w:ascii="仿宋" w:hAnsi="仿宋" w:eastAsia="仿宋" w:cs="仿宋"/>
                <w:szCs w:val="21"/>
              </w:rPr>
            </w:pPr>
            <w:r>
              <w:rPr>
                <w:rFonts w:hint="eastAsia" w:ascii="仿宋" w:hAnsi="仿宋" w:eastAsia="仿宋" w:cs="仿宋"/>
                <w:szCs w:val="21"/>
              </w:rPr>
              <w:t>6</w:t>
            </w:r>
          </w:p>
        </w:tc>
        <w:tc>
          <w:tcPr>
            <w:tcW w:w="3859" w:type="dxa"/>
            <w:tcBorders>
              <w:top w:val="single" w:color="auto" w:sz="6" w:space="0"/>
              <w:left w:val="single" w:color="auto" w:sz="6" w:space="0"/>
              <w:bottom w:val="single" w:color="auto" w:sz="6" w:space="0"/>
              <w:right w:val="single" w:color="auto" w:sz="6" w:space="0"/>
            </w:tcBorders>
            <w:noWrap w:val="0"/>
            <w:vAlign w:val="center"/>
          </w:tcPr>
          <w:p w14:paraId="0B7DECC9">
            <w:pPr>
              <w:spacing w:line="360" w:lineRule="auto"/>
              <w:ind w:firstLine="100"/>
              <w:rPr>
                <w:rFonts w:hint="eastAsia" w:ascii="仿宋" w:hAnsi="仿宋" w:eastAsia="仿宋" w:cs="仿宋"/>
                <w:szCs w:val="21"/>
              </w:rPr>
            </w:pPr>
            <w:r>
              <w:rPr>
                <w:rFonts w:hint="eastAsia" w:ascii="仿宋" w:hAnsi="仿宋" w:eastAsia="仿宋" w:cs="仿宋"/>
                <w:szCs w:val="21"/>
              </w:rPr>
              <w:t>注册地</w:t>
            </w:r>
          </w:p>
        </w:tc>
        <w:tc>
          <w:tcPr>
            <w:tcW w:w="4738" w:type="dxa"/>
            <w:tcBorders>
              <w:top w:val="single" w:color="auto" w:sz="6" w:space="0"/>
              <w:left w:val="single" w:color="auto" w:sz="6" w:space="0"/>
              <w:bottom w:val="single" w:color="auto" w:sz="6" w:space="0"/>
              <w:right w:val="single" w:color="auto" w:sz="6" w:space="0"/>
            </w:tcBorders>
            <w:noWrap w:val="0"/>
            <w:vAlign w:val="center"/>
          </w:tcPr>
          <w:p w14:paraId="74360F98">
            <w:pPr>
              <w:spacing w:line="360" w:lineRule="auto"/>
              <w:ind w:firstLine="100"/>
              <w:rPr>
                <w:rFonts w:hint="eastAsia" w:ascii="仿宋" w:hAnsi="仿宋" w:eastAsia="仿宋" w:cs="仿宋"/>
                <w:szCs w:val="21"/>
              </w:rPr>
            </w:pPr>
            <w:r>
              <w:rPr>
                <w:rFonts w:hint="eastAsia" w:ascii="仿宋" w:hAnsi="仿宋" w:eastAsia="仿宋" w:cs="仿宋"/>
                <w:szCs w:val="21"/>
              </w:rPr>
              <w:t xml:space="preserve">注册年份 </w:t>
            </w:r>
          </w:p>
        </w:tc>
      </w:tr>
      <w:tr w14:paraId="2C29E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79" w:type="dxa"/>
            <w:tcBorders>
              <w:top w:val="single" w:color="auto" w:sz="6" w:space="0"/>
              <w:left w:val="single" w:color="auto" w:sz="6" w:space="0"/>
              <w:bottom w:val="single" w:color="auto" w:sz="6" w:space="0"/>
              <w:right w:val="single" w:color="auto" w:sz="6" w:space="0"/>
            </w:tcBorders>
            <w:noWrap w:val="0"/>
            <w:vAlign w:val="center"/>
          </w:tcPr>
          <w:p w14:paraId="79A40053">
            <w:pPr>
              <w:spacing w:line="360" w:lineRule="auto"/>
              <w:jc w:val="center"/>
              <w:rPr>
                <w:rFonts w:hint="eastAsia" w:ascii="仿宋" w:hAnsi="仿宋" w:eastAsia="仿宋" w:cs="仿宋"/>
                <w:szCs w:val="21"/>
              </w:rPr>
            </w:pPr>
            <w:r>
              <w:rPr>
                <w:rFonts w:hint="eastAsia" w:ascii="仿宋" w:hAnsi="仿宋" w:eastAsia="仿宋" w:cs="仿宋"/>
                <w:szCs w:val="21"/>
              </w:rPr>
              <w:t>7</w:t>
            </w:r>
          </w:p>
        </w:tc>
        <w:tc>
          <w:tcPr>
            <w:tcW w:w="8597" w:type="dxa"/>
            <w:gridSpan w:val="2"/>
            <w:tcBorders>
              <w:top w:val="single" w:color="auto" w:sz="6" w:space="0"/>
              <w:left w:val="single" w:color="auto" w:sz="6" w:space="0"/>
              <w:bottom w:val="single" w:color="auto" w:sz="6" w:space="0"/>
              <w:right w:val="single" w:color="auto" w:sz="6" w:space="0"/>
            </w:tcBorders>
            <w:noWrap w:val="0"/>
            <w:vAlign w:val="center"/>
          </w:tcPr>
          <w:p w14:paraId="5FC2A9D4">
            <w:pPr>
              <w:spacing w:line="360" w:lineRule="auto"/>
              <w:ind w:firstLine="100"/>
              <w:rPr>
                <w:rFonts w:hint="eastAsia" w:ascii="仿宋" w:hAnsi="仿宋" w:eastAsia="仿宋" w:cs="仿宋"/>
                <w:szCs w:val="21"/>
              </w:rPr>
            </w:pPr>
            <w:r>
              <w:rPr>
                <w:rFonts w:hint="eastAsia" w:ascii="仿宋" w:hAnsi="仿宋" w:eastAsia="仿宋" w:cs="仿宋"/>
                <w:szCs w:val="21"/>
              </w:rPr>
              <w:t>统一社会信用代码：                       （请附营业执照复印件）</w:t>
            </w:r>
          </w:p>
        </w:tc>
      </w:tr>
      <w:tr w14:paraId="11B07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1" w:hRule="atLeast"/>
          <w:jc w:val="center"/>
        </w:trPr>
        <w:tc>
          <w:tcPr>
            <w:tcW w:w="579" w:type="dxa"/>
            <w:tcBorders>
              <w:top w:val="single" w:color="auto" w:sz="6" w:space="0"/>
              <w:left w:val="single" w:color="auto" w:sz="6" w:space="0"/>
              <w:bottom w:val="single" w:color="auto" w:sz="6" w:space="0"/>
              <w:right w:val="single" w:color="auto" w:sz="6" w:space="0"/>
            </w:tcBorders>
            <w:noWrap w:val="0"/>
            <w:vAlign w:val="center"/>
          </w:tcPr>
          <w:p w14:paraId="1A3F8E46">
            <w:pPr>
              <w:spacing w:line="360" w:lineRule="auto"/>
              <w:jc w:val="center"/>
              <w:rPr>
                <w:rFonts w:hint="eastAsia" w:ascii="仿宋" w:hAnsi="仿宋" w:eastAsia="仿宋" w:cs="仿宋"/>
                <w:szCs w:val="21"/>
              </w:rPr>
            </w:pPr>
            <w:r>
              <w:rPr>
                <w:rFonts w:hint="eastAsia" w:ascii="仿宋" w:hAnsi="仿宋" w:eastAsia="仿宋" w:cs="仿宋"/>
                <w:szCs w:val="21"/>
              </w:rPr>
              <w:t>8</w:t>
            </w:r>
          </w:p>
        </w:tc>
        <w:tc>
          <w:tcPr>
            <w:tcW w:w="8597" w:type="dxa"/>
            <w:gridSpan w:val="2"/>
            <w:tcBorders>
              <w:top w:val="single" w:color="auto" w:sz="6" w:space="0"/>
              <w:left w:val="single" w:color="auto" w:sz="6" w:space="0"/>
              <w:bottom w:val="single" w:color="auto" w:sz="6" w:space="0"/>
              <w:right w:val="single" w:color="auto" w:sz="6" w:space="0"/>
            </w:tcBorders>
            <w:noWrap w:val="0"/>
            <w:vAlign w:val="center"/>
          </w:tcPr>
          <w:p w14:paraId="17D624A0">
            <w:pPr>
              <w:spacing w:line="360" w:lineRule="auto"/>
              <w:ind w:firstLine="100"/>
              <w:rPr>
                <w:rFonts w:hint="eastAsia" w:ascii="仿宋" w:hAnsi="仿宋" w:eastAsia="仿宋" w:cs="仿宋"/>
                <w:szCs w:val="21"/>
              </w:rPr>
            </w:pPr>
            <w:r>
              <w:rPr>
                <w:rFonts w:hint="eastAsia" w:ascii="仿宋" w:hAnsi="仿宋" w:eastAsia="仿宋" w:cs="仿宋"/>
                <w:szCs w:val="21"/>
              </w:rPr>
              <w:t>主营范围：</w:t>
            </w:r>
          </w:p>
          <w:p w14:paraId="1CF37F88">
            <w:pPr>
              <w:spacing w:line="360" w:lineRule="auto"/>
              <w:ind w:firstLine="100"/>
              <w:rPr>
                <w:rFonts w:hint="eastAsia" w:ascii="仿宋" w:hAnsi="仿宋" w:eastAsia="仿宋" w:cs="仿宋"/>
                <w:szCs w:val="21"/>
                <w:u w:val="single"/>
              </w:rPr>
            </w:pPr>
            <w:r>
              <w:rPr>
                <w:rFonts w:hint="eastAsia" w:ascii="仿宋" w:hAnsi="仿宋" w:eastAsia="仿宋" w:cs="仿宋"/>
                <w:szCs w:val="21"/>
              </w:rPr>
              <w:t>1、</w:t>
            </w:r>
            <w:r>
              <w:rPr>
                <w:rFonts w:hint="eastAsia" w:ascii="仿宋" w:hAnsi="仿宋" w:eastAsia="仿宋" w:cs="仿宋"/>
                <w:szCs w:val="21"/>
                <w:u w:val="single"/>
              </w:rPr>
              <w:tab/>
            </w:r>
            <w:r>
              <w:rPr>
                <w:rFonts w:hint="eastAsia" w:ascii="仿宋" w:hAnsi="仿宋" w:eastAsia="仿宋" w:cs="仿宋"/>
                <w:szCs w:val="21"/>
                <w:u w:val="single"/>
              </w:rPr>
              <w:t xml:space="preserve">                                                             </w:t>
            </w:r>
            <w:r>
              <w:rPr>
                <w:rFonts w:hint="eastAsia" w:ascii="仿宋" w:hAnsi="仿宋" w:eastAsia="仿宋" w:cs="仿宋"/>
                <w:szCs w:val="21"/>
                <w:u w:val="single"/>
              </w:rPr>
              <w:tab/>
            </w:r>
            <w:r>
              <w:rPr>
                <w:rFonts w:hint="eastAsia" w:ascii="仿宋" w:hAnsi="仿宋" w:eastAsia="仿宋" w:cs="仿宋"/>
                <w:szCs w:val="21"/>
              </w:rPr>
              <w:t xml:space="preserve"> </w:t>
            </w:r>
          </w:p>
          <w:p w14:paraId="3CECE814">
            <w:pPr>
              <w:spacing w:line="360" w:lineRule="auto"/>
              <w:ind w:firstLine="100"/>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ab/>
            </w:r>
            <w:r>
              <w:rPr>
                <w:rFonts w:hint="eastAsia" w:ascii="仿宋" w:hAnsi="仿宋" w:eastAsia="仿宋" w:cs="仿宋"/>
                <w:szCs w:val="21"/>
                <w:u w:val="single"/>
              </w:rPr>
              <w:t xml:space="preserve">                                                               </w:t>
            </w:r>
            <w:r>
              <w:rPr>
                <w:rFonts w:hint="eastAsia" w:ascii="仿宋" w:hAnsi="仿宋" w:eastAsia="仿宋" w:cs="仿宋"/>
                <w:szCs w:val="21"/>
                <w:u w:val="single"/>
              </w:rPr>
              <w:tab/>
            </w:r>
            <w:r>
              <w:rPr>
                <w:rFonts w:hint="eastAsia" w:ascii="仿宋" w:hAnsi="仿宋" w:eastAsia="仿宋" w:cs="仿宋"/>
                <w:szCs w:val="21"/>
                <w:u w:val="single"/>
              </w:rPr>
              <w:t xml:space="preserve"> </w:t>
            </w:r>
          </w:p>
          <w:p w14:paraId="7D3BFDF5">
            <w:pPr>
              <w:spacing w:line="360" w:lineRule="auto"/>
              <w:ind w:firstLine="100"/>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u w:val="single"/>
              </w:rPr>
              <w:tab/>
            </w:r>
            <w:r>
              <w:rPr>
                <w:rFonts w:hint="eastAsia" w:ascii="仿宋" w:hAnsi="仿宋" w:eastAsia="仿宋" w:cs="仿宋"/>
                <w:szCs w:val="21"/>
                <w:u w:val="single"/>
              </w:rPr>
              <w:t xml:space="preserve">                                                               </w:t>
            </w:r>
            <w:r>
              <w:rPr>
                <w:rFonts w:hint="eastAsia" w:ascii="仿宋" w:hAnsi="仿宋" w:eastAsia="仿宋" w:cs="仿宋"/>
                <w:szCs w:val="21"/>
                <w:u w:val="single"/>
              </w:rPr>
              <w:tab/>
            </w:r>
            <w:r>
              <w:rPr>
                <w:rFonts w:hint="eastAsia" w:ascii="仿宋" w:hAnsi="仿宋" w:eastAsia="仿宋" w:cs="仿宋"/>
                <w:szCs w:val="21"/>
                <w:u w:val="single"/>
              </w:rPr>
              <w:t xml:space="preserve"> </w:t>
            </w:r>
          </w:p>
          <w:p w14:paraId="46002988">
            <w:pPr>
              <w:spacing w:line="360" w:lineRule="auto"/>
              <w:ind w:firstLine="10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szCs w:val="21"/>
                <w:u w:val="single"/>
              </w:rPr>
              <w:t xml:space="preserve"> </w:t>
            </w:r>
            <w:r>
              <w:rPr>
                <w:rFonts w:hint="eastAsia" w:ascii="仿宋" w:hAnsi="仿宋" w:eastAsia="仿宋" w:cs="仿宋"/>
                <w:szCs w:val="21"/>
                <w:u w:val="single"/>
              </w:rPr>
              <w:tab/>
            </w:r>
            <w:r>
              <w:rPr>
                <w:rFonts w:hint="eastAsia" w:ascii="仿宋" w:hAnsi="仿宋" w:eastAsia="仿宋" w:cs="仿宋"/>
                <w:szCs w:val="21"/>
                <w:u w:val="single"/>
              </w:rPr>
              <w:t xml:space="preserve">                                                               </w:t>
            </w:r>
            <w:r>
              <w:rPr>
                <w:rFonts w:hint="eastAsia" w:ascii="仿宋" w:hAnsi="仿宋" w:eastAsia="仿宋" w:cs="仿宋"/>
                <w:szCs w:val="21"/>
                <w:u w:val="single"/>
              </w:rPr>
              <w:tab/>
            </w:r>
          </w:p>
          <w:p w14:paraId="4DDFD7A9">
            <w:pPr>
              <w:spacing w:line="360" w:lineRule="auto"/>
              <w:ind w:firstLine="100"/>
              <w:rPr>
                <w:rFonts w:hint="eastAsia" w:ascii="仿宋" w:hAnsi="仿宋" w:eastAsia="仿宋" w:cs="仿宋"/>
                <w:szCs w:val="21"/>
              </w:rPr>
            </w:pPr>
            <w:r>
              <w:rPr>
                <w:rFonts w:hint="eastAsia" w:ascii="仿宋" w:hAnsi="仿宋" w:eastAsia="仿宋" w:cs="仿宋"/>
                <w:szCs w:val="21"/>
              </w:rPr>
              <w:t>…</w:t>
            </w:r>
          </w:p>
          <w:p w14:paraId="3A9F1380">
            <w:pPr>
              <w:spacing w:line="360" w:lineRule="auto"/>
              <w:ind w:firstLine="100"/>
              <w:rPr>
                <w:rFonts w:hint="eastAsia" w:ascii="仿宋" w:hAnsi="仿宋" w:eastAsia="仿宋" w:cs="仿宋"/>
                <w:szCs w:val="21"/>
              </w:rPr>
            </w:pPr>
            <w:r>
              <w:rPr>
                <w:rFonts w:hint="eastAsia" w:ascii="仿宋" w:hAnsi="仿宋" w:eastAsia="仿宋" w:cs="仿宋"/>
                <w:szCs w:val="21"/>
              </w:rPr>
              <w:t>…</w:t>
            </w:r>
          </w:p>
        </w:tc>
      </w:tr>
      <w:tr w14:paraId="614A4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80" w:hRule="atLeast"/>
          <w:jc w:val="center"/>
        </w:trPr>
        <w:tc>
          <w:tcPr>
            <w:tcW w:w="579" w:type="dxa"/>
            <w:tcBorders>
              <w:top w:val="single" w:color="auto" w:sz="6" w:space="0"/>
              <w:left w:val="single" w:color="auto" w:sz="6" w:space="0"/>
              <w:bottom w:val="single" w:color="auto" w:sz="6" w:space="0"/>
              <w:right w:val="single" w:color="auto" w:sz="6" w:space="0"/>
            </w:tcBorders>
            <w:noWrap w:val="0"/>
            <w:vAlign w:val="center"/>
          </w:tcPr>
          <w:p w14:paraId="458FD7E6">
            <w:pPr>
              <w:spacing w:line="360" w:lineRule="auto"/>
              <w:jc w:val="center"/>
              <w:rPr>
                <w:rFonts w:hint="eastAsia" w:ascii="仿宋" w:hAnsi="仿宋" w:eastAsia="仿宋" w:cs="仿宋"/>
                <w:szCs w:val="21"/>
              </w:rPr>
            </w:pPr>
            <w:r>
              <w:rPr>
                <w:rFonts w:hint="eastAsia" w:ascii="仿宋" w:hAnsi="仿宋" w:eastAsia="仿宋" w:cs="仿宋"/>
                <w:szCs w:val="21"/>
              </w:rPr>
              <w:t>9</w:t>
            </w:r>
          </w:p>
        </w:tc>
        <w:tc>
          <w:tcPr>
            <w:tcW w:w="8597" w:type="dxa"/>
            <w:gridSpan w:val="2"/>
            <w:tcBorders>
              <w:top w:val="single" w:color="auto" w:sz="6" w:space="0"/>
              <w:left w:val="single" w:color="auto" w:sz="6" w:space="0"/>
              <w:bottom w:val="single" w:color="auto" w:sz="6" w:space="0"/>
              <w:right w:val="single" w:color="auto" w:sz="6" w:space="0"/>
            </w:tcBorders>
            <w:noWrap w:val="0"/>
            <w:vAlign w:val="center"/>
          </w:tcPr>
          <w:p w14:paraId="3DB14727">
            <w:pPr>
              <w:spacing w:line="360" w:lineRule="auto"/>
              <w:ind w:firstLine="100"/>
              <w:rPr>
                <w:rFonts w:hint="eastAsia" w:ascii="仿宋" w:hAnsi="仿宋" w:eastAsia="仿宋" w:cs="仿宋"/>
                <w:szCs w:val="21"/>
              </w:rPr>
            </w:pPr>
            <w:r>
              <w:rPr>
                <w:rFonts w:hint="eastAsia" w:ascii="仿宋" w:hAnsi="仿宋" w:eastAsia="仿宋" w:cs="仿宋"/>
                <w:szCs w:val="21"/>
              </w:rPr>
              <w:t>其他需要说明的情况</w:t>
            </w:r>
          </w:p>
        </w:tc>
      </w:tr>
    </w:tbl>
    <w:p w14:paraId="74AD68EA">
      <w:pPr>
        <w:spacing w:line="360" w:lineRule="auto"/>
        <w:rPr>
          <w:rFonts w:hint="eastAsia" w:ascii="仿宋" w:hAnsi="仿宋" w:eastAsia="仿宋" w:cs="仿宋"/>
          <w:sz w:val="18"/>
          <w:szCs w:val="28"/>
        </w:rPr>
      </w:pPr>
    </w:p>
    <w:p w14:paraId="4F31BBCC">
      <w:pPr>
        <w:spacing w:line="360" w:lineRule="auto"/>
        <w:rPr>
          <w:rFonts w:hint="eastAsia" w:ascii="仿宋" w:hAnsi="仿宋" w:eastAsia="仿宋" w:cs="仿宋"/>
          <w:szCs w:val="21"/>
        </w:rPr>
      </w:pPr>
      <w:r>
        <w:rPr>
          <w:rFonts w:hint="eastAsia" w:ascii="仿宋" w:hAnsi="仿宋" w:eastAsia="仿宋" w:cs="仿宋"/>
          <w:szCs w:val="21"/>
        </w:rPr>
        <w:t>注：1、附投标人简介（包括投标人固定经营场所、从业人员、技术能力等）。</w:t>
      </w:r>
    </w:p>
    <w:p w14:paraId="0BF08209">
      <w:pPr>
        <w:spacing w:line="360" w:lineRule="auto"/>
        <w:rPr>
          <w:rFonts w:hint="eastAsia" w:ascii="仿宋" w:hAnsi="仿宋" w:eastAsia="仿宋" w:cs="仿宋"/>
          <w:szCs w:val="21"/>
        </w:rPr>
      </w:pPr>
      <w:r>
        <w:rPr>
          <w:rFonts w:hint="eastAsia" w:ascii="仿宋" w:hAnsi="仿宋" w:eastAsia="仿宋" w:cs="仿宋"/>
          <w:szCs w:val="21"/>
        </w:rPr>
        <w:t>2、附投标人的营业执照。</w:t>
      </w:r>
    </w:p>
    <w:p w14:paraId="4C04C801">
      <w:pPr>
        <w:spacing w:before="60" w:after="60" w:line="480" w:lineRule="auto"/>
        <w:rPr>
          <w:rFonts w:hint="eastAsia" w:ascii="仿宋" w:hAnsi="仿宋" w:eastAsia="仿宋" w:cs="仿宋"/>
          <w:szCs w:val="21"/>
        </w:rPr>
      </w:pPr>
    </w:p>
    <w:p w14:paraId="700D3F9F">
      <w:pPr>
        <w:spacing w:before="60" w:after="60" w:line="480" w:lineRule="auto"/>
        <w:rPr>
          <w:rFonts w:hint="eastAsia" w:ascii="仿宋" w:hAnsi="仿宋" w:eastAsia="仿宋" w:cs="仿宋"/>
          <w:szCs w:val="21"/>
        </w:rPr>
      </w:pPr>
      <w:r>
        <w:rPr>
          <w:rFonts w:hint="eastAsia" w:ascii="仿宋" w:hAnsi="仿宋" w:eastAsia="仿宋" w:cs="仿宋"/>
          <w:szCs w:val="21"/>
        </w:rPr>
        <w:t>投标人全称(加盖电子公章)：</w:t>
      </w:r>
      <w:r>
        <w:rPr>
          <w:rFonts w:hint="eastAsia" w:ascii="仿宋" w:hAnsi="仿宋" w:eastAsia="仿宋" w:cs="仿宋"/>
          <w:szCs w:val="21"/>
          <w:u w:val="single"/>
        </w:rPr>
        <w:t xml:space="preserve">                                  </w:t>
      </w:r>
    </w:p>
    <w:p w14:paraId="52F30408">
      <w:pPr>
        <w:spacing w:before="60" w:after="60" w:line="480" w:lineRule="auto"/>
        <w:rPr>
          <w:rFonts w:hint="eastAsia" w:ascii="仿宋" w:hAnsi="仿宋" w:eastAsia="仿宋" w:cs="仿宋"/>
          <w:szCs w:val="21"/>
          <w:u w:val="single"/>
        </w:rPr>
      </w:pPr>
      <w:r>
        <w:rPr>
          <w:rFonts w:hint="eastAsia" w:ascii="仿宋" w:hAnsi="仿宋" w:eastAsia="仿宋" w:cs="仿宋"/>
          <w:szCs w:val="21"/>
        </w:rPr>
        <w:t>法定代表人或委托代理人（电子签名）：</w:t>
      </w:r>
      <w:r>
        <w:rPr>
          <w:rFonts w:hint="eastAsia" w:ascii="仿宋" w:hAnsi="仿宋" w:eastAsia="仿宋" w:cs="仿宋"/>
          <w:szCs w:val="21"/>
          <w:u w:val="single"/>
        </w:rPr>
        <w:t xml:space="preserve">                      </w:t>
      </w:r>
    </w:p>
    <w:p w14:paraId="39A91A5D">
      <w:pPr>
        <w:spacing w:before="60" w:after="60" w:line="480" w:lineRule="auto"/>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69028004">
      <w:pPr>
        <w:rPr>
          <w:rFonts w:hint="eastAsia" w:ascii="仿宋" w:hAnsi="仿宋" w:eastAsia="仿宋" w:cs="仿宋"/>
        </w:rPr>
      </w:pPr>
      <w:bookmarkStart w:id="64" w:name="_Toc111813235"/>
      <w:bookmarkStart w:id="65" w:name="_Toc10117028"/>
      <w:bookmarkStart w:id="66" w:name="_Toc166764606"/>
      <w:bookmarkStart w:id="67" w:name="_Toc520749007"/>
      <w:r>
        <w:rPr>
          <w:rFonts w:hint="eastAsia" w:ascii="仿宋" w:hAnsi="仿宋" w:eastAsia="仿宋" w:cs="仿宋"/>
        </w:rPr>
        <w:br w:type="page"/>
      </w:r>
    </w:p>
    <w:p w14:paraId="6701654B">
      <w:pPr>
        <w:pStyle w:val="5"/>
        <w:numPr>
          <w:ilvl w:val="2"/>
          <w:numId w:val="0"/>
        </w:numPr>
        <w:tabs>
          <w:tab w:val="clear" w:pos="900"/>
        </w:tabs>
        <w:spacing w:line="360" w:lineRule="auto"/>
        <w:jc w:val="center"/>
        <w:rPr>
          <w:rFonts w:hint="eastAsia" w:ascii="仿宋" w:hAnsi="仿宋" w:eastAsia="仿宋" w:cs="仿宋"/>
        </w:rPr>
      </w:pPr>
      <w:r>
        <w:rPr>
          <w:rFonts w:hint="eastAsia" w:ascii="仿宋" w:hAnsi="仿宋" w:eastAsia="仿宋" w:cs="仿宋"/>
        </w:rPr>
        <w:t>（五）营业执照</w:t>
      </w:r>
      <w:bookmarkEnd w:id="64"/>
      <w:bookmarkEnd w:id="65"/>
      <w:bookmarkEnd w:id="66"/>
      <w:bookmarkEnd w:id="67"/>
    </w:p>
    <w:p w14:paraId="3C187038">
      <w:pPr>
        <w:spacing w:line="360" w:lineRule="auto"/>
        <w:ind w:firstLine="540" w:firstLineChars="225"/>
        <w:jc w:val="center"/>
        <w:rPr>
          <w:rFonts w:hint="eastAsia" w:ascii="仿宋" w:hAnsi="仿宋" w:eastAsia="仿宋" w:cs="仿宋"/>
          <w:sz w:val="24"/>
        </w:rPr>
      </w:pPr>
      <w:r>
        <w:rPr>
          <w:rFonts w:hint="eastAsia" w:ascii="仿宋" w:hAnsi="仿宋" w:eastAsia="仿宋" w:cs="仿宋"/>
          <w:sz w:val="24"/>
        </w:rPr>
        <w:t>投标人具有独立承担民事责任的能力，提供法人或者其他组织的营业执照等证明文件（扫描件加盖电子公章）。</w:t>
      </w:r>
    </w:p>
    <w:p w14:paraId="6F66CEDB">
      <w:pPr>
        <w:rPr>
          <w:rFonts w:hint="eastAsia" w:ascii="仿宋" w:hAnsi="仿宋" w:eastAsia="仿宋" w:cs="仿宋"/>
          <w:sz w:val="24"/>
        </w:rPr>
      </w:pPr>
      <w:r>
        <w:rPr>
          <w:rFonts w:hint="eastAsia" w:ascii="仿宋" w:hAnsi="仿宋" w:eastAsia="仿宋" w:cs="仿宋"/>
          <w:sz w:val="24"/>
        </w:rPr>
        <w:br w:type="page"/>
      </w:r>
    </w:p>
    <w:p w14:paraId="703E59AD">
      <w:pPr>
        <w:spacing w:line="360" w:lineRule="auto"/>
        <w:ind w:firstLine="540" w:firstLineChars="225"/>
        <w:jc w:val="center"/>
        <w:rPr>
          <w:rFonts w:hint="eastAsia" w:ascii="仿宋" w:hAnsi="仿宋" w:eastAsia="仿宋" w:cs="仿宋"/>
          <w:sz w:val="24"/>
        </w:rPr>
      </w:pPr>
    </w:p>
    <w:p w14:paraId="61FBAAB5">
      <w:pPr>
        <w:pStyle w:val="5"/>
        <w:numPr>
          <w:ilvl w:val="2"/>
          <w:numId w:val="0"/>
        </w:numPr>
        <w:tabs>
          <w:tab w:val="clear" w:pos="900"/>
        </w:tabs>
        <w:spacing w:line="360" w:lineRule="auto"/>
        <w:jc w:val="center"/>
        <w:rPr>
          <w:rFonts w:hint="eastAsia" w:ascii="仿宋" w:hAnsi="仿宋" w:eastAsia="仿宋" w:cs="仿宋"/>
        </w:rPr>
      </w:pPr>
      <w:bookmarkStart w:id="68" w:name="_Toc111813236"/>
      <w:bookmarkStart w:id="69" w:name="_Toc10117029"/>
      <w:bookmarkStart w:id="70" w:name="_Toc166764607"/>
      <w:r>
        <w:rPr>
          <w:rFonts w:hint="eastAsia" w:ascii="仿宋" w:hAnsi="仿宋" w:eastAsia="仿宋" w:cs="仿宋"/>
        </w:rPr>
        <w:t>（</w:t>
      </w:r>
      <w:r>
        <w:rPr>
          <w:rFonts w:hint="eastAsia" w:ascii="仿宋" w:hAnsi="仿宋" w:eastAsia="仿宋" w:cs="仿宋"/>
          <w:lang w:val="en-US" w:eastAsia="zh-CN"/>
        </w:rPr>
        <w:t>六</w:t>
      </w:r>
      <w:r>
        <w:rPr>
          <w:rFonts w:hint="eastAsia" w:ascii="仿宋" w:hAnsi="仿宋" w:eastAsia="仿宋" w:cs="仿宋"/>
        </w:rPr>
        <w:t>）具有良好的商业信誉和健全的财务会计制度</w:t>
      </w:r>
      <w:bookmarkEnd w:id="68"/>
      <w:bookmarkEnd w:id="69"/>
      <w:bookmarkEnd w:id="70"/>
    </w:p>
    <w:p w14:paraId="6A9AA381">
      <w:pPr>
        <w:spacing w:line="360" w:lineRule="auto"/>
        <w:ind w:firstLine="540" w:firstLineChars="225"/>
        <w:jc w:val="center"/>
        <w:rPr>
          <w:rFonts w:hint="eastAsia" w:ascii="仿宋" w:hAnsi="仿宋" w:eastAsia="仿宋" w:cs="仿宋"/>
          <w:sz w:val="24"/>
        </w:rPr>
      </w:pPr>
      <w:r>
        <w:rPr>
          <w:rFonts w:hint="eastAsia" w:ascii="仿宋" w:hAnsi="仿宋" w:eastAsia="仿宋" w:cs="仿宋"/>
          <w:i w:val="0"/>
          <w:iCs w:val="0"/>
          <w:color w:val="auto"/>
          <w:sz w:val="24"/>
          <w:szCs w:val="24"/>
          <w:lang w:val="en-US" w:eastAsia="zh-CN"/>
        </w:rPr>
        <w:t>具有良好的商业信誉和健全的财务会计制度；（提供2021年度至本项目投标文件提交截止时间前任意一年经会计师事务所或审计机构审计的审计报告及财务报表（包括资产负债表、利润表、现金流量表及财务情况说明书（附注））或公司内部完整的财务报表（包括资产负债表、利润表、现金流量表），成立不满1年的供应商提供自成立以来公司内部完整的财务报表（包括资产负债表、利润表、现金流量表）或投标文件提交截止时间前3个月内由银行开具的资信证明文件（或资金证明文件）或有良好的商业信誉和健全的财务会计制度的承诺函）。</w:t>
      </w:r>
    </w:p>
    <w:p w14:paraId="772284C9">
      <w:pPr>
        <w:numPr>
          <w:ilvl w:val="0"/>
          <w:numId w:val="0"/>
        </w:numPr>
        <w:spacing w:line="360" w:lineRule="auto"/>
        <w:jc w:val="center"/>
        <w:outlineLvl w:val="9"/>
        <w:rPr>
          <w:rFonts w:hint="eastAsia" w:ascii="仿宋" w:hAnsi="仿宋" w:eastAsia="仿宋" w:cs="仿宋"/>
        </w:rPr>
      </w:pPr>
      <w:bookmarkStart w:id="71" w:name="_Toc520749008"/>
      <w:bookmarkStart w:id="72" w:name="_Toc111813237"/>
      <w:bookmarkStart w:id="73" w:name="_Toc166764608"/>
      <w:bookmarkStart w:id="74" w:name="_Toc10117030"/>
    </w:p>
    <w:p w14:paraId="6DB55BEC">
      <w:pPr>
        <w:pStyle w:val="5"/>
        <w:numPr>
          <w:ilvl w:val="2"/>
          <w:numId w:val="0"/>
        </w:numPr>
        <w:tabs>
          <w:tab w:val="clear" w:pos="900"/>
        </w:tabs>
        <w:spacing w:line="360" w:lineRule="auto"/>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七</w:t>
      </w:r>
      <w:r>
        <w:rPr>
          <w:rFonts w:hint="eastAsia" w:ascii="仿宋" w:hAnsi="仿宋" w:eastAsia="仿宋" w:cs="仿宋"/>
        </w:rPr>
        <w:t>）</w:t>
      </w:r>
      <w:bookmarkEnd w:id="71"/>
      <w:r>
        <w:rPr>
          <w:rFonts w:hint="eastAsia" w:ascii="仿宋" w:hAnsi="仿宋" w:eastAsia="仿宋" w:cs="仿宋"/>
        </w:rPr>
        <w:t>具有履行合同所必需的设备和专业技术能力</w:t>
      </w:r>
      <w:bookmarkEnd w:id="72"/>
      <w:bookmarkEnd w:id="73"/>
      <w:bookmarkEnd w:id="74"/>
    </w:p>
    <w:p w14:paraId="08F05CEF">
      <w:pPr>
        <w:spacing w:line="360" w:lineRule="auto"/>
        <w:ind w:firstLine="540" w:firstLineChars="225"/>
        <w:jc w:val="center"/>
        <w:rPr>
          <w:rFonts w:hint="eastAsia" w:ascii="仿宋" w:hAnsi="仿宋" w:eastAsia="仿宋" w:cs="仿宋"/>
          <w:sz w:val="24"/>
        </w:rPr>
      </w:pPr>
      <w:bookmarkStart w:id="75" w:name="_Toc520749009"/>
      <w:r>
        <w:rPr>
          <w:rFonts w:hint="eastAsia" w:ascii="仿宋" w:hAnsi="仿宋" w:eastAsia="仿宋" w:cs="仿宋"/>
          <w:i w:val="0"/>
          <w:iCs w:val="0"/>
          <w:color w:val="auto"/>
          <w:sz w:val="24"/>
          <w:szCs w:val="24"/>
          <w:lang w:val="en-US" w:eastAsia="zh-CN"/>
        </w:rPr>
        <w:t>具有履行合同所必需的设备和专业技术能力（提供承诺函）</w:t>
      </w:r>
      <w:r>
        <w:rPr>
          <w:rFonts w:hint="eastAsia" w:ascii="仿宋" w:hAnsi="仿宋" w:eastAsia="仿宋" w:cs="仿宋"/>
          <w:sz w:val="24"/>
        </w:rPr>
        <w:t>。</w:t>
      </w:r>
    </w:p>
    <w:p w14:paraId="46A036C7">
      <w:pPr>
        <w:spacing w:line="360" w:lineRule="auto"/>
        <w:ind w:firstLine="540" w:firstLineChars="225"/>
        <w:jc w:val="center"/>
        <w:rPr>
          <w:rFonts w:hint="eastAsia" w:ascii="仿宋" w:hAnsi="仿宋" w:eastAsia="仿宋" w:cs="仿宋"/>
          <w:sz w:val="24"/>
        </w:rPr>
      </w:pPr>
    </w:p>
    <w:p w14:paraId="5CCD6D52">
      <w:pPr>
        <w:pStyle w:val="5"/>
        <w:numPr>
          <w:ilvl w:val="2"/>
          <w:numId w:val="0"/>
        </w:numPr>
        <w:tabs>
          <w:tab w:val="clear" w:pos="900"/>
        </w:tabs>
        <w:spacing w:line="360" w:lineRule="auto"/>
        <w:jc w:val="center"/>
        <w:rPr>
          <w:rFonts w:hint="eastAsia" w:ascii="仿宋" w:hAnsi="仿宋" w:eastAsia="仿宋" w:cs="仿宋"/>
        </w:rPr>
      </w:pPr>
      <w:bookmarkStart w:id="76" w:name="_Toc166764609"/>
      <w:bookmarkStart w:id="77" w:name="_Toc111813238"/>
      <w:bookmarkStart w:id="78" w:name="_Toc10117031"/>
      <w:r>
        <w:rPr>
          <w:rFonts w:hint="eastAsia" w:ascii="仿宋" w:hAnsi="仿宋" w:eastAsia="仿宋" w:cs="仿宋"/>
        </w:rPr>
        <w:t>（</w:t>
      </w:r>
      <w:r>
        <w:rPr>
          <w:rFonts w:hint="eastAsia" w:ascii="仿宋" w:hAnsi="仿宋" w:eastAsia="仿宋" w:cs="仿宋"/>
          <w:lang w:val="en-US" w:eastAsia="zh-CN"/>
        </w:rPr>
        <w:t>八</w:t>
      </w:r>
      <w:r>
        <w:rPr>
          <w:rFonts w:hint="eastAsia" w:ascii="仿宋" w:hAnsi="仿宋" w:eastAsia="仿宋" w:cs="仿宋"/>
        </w:rPr>
        <w:t>）有依法缴纳税收和社会保障资金的良好记录</w:t>
      </w:r>
      <w:bookmarkEnd w:id="75"/>
      <w:bookmarkEnd w:id="76"/>
      <w:bookmarkEnd w:id="77"/>
      <w:bookmarkEnd w:id="78"/>
    </w:p>
    <w:p w14:paraId="6D94AFA6">
      <w:pPr>
        <w:spacing w:line="360" w:lineRule="auto"/>
        <w:ind w:firstLine="540" w:firstLineChars="225"/>
        <w:jc w:val="center"/>
        <w:rPr>
          <w:rFonts w:hint="eastAsia" w:ascii="仿宋" w:hAnsi="仿宋" w:eastAsia="仿宋" w:cs="仿宋"/>
          <w:b w:val="0"/>
          <w:bCs w:val="0"/>
          <w:sz w:val="24"/>
        </w:rPr>
      </w:pPr>
      <w:r>
        <w:rPr>
          <w:rFonts w:hint="eastAsia" w:ascii="仿宋" w:hAnsi="仿宋" w:eastAsia="仿宋" w:cs="仿宋"/>
          <w:i w:val="0"/>
          <w:iCs w:val="0"/>
          <w:color w:val="auto"/>
          <w:sz w:val="24"/>
          <w:szCs w:val="24"/>
          <w:lang w:val="en-US" w:eastAsia="zh-CN"/>
        </w:rPr>
        <w:t>有依法缴纳税收和社会保障资金的良好记录，提供2023年</w:t>
      </w:r>
      <w:r>
        <w:rPr>
          <w:rFonts w:hint="eastAsia" w:ascii="仿宋" w:hAnsi="仿宋" w:eastAsia="仿宋" w:cs="仿宋"/>
          <w:i w:val="0"/>
          <w:iCs w:val="0"/>
          <w:color w:val="auto"/>
          <w:sz w:val="24"/>
          <w:szCs w:val="24"/>
          <w:highlight w:val="cyan"/>
          <w:lang w:val="en-US" w:eastAsia="zh-CN"/>
        </w:rPr>
        <w:t>12月</w:t>
      </w:r>
      <w:r>
        <w:rPr>
          <w:rFonts w:hint="eastAsia" w:ascii="仿宋" w:hAnsi="仿宋" w:eastAsia="仿宋" w:cs="仿宋"/>
          <w:i w:val="0"/>
          <w:iCs w:val="0"/>
          <w:color w:val="auto"/>
          <w:sz w:val="24"/>
          <w:szCs w:val="24"/>
          <w:lang w:val="en-US" w:eastAsia="zh-CN"/>
        </w:rPr>
        <w:t>至今任意3个月依法缴纳税收和缴纳社会保障资金的证明(成立未满3个月的提供成立以来的税收和社会保障资金缴纳凭证或相关情况说明；依法免税或不需要缴纳社会保障资金的投标人，应提供相应文件证明其依法免税或不需要缴纳社会保障资金)</w:t>
      </w:r>
      <w:r>
        <w:rPr>
          <w:rFonts w:hint="eastAsia" w:ascii="仿宋" w:hAnsi="仿宋" w:eastAsia="仿宋" w:cs="仿宋"/>
          <w:b w:val="0"/>
          <w:bCs w:val="0"/>
          <w:szCs w:val="21"/>
        </w:rPr>
        <w:t>（</w:t>
      </w:r>
      <w:r>
        <w:rPr>
          <w:rFonts w:hint="eastAsia" w:ascii="仿宋" w:hAnsi="仿宋" w:eastAsia="仿宋" w:cs="仿宋"/>
          <w:b w:val="0"/>
          <w:bCs w:val="0"/>
          <w:sz w:val="24"/>
        </w:rPr>
        <w:t>扫描件加盖电子公章</w:t>
      </w:r>
      <w:r>
        <w:rPr>
          <w:rFonts w:hint="eastAsia" w:ascii="仿宋" w:hAnsi="仿宋" w:eastAsia="仿宋" w:cs="仿宋"/>
          <w:b w:val="0"/>
          <w:bCs w:val="0"/>
          <w:szCs w:val="21"/>
        </w:rPr>
        <w:t>）。</w:t>
      </w:r>
    </w:p>
    <w:p w14:paraId="6D6917AE">
      <w:pPr>
        <w:spacing w:line="360" w:lineRule="auto"/>
        <w:ind w:firstLine="540" w:firstLineChars="225"/>
        <w:jc w:val="center"/>
        <w:rPr>
          <w:rFonts w:hint="eastAsia" w:ascii="仿宋" w:hAnsi="仿宋" w:eastAsia="仿宋" w:cs="仿宋"/>
          <w:sz w:val="24"/>
        </w:rPr>
      </w:pPr>
    </w:p>
    <w:p w14:paraId="437A6DE6">
      <w:pPr>
        <w:pStyle w:val="5"/>
        <w:numPr>
          <w:ilvl w:val="2"/>
          <w:numId w:val="0"/>
        </w:numPr>
        <w:tabs>
          <w:tab w:val="clear" w:pos="900"/>
        </w:tabs>
        <w:spacing w:line="360" w:lineRule="auto"/>
        <w:jc w:val="center"/>
        <w:rPr>
          <w:rFonts w:hint="eastAsia" w:ascii="仿宋" w:hAnsi="仿宋" w:eastAsia="仿宋" w:cs="仿宋"/>
        </w:rPr>
      </w:pPr>
      <w:bookmarkStart w:id="79" w:name="_Toc10117032"/>
      <w:bookmarkStart w:id="80" w:name="_Toc520749010"/>
      <w:bookmarkStart w:id="81" w:name="_Toc166764610"/>
      <w:bookmarkStart w:id="82" w:name="_Toc111813239"/>
      <w:r>
        <w:rPr>
          <w:rFonts w:hint="eastAsia" w:ascii="仿宋" w:hAnsi="仿宋" w:eastAsia="仿宋" w:cs="仿宋"/>
        </w:rPr>
        <w:t>（</w:t>
      </w:r>
      <w:r>
        <w:rPr>
          <w:rFonts w:hint="eastAsia" w:ascii="仿宋" w:hAnsi="仿宋" w:eastAsia="仿宋" w:cs="仿宋"/>
          <w:lang w:val="en-US" w:eastAsia="zh-CN"/>
        </w:rPr>
        <w:t>九</w:t>
      </w:r>
      <w:r>
        <w:rPr>
          <w:rFonts w:hint="eastAsia" w:ascii="仿宋" w:hAnsi="仿宋" w:eastAsia="仿宋" w:cs="仿宋"/>
        </w:rPr>
        <w:t>）无重大违法记录</w:t>
      </w:r>
      <w:bookmarkEnd w:id="79"/>
      <w:bookmarkEnd w:id="80"/>
      <w:bookmarkEnd w:id="81"/>
      <w:bookmarkEnd w:id="82"/>
    </w:p>
    <w:p w14:paraId="38EE31FC">
      <w:pPr>
        <w:spacing w:line="360" w:lineRule="auto"/>
        <w:ind w:firstLine="540" w:firstLineChars="225"/>
        <w:jc w:val="center"/>
        <w:rPr>
          <w:rFonts w:hint="eastAsia" w:ascii="仿宋" w:hAnsi="仿宋" w:eastAsia="仿宋" w:cs="仿宋"/>
          <w:sz w:val="24"/>
        </w:rPr>
      </w:pPr>
      <w:r>
        <w:rPr>
          <w:rFonts w:hint="eastAsia" w:ascii="仿宋" w:hAnsi="仿宋" w:eastAsia="仿宋" w:cs="仿宋"/>
          <w:color w:val="auto"/>
          <w:sz w:val="24"/>
          <w:lang w:val="en-US" w:eastAsia="zh-CN"/>
        </w:rPr>
        <w:t>投标人</w:t>
      </w:r>
      <w:r>
        <w:rPr>
          <w:rFonts w:hint="eastAsia" w:ascii="仿宋" w:hAnsi="仿宋" w:eastAsia="仿宋" w:cs="仿宋"/>
          <w:i w:val="0"/>
          <w:iCs w:val="0"/>
          <w:color w:val="auto"/>
          <w:sz w:val="24"/>
          <w:szCs w:val="24"/>
          <w:lang w:val="en-US" w:eastAsia="zh-CN"/>
        </w:rPr>
        <w:t>参加政府采购活动前三年内，在经营活动中没有重大违法记录（重大违法记录，是指供应商因违法经营受到刑事处罚或者责令停产停业、吊销许可证或者执照、较大数额罚款等行政处罚）的书面声明</w:t>
      </w:r>
      <w:r>
        <w:rPr>
          <w:rFonts w:hint="eastAsia" w:ascii="仿宋" w:hAnsi="仿宋" w:eastAsia="仿宋" w:cs="仿宋"/>
          <w:sz w:val="24"/>
        </w:rPr>
        <w:t>。</w:t>
      </w:r>
    </w:p>
    <w:p w14:paraId="1B6D8A1E">
      <w:pPr>
        <w:spacing w:line="360" w:lineRule="auto"/>
        <w:ind w:firstLine="540" w:firstLineChars="225"/>
        <w:jc w:val="center"/>
        <w:rPr>
          <w:rFonts w:hint="eastAsia" w:ascii="仿宋" w:hAnsi="仿宋" w:eastAsia="仿宋" w:cs="仿宋"/>
          <w:sz w:val="24"/>
        </w:rPr>
      </w:pPr>
    </w:p>
    <w:p w14:paraId="6F8E6BCF">
      <w:pPr>
        <w:pStyle w:val="5"/>
        <w:numPr>
          <w:ilvl w:val="2"/>
          <w:numId w:val="0"/>
        </w:numPr>
        <w:tabs>
          <w:tab w:val="clear" w:pos="900"/>
        </w:tabs>
        <w:spacing w:line="360" w:lineRule="auto"/>
        <w:jc w:val="center"/>
        <w:rPr>
          <w:rFonts w:hint="eastAsia" w:ascii="仿宋" w:hAnsi="仿宋" w:eastAsia="仿宋" w:cs="仿宋"/>
        </w:rPr>
      </w:pPr>
      <w:bookmarkStart w:id="83" w:name="_Toc111813242"/>
      <w:bookmarkStart w:id="84" w:name="_Toc166764611"/>
      <w:bookmarkStart w:id="85" w:name="_Toc113569070"/>
      <w:r>
        <w:rPr>
          <w:rFonts w:hint="eastAsia" w:ascii="仿宋" w:hAnsi="仿宋" w:eastAsia="仿宋" w:cs="仿宋"/>
        </w:rPr>
        <w:t>（十）</w:t>
      </w:r>
      <w:bookmarkEnd w:id="83"/>
      <w:bookmarkEnd w:id="84"/>
      <w:bookmarkEnd w:id="85"/>
      <w:r>
        <w:rPr>
          <w:rFonts w:hint="eastAsia" w:ascii="仿宋" w:hAnsi="仿宋" w:eastAsia="仿宋" w:cs="仿宋"/>
        </w:rPr>
        <w:t>医疗器械相关证件</w:t>
      </w:r>
    </w:p>
    <w:p w14:paraId="1EE66823">
      <w:pPr>
        <w:numPr>
          <w:ilvl w:val="0"/>
          <w:numId w:val="0"/>
        </w:numPr>
        <w:spacing w:line="360" w:lineRule="auto"/>
        <w:ind w:firstLine="480"/>
        <w:jc w:val="center"/>
        <w:outlineLvl w:val="9"/>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投标人如果是代理商或经销商的，须提供医疗器械经营许可/备案证，所响应产品制造商医疗器械生产许可/备案证（制造商工商注册地在中华人民共和国境外的，不做此要求）、所响应产品的医疗器械注册证及附件；供应商如果是制造商的，须提供医疗器械生产许可/备案证（制造商工商注册地在中华人民共和国境外的，不做此要求）、所响应产品的医疗器械注册证及附件。医疗器械生产或经营许可/备案证生产或经营范围须覆盖所投第二、三类医疗器械（扫描件加盖公章。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p>
    <w:p w14:paraId="3FC23B2E">
      <w:pPr>
        <w:numPr>
          <w:ilvl w:val="0"/>
          <w:numId w:val="0"/>
        </w:numPr>
        <w:spacing w:line="360" w:lineRule="auto"/>
        <w:ind w:firstLine="480"/>
        <w:jc w:val="center"/>
        <w:outlineLvl w:val="9"/>
        <w:rPr>
          <w:rFonts w:hint="eastAsia" w:ascii="仿宋" w:hAnsi="仿宋" w:eastAsia="仿宋" w:cs="仿宋"/>
          <w:b w:val="0"/>
          <w:color w:val="auto"/>
          <w:kern w:val="2"/>
          <w:sz w:val="24"/>
          <w:szCs w:val="24"/>
          <w:lang w:val="en-US" w:eastAsia="zh-CN" w:bidi="ar-SA"/>
        </w:rPr>
      </w:pPr>
    </w:p>
    <w:p w14:paraId="7FFE300B">
      <w:pPr>
        <w:pStyle w:val="5"/>
        <w:numPr>
          <w:ilvl w:val="0"/>
          <w:numId w:val="0"/>
        </w:numPr>
        <w:tabs>
          <w:tab w:val="clear" w:pos="900"/>
        </w:tabs>
        <w:spacing w:line="360" w:lineRule="auto"/>
        <w:ind w:left="284" w:leftChars="0" w:hanging="284" w:firstLineChars="0"/>
        <w:jc w:val="center"/>
        <w:rPr>
          <w:rFonts w:hint="eastAsia" w:ascii="仿宋" w:hAnsi="仿宋" w:eastAsia="仿宋" w:cs="仿宋"/>
        </w:rPr>
      </w:pPr>
      <w:bookmarkStart w:id="86" w:name="_Toc520749017"/>
      <w:bookmarkStart w:id="87" w:name="_Toc10117035"/>
      <w:bookmarkStart w:id="88" w:name="_Toc111813241"/>
      <w:bookmarkStart w:id="89" w:name="_Toc166764612"/>
      <w:r>
        <w:rPr>
          <w:rFonts w:hint="eastAsia" w:ascii="仿宋" w:hAnsi="仿宋" w:eastAsia="仿宋" w:cs="仿宋"/>
          <w:b/>
          <w:kern w:val="0"/>
          <w:sz w:val="28"/>
          <w:szCs w:val="20"/>
          <w:lang w:val="en-US" w:eastAsia="zh-CN" w:bidi="ar-SA"/>
        </w:rPr>
        <w:t>（十一）</w:t>
      </w:r>
      <w:r>
        <w:rPr>
          <w:rFonts w:hint="eastAsia" w:ascii="仿宋" w:hAnsi="仿宋" w:eastAsia="仿宋" w:cs="仿宋"/>
        </w:rPr>
        <w:t>信用状况</w:t>
      </w:r>
      <w:bookmarkEnd w:id="86"/>
      <w:bookmarkEnd w:id="87"/>
      <w:bookmarkEnd w:id="88"/>
      <w:bookmarkEnd w:id="89"/>
    </w:p>
    <w:p w14:paraId="30E1A3EE">
      <w:pPr>
        <w:numPr>
          <w:ilvl w:val="0"/>
          <w:numId w:val="0"/>
        </w:numPr>
        <w:spacing w:line="360" w:lineRule="auto"/>
        <w:ind w:firstLine="480"/>
        <w:jc w:val="left"/>
        <w:outlineLvl w:val="9"/>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投标人未被列入失信被执行人、重大税收违法失信主体、政府采购严重违法失信行为记录名单的供应商（以在“信用中国”网站（www.creditchina.gov.cn）查询的信用记录为准）；   </w:t>
      </w:r>
    </w:p>
    <w:p w14:paraId="454D48E2">
      <w:pPr>
        <w:numPr>
          <w:ilvl w:val="0"/>
          <w:numId w:val="0"/>
        </w:numPr>
        <w:spacing w:line="360" w:lineRule="auto"/>
        <w:ind w:firstLine="480"/>
        <w:jc w:val="left"/>
        <w:outlineLvl w:val="9"/>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未被列入政府采购严重违法失信行为记录名单的供应商（以在中国政府采购网（www.ccgp.gov.cn）查询的信用记录为准、被禁止在一定期限内参加政府采购活动但期限届满的除外）；（在评标前采购人或采购代理机构在相关网站进行查询，并留存网站查询截图的复印件，供评审专家备查。）</w:t>
      </w:r>
    </w:p>
    <w:p w14:paraId="0F106C83">
      <w:pPr>
        <w:widowControl w:val="0"/>
        <w:numPr>
          <w:ilvl w:val="0"/>
          <w:numId w:val="0"/>
        </w:numPr>
        <w:jc w:val="both"/>
        <w:rPr>
          <w:rFonts w:hint="eastAsia"/>
        </w:rPr>
      </w:pPr>
    </w:p>
    <w:p w14:paraId="32D07CCA">
      <w:pPr>
        <w:pStyle w:val="5"/>
        <w:numPr>
          <w:ilvl w:val="2"/>
          <w:numId w:val="0"/>
        </w:numPr>
        <w:tabs>
          <w:tab w:val="clear" w:pos="900"/>
        </w:tabs>
        <w:spacing w:line="360" w:lineRule="auto"/>
        <w:jc w:val="center"/>
        <w:rPr>
          <w:rFonts w:hint="eastAsia" w:ascii="仿宋" w:hAnsi="仿宋" w:eastAsia="仿宋" w:cs="仿宋"/>
        </w:rPr>
      </w:pPr>
      <w:bookmarkStart w:id="90" w:name="_Toc166764613"/>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）投标保证金</w:t>
      </w:r>
    </w:p>
    <w:p w14:paraId="363EED56">
      <w:pPr>
        <w:spacing w:line="360" w:lineRule="auto"/>
        <w:ind w:firstLine="540" w:firstLineChars="225"/>
        <w:jc w:val="center"/>
        <w:rPr>
          <w:rFonts w:hint="eastAsia" w:ascii="仿宋" w:hAnsi="仿宋" w:eastAsia="仿宋" w:cs="仿宋"/>
          <w:sz w:val="24"/>
        </w:rPr>
      </w:pPr>
      <w:r>
        <w:rPr>
          <w:rFonts w:hint="eastAsia" w:ascii="仿宋" w:hAnsi="仿宋" w:eastAsia="仿宋" w:cs="仿宋"/>
          <w:sz w:val="24"/>
        </w:rPr>
        <w:t>附投标保证金缴纳凭证</w:t>
      </w:r>
      <w:r>
        <w:rPr>
          <w:rFonts w:hint="eastAsia" w:ascii="仿宋" w:hAnsi="仿宋" w:eastAsia="仿宋" w:cs="仿宋"/>
          <w:sz w:val="24"/>
          <w:lang w:val="en-US" w:eastAsia="zh-CN"/>
        </w:rPr>
        <w:t>及银行开户许可证</w:t>
      </w:r>
      <w:r>
        <w:rPr>
          <w:rFonts w:hint="eastAsia" w:ascii="仿宋" w:hAnsi="仿宋" w:eastAsia="仿宋" w:cs="仿宋"/>
          <w:sz w:val="24"/>
        </w:rPr>
        <w:t>扫描件加盖电子公章。</w:t>
      </w:r>
    </w:p>
    <w:p w14:paraId="1ACF8526">
      <w:pPr>
        <w:rPr>
          <w:rFonts w:hint="eastAsia" w:ascii="仿宋" w:hAnsi="仿宋" w:eastAsia="仿宋" w:cs="仿宋"/>
          <w:sz w:val="24"/>
        </w:rPr>
      </w:pPr>
      <w:r>
        <w:rPr>
          <w:rFonts w:hint="eastAsia" w:ascii="仿宋" w:hAnsi="仿宋" w:eastAsia="仿宋" w:cs="仿宋"/>
          <w:sz w:val="24"/>
        </w:rPr>
        <w:br w:type="page"/>
      </w:r>
    </w:p>
    <w:bookmarkEnd w:id="90"/>
    <w:p w14:paraId="5EC66964">
      <w:pPr>
        <w:pStyle w:val="5"/>
        <w:numPr>
          <w:ilvl w:val="2"/>
          <w:numId w:val="0"/>
        </w:numPr>
        <w:tabs>
          <w:tab w:val="clear" w:pos="900"/>
        </w:tabs>
        <w:jc w:val="center"/>
        <w:rPr>
          <w:rFonts w:hint="eastAsia" w:ascii="仿宋" w:hAnsi="仿宋" w:eastAsia="仿宋" w:cs="仿宋"/>
        </w:rPr>
      </w:pPr>
      <w:bookmarkStart w:id="91" w:name="_Toc166764614"/>
      <w:bookmarkStart w:id="92" w:name="_Toc111813243"/>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）廉洁承诺书</w:t>
      </w:r>
      <w:bookmarkEnd w:id="91"/>
      <w:bookmarkEnd w:id="92"/>
    </w:p>
    <w:p w14:paraId="1F200B3E">
      <w:pPr>
        <w:jc w:val="center"/>
        <w:rPr>
          <w:rFonts w:hint="eastAsia" w:ascii="仿宋" w:hAnsi="仿宋" w:eastAsia="仿宋" w:cs="仿宋"/>
          <w:b/>
          <w:sz w:val="30"/>
          <w:szCs w:val="30"/>
        </w:rPr>
      </w:pPr>
      <w:r>
        <w:rPr>
          <w:rFonts w:hint="eastAsia" w:ascii="仿宋" w:hAnsi="仿宋" w:eastAsia="仿宋" w:cs="仿宋"/>
          <w:b/>
          <w:sz w:val="30"/>
          <w:szCs w:val="30"/>
        </w:rPr>
        <w:t>承诺书（投标人）</w:t>
      </w:r>
    </w:p>
    <w:p w14:paraId="34AA679B">
      <w:pPr>
        <w:spacing w:after="120" w:line="500" w:lineRule="exact"/>
        <w:rPr>
          <w:rFonts w:hint="eastAsia" w:ascii="仿宋" w:hAnsi="仿宋" w:eastAsia="仿宋" w:cs="仿宋"/>
          <w:b/>
          <w:szCs w:val="21"/>
        </w:rPr>
      </w:pPr>
    </w:p>
    <w:p w14:paraId="216515C8">
      <w:pPr>
        <w:jc w:val="center"/>
        <w:rPr>
          <w:rFonts w:hint="eastAsia" w:ascii="仿宋" w:hAnsi="仿宋" w:eastAsia="仿宋" w:cs="仿宋"/>
          <w:b/>
          <w:bCs/>
          <w:spacing w:val="40"/>
          <w:sz w:val="32"/>
          <w:szCs w:val="28"/>
        </w:rPr>
      </w:pPr>
    </w:p>
    <w:p w14:paraId="42E70C6F">
      <w:pPr>
        <w:widowControl/>
        <w:spacing w:line="520" w:lineRule="exact"/>
        <w:ind w:firstLine="480" w:firstLineChars="200"/>
        <w:rPr>
          <w:rFonts w:hint="eastAsia" w:ascii="仿宋" w:hAnsi="仿宋" w:eastAsia="仿宋" w:cs="仿宋"/>
          <w:sz w:val="24"/>
        </w:rPr>
      </w:pPr>
      <w:r>
        <w:rPr>
          <w:rFonts w:hint="eastAsia" w:ascii="仿宋" w:hAnsi="仿宋" w:eastAsia="仿宋" w:cs="仿宋"/>
          <w:sz w:val="24"/>
        </w:rPr>
        <w:t>本企业参与</w:t>
      </w:r>
      <w:r>
        <w:rPr>
          <w:rFonts w:hint="eastAsia" w:ascii="仿宋" w:hAnsi="仿宋" w:eastAsia="仿宋" w:cs="仿宋"/>
          <w:sz w:val="24"/>
          <w:u w:val="single"/>
        </w:rPr>
        <w:t xml:space="preserve">                          </w:t>
      </w:r>
      <w:r>
        <w:rPr>
          <w:rFonts w:hint="eastAsia" w:ascii="仿宋" w:hAnsi="仿宋" w:eastAsia="仿宋" w:cs="仿宋"/>
          <w:sz w:val="24"/>
        </w:rPr>
        <w:t>项目的投标人，现作如下承诺：</w:t>
      </w:r>
    </w:p>
    <w:p w14:paraId="162D81BA">
      <w:pPr>
        <w:widowControl/>
        <w:spacing w:line="520" w:lineRule="exact"/>
        <w:ind w:firstLine="480" w:firstLineChars="200"/>
        <w:rPr>
          <w:rFonts w:hint="eastAsia" w:ascii="仿宋" w:hAnsi="仿宋" w:eastAsia="仿宋" w:cs="仿宋"/>
          <w:sz w:val="24"/>
        </w:rPr>
      </w:pPr>
      <w:r>
        <w:rPr>
          <w:rFonts w:hint="eastAsia" w:ascii="仿宋" w:hAnsi="仿宋" w:eastAsia="仿宋" w:cs="仿宋"/>
          <w:sz w:val="24"/>
        </w:rPr>
        <w:t>1、所提供的一切材料都是真实、有效、合法的。</w:t>
      </w:r>
    </w:p>
    <w:p w14:paraId="252ED0E6">
      <w:pPr>
        <w:widowControl/>
        <w:spacing w:line="520" w:lineRule="exact"/>
        <w:ind w:firstLine="480" w:firstLineChars="200"/>
        <w:rPr>
          <w:rFonts w:hint="eastAsia" w:ascii="仿宋" w:hAnsi="仿宋" w:eastAsia="仿宋" w:cs="仿宋"/>
          <w:sz w:val="24"/>
        </w:rPr>
      </w:pPr>
      <w:r>
        <w:rPr>
          <w:rFonts w:hint="eastAsia" w:ascii="仿宋" w:hAnsi="仿宋" w:eastAsia="仿宋" w:cs="仿宋"/>
          <w:sz w:val="24"/>
        </w:rPr>
        <w:t>2、不与其他投标人串通投标，不损害采购人或其他投标人的合法权益。</w:t>
      </w:r>
    </w:p>
    <w:p w14:paraId="32F92A91">
      <w:pPr>
        <w:widowControl/>
        <w:spacing w:line="520" w:lineRule="exact"/>
        <w:ind w:firstLine="480" w:firstLineChars="200"/>
        <w:rPr>
          <w:rFonts w:hint="eastAsia" w:ascii="仿宋" w:hAnsi="仿宋" w:eastAsia="仿宋" w:cs="仿宋"/>
          <w:sz w:val="24"/>
        </w:rPr>
      </w:pPr>
      <w:r>
        <w:rPr>
          <w:rFonts w:hint="eastAsia" w:ascii="仿宋" w:hAnsi="仿宋" w:eastAsia="仿宋" w:cs="仿宋"/>
          <w:sz w:val="24"/>
        </w:rPr>
        <w:t>3、不转让、出租、出借资质证书、人员岗位证书或以其他方式允许他人以本企业名义投标。</w:t>
      </w:r>
    </w:p>
    <w:p w14:paraId="3151F524">
      <w:pPr>
        <w:widowControl/>
        <w:spacing w:line="520" w:lineRule="exact"/>
        <w:ind w:firstLine="480" w:firstLineChars="200"/>
        <w:rPr>
          <w:rFonts w:hint="eastAsia" w:ascii="仿宋" w:hAnsi="仿宋" w:eastAsia="仿宋" w:cs="仿宋"/>
          <w:sz w:val="24"/>
        </w:rPr>
      </w:pPr>
      <w:r>
        <w:rPr>
          <w:rFonts w:hint="eastAsia" w:ascii="仿宋" w:hAnsi="仿宋" w:eastAsia="仿宋" w:cs="仿宋"/>
          <w:sz w:val="24"/>
        </w:rPr>
        <w:t>4、不与采购人或采购代理机构串通投标，损害国家利益、社会公共利益或者他人的合法权益。</w:t>
      </w:r>
    </w:p>
    <w:p w14:paraId="18940501">
      <w:pPr>
        <w:widowControl/>
        <w:spacing w:line="520" w:lineRule="exact"/>
        <w:ind w:firstLine="480" w:firstLineChars="200"/>
        <w:rPr>
          <w:rFonts w:hint="eastAsia" w:ascii="仿宋" w:hAnsi="仿宋" w:eastAsia="仿宋" w:cs="仿宋"/>
          <w:sz w:val="24"/>
        </w:rPr>
      </w:pPr>
      <w:r>
        <w:rPr>
          <w:rFonts w:hint="eastAsia" w:ascii="仿宋" w:hAnsi="仿宋" w:eastAsia="仿宋" w:cs="仿宋"/>
          <w:sz w:val="24"/>
        </w:rPr>
        <w:t>5、不向采购人、评标委员会成员、监督人员行贿。</w:t>
      </w:r>
    </w:p>
    <w:p w14:paraId="3FF6026F">
      <w:pPr>
        <w:widowControl/>
        <w:spacing w:line="520" w:lineRule="exact"/>
        <w:ind w:firstLine="480" w:firstLineChars="200"/>
        <w:rPr>
          <w:rFonts w:hint="eastAsia" w:ascii="仿宋" w:hAnsi="仿宋" w:eastAsia="仿宋" w:cs="仿宋"/>
          <w:sz w:val="24"/>
        </w:rPr>
      </w:pPr>
      <w:r>
        <w:rPr>
          <w:rFonts w:hint="eastAsia" w:ascii="仿宋" w:hAnsi="仿宋" w:eastAsia="仿宋" w:cs="仿宋"/>
          <w:sz w:val="24"/>
        </w:rPr>
        <w:t>6、不扰乱昆明市招标投标活动正常秩序。</w:t>
      </w:r>
    </w:p>
    <w:p w14:paraId="0401A333">
      <w:pPr>
        <w:widowControl/>
        <w:spacing w:line="520" w:lineRule="exact"/>
        <w:ind w:firstLine="480" w:firstLineChars="200"/>
        <w:rPr>
          <w:rFonts w:hint="eastAsia" w:ascii="仿宋" w:hAnsi="仿宋" w:eastAsia="仿宋" w:cs="仿宋"/>
          <w:sz w:val="24"/>
        </w:rPr>
      </w:pPr>
      <w:r>
        <w:rPr>
          <w:rFonts w:hint="eastAsia" w:ascii="仿宋" w:hAnsi="仿宋" w:eastAsia="仿宋" w:cs="仿宋"/>
          <w:sz w:val="24"/>
        </w:rPr>
        <w:t>7、不进行虚假恶意投诉。</w:t>
      </w:r>
    </w:p>
    <w:p w14:paraId="24C33CD0">
      <w:pPr>
        <w:widowControl/>
        <w:spacing w:line="520" w:lineRule="exact"/>
        <w:ind w:firstLine="480" w:firstLineChars="200"/>
        <w:rPr>
          <w:rFonts w:hint="eastAsia" w:ascii="仿宋" w:hAnsi="仿宋" w:eastAsia="仿宋" w:cs="仿宋"/>
          <w:sz w:val="24"/>
        </w:rPr>
      </w:pPr>
      <w:r>
        <w:rPr>
          <w:rFonts w:hint="eastAsia" w:ascii="仿宋" w:hAnsi="仿宋" w:eastAsia="仿宋" w:cs="仿宋"/>
          <w:sz w:val="24"/>
        </w:rPr>
        <w:t>8、因违反法律、法规、规章被查处的，不干预案件查处。</w:t>
      </w:r>
    </w:p>
    <w:p w14:paraId="43EB9679">
      <w:pPr>
        <w:widowControl/>
        <w:spacing w:line="520" w:lineRule="exact"/>
        <w:ind w:firstLine="480" w:firstLineChars="200"/>
        <w:rPr>
          <w:rFonts w:hint="eastAsia" w:ascii="仿宋" w:hAnsi="仿宋" w:eastAsia="仿宋" w:cs="仿宋"/>
          <w:sz w:val="24"/>
        </w:rPr>
      </w:pPr>
      <w:r>
        <w:rPr>
          <w:rFonts w:hint="eastAsia" w:ascii="仿宋" w:hAnsi="仿宋" w:eastAsia="仿宋" w:cs="仿宋"/>
          <w:sz w:val="24"/>
        </w:rPr>
        <w:t>如出现上述行为，本投标人自愿承担相关责任，接受招标投标监督管理部门、纪检监察部门或司法机关调查处理。给采购人造成损失的，依法承担赔偿责任。</w:t>
      </w:r>
    </w:p>
    <w:p w14:paraId="37234000">
      <w:pPr>
        <w:widowControl/>
        <w:spacing w:line="520" w:lineRule="exact"/>
        <w:ind w:firstLine="480" w:firstLineChars="200"/>
        <w:rPr>
          <w:rFonts w:hint="eastAsia" w:ascii="仿宋" w:hAnsi="仿宋" w:eastAsia="仿宋" w:cs="仿宋"/>
          <w:sz w:val="24"/>
        </w:rPr>
      </w:pPr>
    </w:p>
    <w:p w14:paraId="1D8B7017">
      <w:pPr>
        <w:widowControl/>
        <w:spacing w:line="600" w:lineRule="exact"/>
        <w:ind w:right="640" w:firstLine="480" w:firstLineChars="200"/>
        <w:rPr>
          <w:rFonts w:hint="eastAsia" w:ascii="仿宋" w:hAnsi="仿宋" w:eastAsia="仿宋" w:cs="仿宋"/>
          <w:sz w:val="24"/>
        </w:rPr>
      </w:pPr>
      <w:r>
        <w:rPr>
          <w:rFonts w:hint="eastAsia" w:ascii="仿宋" w:hAnsi="仿宋" w:eastAsia="仿宋" w:cs="仿宋"/>
          <w:sz w:val="24"/>
        </w:rPr>
        <w:t>投标人全称(</w:t>
      </w:r>
      <w:bookmarkStart w:id="93" w:name="_Hlk489001128"/>
      <w:r>
        <w:rPr>
          <w:rFonts w:hint="eastAsia" w:ascii="仿宋" w:hAnsi="仿宋" w:eastAsia="仿宋" w:cs="仿宋"/>
          <w:sz w:val="24"/>
        </w:rPr>
        <w:t>加盖电子公章</w:t>
      </w:r>
      <w:bookmarkEnd w:id="93"/>
      <w:r>
        <w:rPr>
          <w:rFonts w:hint="eastAsia" w:ascii="仿宋" w:hAnsi="仿宋" w:eastAsia="仿宋" w:cs="仿宋"/>
          <w:sz w:val="24"/>
        </w:rPr>
        <w:t>)：</w:t>
      </w:r>
    </w:p>
    <w:p w14:paraId="0CE6872C">
      <w:pPr>
        <w:widowControl/>
        <w:spacing w:line="600" w:lineRule="exact"/>
        <w:ind w:right="640" w:firstLine="480" w:firstLineChars="200"/>
        <w:rPr>
          <w:rFonts w:hint="eastAsia" w:ascii="仿宋" w:hAnsi="仿宋" w:eastAsia="仿宋" w:cs="仿宋"/>
          <w:b/>
          <w:sz w:val="24"/>
        </w:rPr>
      </w:pPr>
      <w:r>
        <w:rPr>
          <w:rFonts w:hint="eastAsia" w:ascii="仿宋" w:hAnsi="仿宋" w:eastAsia="仿宋" w:cs="仿宋"/>
          <w:sz w:val="24"/>
        </w:rPr>
        <w:t>法定代表人(电子签名)：</w:t>
      </w:r>
    </w:p>
    <w:p w14:paraId="16EA9AE3">
      <w:pPr>
        <w:widowControl/>
        <w:spacing w:line="600" w:lineRule="exact"/>
        <w:ind w:right="640" w:firstLine="480" w:firstLineChars="200"/>
        <w:jc w:val="left"/>
        <w:rPr>
          <w:rFonts w:hint="eastAsia" w:ascii="仿宋" w:hAnsi="仿宋" w:eastAsia="仿宋" w:cs="仿宋"/>
          <w:sz w:val="24"/>
        </w:rPr>
      </w:pPr>
      <w:r>
        <w:rPr>
          <w:rFonts w:hint="eastAsia" w:ascii="仿宋" w:hAnsi="仿宋" w:eastAsia="仿宋" w:cs="仿宋"/>
          <w:sz w:val="24"/>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57969E2C">
      <w:pPr>
        <w:widowControl/>
        <w:spacing w:line="600" w:lineRule="exact"/>
        <w:ind w:right="640" w:firstLine="480" w:firstLineChars="200"/>
        <w:rPr>
          <w:rFonts w:hint="eastAsia" w:ascii="仿宋" w:hAnsi="仿宋" w:eastAsia="仿宋" w:cs="仿宋"/>
          <w:sz w:val="24"/>
          <w:lang w:eastAsia="zh-CN"/>
        </w:rPr>
      </w:pPr>
    </w:p>
    <w:p w14:paraId="582709C3">
      <w:pPr>
        <w:widowControl/>
        <w:spacing w:line="600" w:lineRule="exact"/>
        <w:ind w:right="640" w:firstLine="480" w:firstLineChars="200"/>
        <w:rPr>
          <w:rFonts w:hint="eastAsia" w:ascii="仿宋" w:hAnsi="仿宋" w:eastAsia="仿宋" w:cs="仿宋"/>
          <w:sz w:val="24"/>
          <w:lang w:eastAsia="zh-CN"/>
        </w:rPr>
      </w:pPr>
    </w:p>
    <w:p w14:paraId="3B3527DD">
      <w:pPr>
        <w:rPr>
          <w:rFonts w:hint="eastAsia" w:ascii="仿宋" w:hAnsi="仿宋" w:eastAsia="仿宋" w:cs="仿宋"/>
          <w:b/>
          <w:i w:val="0"/>
          <w:kern w:val="0"/>
          <w:sz w:val="24"/>
          <w:szCs w:val="20"/>
          <w:lang w:val="en-US" w:eastAsia="zh-CN" w:bidi="ar-SA"/>
        </w:rPr>
      </w:pPr>
      <w:r>
        <w:rPr>
          <w:rFonts w:hint="eastAsia" w:ascii="仿宋" w:hAnsi="仿宋" w:eastAsia="仿宋" w:cs="仿宋"/>
          <w:b/>
          <w:i w:val="0"/>
          <w:kern w:val="0"/>
          <w:sz w:val="24"/>
          <w:szCs w:val="20"/>
          <w:lang w:val="en-US" w:eastAsia="zh-CN" w:bidi="ar-SA"/>
        </w:rPr>
        <w:br w:type="page"/>
      </w:r>
    </w:p>
    <w:p w14:paraId="49D5A576">
      <w:pPr>
        <w:pStyle w:val="5"/>
        <w:numPr>
          <w:ilvl w:val="2"/>
          <w:numId w:val="0"/>
        </w:numPr>
        <w:tabs>
          <w:tab w:val="clear" w:pos="900"/>
        </w:tabs>
        <w:spacing w:line="360" w:lineRule="auto"/>
        <w:jc w:val="center"/>
        <w:rPr>
          <w:rFonts w:hint="eastAsia" w:ascii="仿宋" w:hAnsi="仿宋" w:eastAsia="仿宋" w:cs="仿宋"/>
        </w:rPr>
      </w:pPr>
      <w:bookmarkStart w:id="94" w:name="_Toc111813246"/>
      <w:bookmarkStart w:id="95" w:name="_Toc520749019"/>
      <w:bookmarkStart w:id="96" w:name="_Toc10117039"/>
      <w:bookmarkStart w:id="97" w:name="_Toc166764615"/>
      <w:r>
        <w:rPr>
          <w:rFonts w:hint="eastAsia" w:ascii="仿宋" w:hAnsi="仿宋" w:eastAsia="仿宋" w:cs="仿宋"/>
        </w:rPr>
        <w:t>（十</w:t>
      </w:r>
      <w:r>
        <w:rPr>
          <w:rFonts w:hint="eastAsia" w:ascii="仿宋" w:hAnsi="仿宋" w:eastAsia="仿宋" w:cs="仿宋"/>
          <w:lang w:val="en-US" w:eastAsia="zh-CN"/>
        </w:rPr>
        <w:t>四</w:t>
      </w:r>
      <w:r>
        <w:rPr>
          <w:rFonts w:hint="eastAsia" w:ascii="仿宋" w:hAnsi="仿宋" w:eastAsia="仿宋" w:cs="仿宋"/>
        </w:rPr>
        <w:t>）招标文件要求投标人提交的其他资料或投标人认为应提交的其他资料</w:t>
      </w:r>
      <w:bookmarkEnd w:id="94"/>
      <w:bookmarkEnd w:id="95"/>
      <w:bookmarkEnd w:id="96"/>
      <w:bookmarkEnd w:id="97"/>
    </w:p>
    <w:p w14:paraId="5A4FCD08">
      <w:pPr>
        <w:spacing w:line="360" w:lineRule="auto"/>
        <w:ind w:firstLine="540" w:firstLineChars="225"/>
        <w:jc w:val="center"/>
        <w:rPr>
          <w:rFonts w:hint="eastAsia" w:ascii="仿宋" w:hAnsi="仿宋" w:eastAsia="仿宋" w:cs="仿宋"/>
          <w:sz w:val="24"/>
        </w:rPr>
      </w:pPr>
      <w:r>
        <w:rPr>
          <w:rFonts w:hint="eastAsia" w:ascii="仿宋" w:hAnsi="仿宋" w:eastAsia="仿宋" w:cs="仿宋"/>
          <w:sz w:val="24"/>
        </w:rPr>
        <w:t>投标人自行编制，格式自定。</w:t>
      </w:r>
    </w:p>
    <w:p w14:paraId="14642DD8">
      <w:pPr>
        <w:rPr>
          <w:rFonts w:hint="eastAsia" w:ascii="仿宋" w:hAnsi="仿宋" w:eastAsia="仿宋" w:cs="仿宋"/>
          <w:lang w:val="en-US" w:eastAsia="zh-CN"/>
        </w:rPr>
      </w:pPr>
      <w:r>
        <w:rPr>
          <w:rFonts w:hint="eastAsia" w:ascii="仿宋" w:hAnsi="仿宋" w:eastAsia="仿宋" w:cs="仿宋"/>
          <w:lang w:val="en-US" w:eastAsia="zh-CN"/>
        </w:rPr>
        <w:br w:type="page"/>
      </w:r>
    </w:p>
    <w:bookmarkEnd w:id="46"/>
    <w:bookmarkEnd w:id="47"/>
    <w:bookmarkEnd w:id="48"/>
    <w:bookmarkEnd w:id="49"/>
    <w:bookmarkEnd w:id="50"/>
    <w:bookmarkEnd w:id="51"/>
    <w:bookmarkEnd w:id="52"/>
    <w:p w14:paraId="72C09253">
      <w:pPr>
        <w:pStyle w:val="4"/>
        <w:numPr>
          <w:ilvl w:val="1"/>
          <w:numId w:val="0"/>
        </w:numPr>
        <w:jc w:val="center"/>
        <w:rPr>
          <w:rFonts w:hint="eastAsia" w:ascii="仿宋" w:hAnsi="仿宋" w:eastAsia="仿宋" w:cs="仿宋"/>
        </w:rPr>
      </w:pPr>
      <w:bookmarkStart w:id="98" w:name="_Toc520749020"/>
      <w:bookmarkStart w:id="99" w:name="_Toc10117040"/>
      <w:bookmarkStart w:id="100" w:name="_Toc111813247"/>
      <w:bookmarkStart w:id="101" w:name="_Toc166764616"/>
      <w:bookmarkStart w:id="102" w:name="_Toc78603135"/>
      <w:bookmarkStart w:id="103" w:name="_Toc38173198"/>
      <w:r>
        <w:rPr>
          <w:rFonts w:hint="eastAsia" w:ascii="仿宋" w:hAnsi="仿宋" w:eastAsia="仿宋" w:cs="仿宋"/>
        </w:rPr>
        <w:t>二、商务部分格式</w:t>
      </w:r>
      <w:bookmarkEnd w:id="98"/>
      <w:bookmarkEnd w:id="99"/>
      <w:bookmarkEnd w:id="100"/>
      <w:bookmarkEnd w:id="101"/>
    </w:p>
    <w:p w14:paraId="7876D5E3">
      <w:pPr>
        <w:pStyle w:val="5"/>
        <w:numPr>
          <w:ilvl w:val="2"/>
          <w:numId w:val="0"/>
        </w:numPr>
        <w:tabs>
          <w:tab w:val="clear" w:pos="900"/>
        </w:tabs>
        <w:spacing w:line="360" w:lineRule="auto"/>
        <w:jc w:val="center"/>
        <w:rPr>
          <w:rFonts w:hint="eastAsia" w:ascii="仿宋" w:hAnsi="仿宋" w:eastAsia="仿宋" w:cs="仿宋"/>
        </w:rPr>
      </w:pPr>
      <w:bookmarkStart w:id="104" w:name="_Toc111813249"/>
      <w:bookmarkStart w:id="105" w:name="_Toc520749022"/>
      <w:bookmarkStart w:id="106" w:name="_Toc166764617"/>
      <w:bookmarkStart w:id="107" w:name="_Toc10117042"/>
      <w:r>
        <w:rPr>
          <w:rFonts w:hint="eastAsia" w:ascii="仿宋" w:hAnsi="仿宋" w:eastAsia="仿宋" w:cs="仿宋"/>
        </w:rPr>
        <w:t>（一）</w:t>
      </w:r>
      <w:r>
        <w:rPr>
          <w:rFonts w:hint="eastAsia" w:ascii="仿宋" w:hAnsi="仿宋" w:eastAsia="仿宋" w:cs="仿宋"/>
          <w:lang w:val="en-US" w:eastAsia="zh-CN"/>
        </w:rPr>
        <w:t>开标</w:t>
      </w:r>
      <w:r>
        <w:rPr>
          <w:rFonts w:hint="eastAsia" w:ascii="仿宋" w:hAnsi="仿宋" w:eastAsia="仿宋" w:cs="仿宋"/>
        </w:rPr>
        <w:t>一览表</w:t>
      </w:r>
      <w:bookmarkEnd w:id="104"/>
      <w:bookmarkEnd w:id="105"/>
      <w:bookmarkEnd w:id="106"/>
      <w:bookmarkEnd w:id="107"/>
    </w:p>
    <w:p w14:paraId="6012468C">
      <w:pPr>
        <w:rPr>
          <w:rFonts w:hint="eastAsia" w:ascii="仿宋" w:hAnsi="仿宋" w:eastAsia="仿宋" w:cs="仿宋"/>
          <w:szCs w:val="21"/>
        </w:rPr>
      </w:pPr>
      <w:r>
        <w:rPr>
          <w:rFonts w:hint="eastAsia" w:ascii="仿宋" w:hAnsi="仿宋" w:eastAsia="仿宋" w:cs="仿宋"/>
          <w:szCs w:val="21"/>
        </w:rPr>
        <w:t>项目名称：</w:t>
      </w:r>
      <w:r>
        <w:rPr>
          <w:rFonts w:hint="eastAsia" w:ascii="仿宋" w:hAnsi="仿宋" w:eastAsia="仿宋" w:cs="仿宋"/>
          <w:szCs w:val="21"/>
          <w:u w:val="single"/>
        </w:rPr>
        <w:t xml:space="preserve">                            </w:t>
      </w:r>
      <w:r>
        <w:rPr>
          <w:rFonts w:hint="eastAsia" w:ascii="仿宋" w:hAnsi="仿宋" w:eastAsia="仿宋" w:cs="仿宋"/>
          <w:szCs w:val="21"/>
        </w:rPr>
        <w:t xml:space="preserve">             招标编号：</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170D88DD">
      <w:pPr>
        <w:rPr>
          <w:rFonts w:hint="eastAsia" w:ascii="仿宋" w:hAnsi="仿宋" w:eastAsia="仿宋" w:cs="仿宋"/>
        </w:rPr>
      </w:pPr>
    </w:p>
    <w:tbl>
      <w:tblPr>
        <w:tblStyle w:val="25"/>
        <w:tblW w:w="9660" w:type="dxa"/>
        <w:tblInd w:w="-1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415"/>
        <w:gridCol w:w="7245"/>
      </w:tblGrid>
      <w:tr w14:paraId="14799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27" w:hRule="atLeast"/>
        </w:trPr>
        <w:tc>
          <w:tcPr>
            <w:tcW w:w="2415" w:type="dxa"/>
            <w:noWrap w:val="0"/>
            <w:vAlign w:val="center"/>
          </w:tcPr>
          <w:p w14:paraId="665BF3CE">
            <w:pPr>
              <w:spacing w:before="120" w:line="360" w:lineRule="auto"/>
              <w:ind w:firstLine="8" w:firstLineChars="4"/>
              <w:jc w:val="center"/>
              <w:rPr>
                <w:rFonts w:hint="eastAsia" w:ascii="仿宋" w:hAnsi="仿宋" w:eastAsia="仿宋" w:cs="仿宋"/>
                <w:sz w:val="21"/>
                <w:szCs w:val="21"/>
              </w:rPr>
            </w:pPr>
            <w:r>
              <w:rPr>
                <w:rFonts w:hint="eastAsia" w:ascii="仿宋" w:hAnsi="仿宋" w:eastAsia="仿宋" w:cs="仿宋"/>
                <w:sz w:val="21"/>
                <w:szCs w:val="21"/>
              </w:rPr>
              <w:t>投标总价（元）</w:t>
            </w:r>
          </w:p>
        </w:tc>
        <w:tc>
          <w:tcPr>
            <w:tcW w:w="7245" w:type="dxa"/>
            <w:tcBorders>
              <w:right w:val="single" w:color="auto" w:sz="4" w:space="0"/>
            </w:tcBorders>
            <w:noWrap w:val="0"/>
            <w:vAlign w:val="center"/>
          </w:tcPr>
          <w:p w14:paraId="2E48D9ED">
            <w:pPr>
              <w:widowControl/>
              <w:spacing w:line="360" w:lineRule="auto"/>
              <w:rPr>
                <w:rFonts w:hint="eastAsia" w:ascii="仿宋" w:hAnsi="仿宋" w:eastAsia="仿宋" w:cs="仿宋"/>
                <w:szCs w:val="21"/>
              </w:rPr>
            </w:pPr>
            <w:r>
              <w:rPr>
                <w:rFonts w:hint="eastAsia" w:ascii="仿宋" w:hAnsi="仿宋" w:eastAsia="仿宋" w:cs="仿宋"/>
                <w:szCs w:val="21"/>
              </w:rPr>
              <w:t>大写：</w:t>
            </w:r>
          </w:p>
          <w:p w14:paraId="669AF0F0">
            <w:pPr>
              <w:widowControl/>
              <w:spacing w:line="360" w:lineRule="auto"/>
              <w:rPr>
                <w:rFonts w:hint="eastAsia" w:ascii="仿宋" w:hAnsi="仿宋" w:eastAsia="仿宋" w:cs="仿宋"/>
                <w:szCs w:val="21"/>
              </w:rPr>
            </w:pPr>
            <w:r>
              <w:rPr>
                <w:rFonts w:hint="eastAsia" w:ascii="仿宋" w:hAnsi="仿宋" w:eastAsia="仿宋" w:cs="仿宋"/>
                <w:szCs w:val="21"/>
              </w:rPr>
              <w:t>小写：</w:t>
            </w:r>
          </w:p>
        </w:tc>
      </w:tr>
      <w:tr w14:paraId="42F3E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40" w:hRule="atLeast"/>
        </w:trPr>
        <w:tc>
          <w:tcPr>
            <w:tcW w:w="2415" w:type="dxa"/>
            <w:noWrap w:val="0"/>
            <w:vAlign w:val="center"/>
          </w:tcPr>
          <w:p w14:paraId="770E6D2E">
            <w:pPr>
              <w:spacing w:before="120" w:line="360" w:lineRule="auto"/>
              <w:ind w:firstLine="8" w:firstLineChars="4"/>
              <w:jc w:val="center"/>
              <w:rPr>
                <w:rFonts w:hint="eastAsia" w:ascii="仿宋" w:hAnsi="仿宋" w:eastAsia="仿宋" w:cs="仿宋"/>
                <w:sz w:val="21"/>
                <w:szCs w:val="21"/>
              </w:rPr>
            </w:pPr>
            <w:r>
              <w:rPr>
                <w:rFonts w:hint="eastAsia" w:ascii="仿宋" w:hAnsi="仿宋" w:eastAsia="仿宋" w:cs="仿宋"/>
                <w:sz w:val="21"/>
                <w:szCs w:val="21"/>
              </w:rPr>
              <w:t>合同履行期限</w:t>
            </w:r>
          </w:p>
        </w:tc>
        <w:tc>
          <w:tcPr>
            <w:tcW w:w="7245" w:type="dxa"/>
            <w:tcBorders>
              <w:right w:val="single" w:color="auto" w:sz="4" w:space="0"/>
            </w:tcBorders>
            <w:noWrap w:val="0"/>
            <w:vAlign w:val="center"/>
          </w:tcPr>
          <w:p w14:paraId="2FF1E327">
            <w:pPr>
              <w:widowControl/>
              <w:spacing w:line="360" w:lineRule="auto"/>
              <w:rPr>
                <w:rFonts w:hint="eastAsia" w:ascii="仿宋" w:hAnsi="仿宋" w:eastAsia="仿宋" w:cs="仿宋"/>
                <w:szCs w:val="21"/>
              </w:rPr>
            </w:pPr>
          </w:p>
        </w:tc>
      </w:tr>
      <w:tr w14:paraId="62798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40" w:hRule="atLeast"/>
        </w:trPr>
        <w:tc>
          <w:tcPr>
            <w:tcW w:w="2415" w:type="dxa"/>
            <w:noWrap w:val="0"/>
            <w:vAlign w:val="center"/>
          </w:tcPr>
          <w:p w14:paraId="175ED24C">
            <w:pPr>
              <w:spacing w:before="120" w:line="360" w:lineRule="auto"/>
              <w:ind w:firstLine="8" w:firstLineChars="4"/>
              <w:jc w:val="center"/>
              <w:rPr>
                <w:rFonts w:hint="eastAsia" w:ascii="仿宋" w:hAnsi="仿宋" w:eastAsia="仿宋" w:cs="仿宋"/>
                <w:sz w:val="21"/>
                <w:szCs w:val="21"/>
              </w:rPr>
            </w:pPr>
            <w:r>
              <w:rPr>
                <w:rFonts w:hint="eastAsia" w:ascii="仿宋" w:hAnsi="仿宋" w:eastAsia="仿宋" w:cs="仿宋"/>
                <w:sz w:val="21"/>
                <w:szCs w:val="21"/>
              </w:rPr>
              <w:t>合同履行地点</w:t>
            </w:r>
          </w:p>
        </w:tc>
        <w:tc>
          <w:tcPr>
            <w:tcW w:w="7245" w:type="dxa"/>
            <w:tcBorders>
              <w:right w:val="single" w:color="auto" w:sz="4" w:space="0"/>
            </w:tcBorders>
            <w:noWrap w:val="0"/>
            <w:vAlign w:val="center"/>
          </w:tcPr>
          <w:p w14:paraId="1498B4B9">
            <w:pPr>
              <w:widowControl/>
              <w:spacing w:line="360" w:lineRule="auto"/>
              <w:rPr>
                <w:rFonts w:hint="eastAsia" w:ascii="仿宋" w:hAnsi="仿宋" w:eastAsia="仿宋" w:cs="仿宋"/>
                <w:szCs w:val="21"/>
              </w:rPr>
            </w:pPr>
          </w:p>
        </w:tc>
      </w:tr>
      <w:tr w14:paraId="7ED53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25" w:hRule="atLeast"/>
        </w:trPr>
        <w:tc>
          <w:tcPr>
            <w:tcW w:w="2415" w:type="dxa"/>
            <w:noWrap w:val="0"/>
            <w:vAlign w:val="center"/>
          </w:tcPr>
          <w:p w14:paraId="0E78C4D6">
            <w:pPr>
              <w:spacing w:before="120" w:line="360" w:lineRule="auto"/>
              <w:ind w:firstLine="8" w:firstLineChars="4"/>
              <w:jc w:val="center"/>
              <w:rPr>
                <w:rFonts w:hint="eastAsia" w:ascii="仿宋" w:hAnsi="仿宋" w:eastAsia="仿宋" w:cs="仿宋"/>
                <w:sz w:val="21"/>
                <w:szCs w:val="21"/>
              </w:rPr>
            </w:pPr>
            <w:r>
              <w:rPr>
                <w:rFonts w:hint="eastAsia" w:ascii="仿宋" w:hAnsi="仿宋" w:eastAsia="仿宋" w:cs="仿宋"/>
                <w:sz w:val="21"/>
                <w:szCs w:val="21"/>
              </w:rPr>
              <w:t>投标保证金（元）</w:t>
            </w:r>
          </w:p>
        </w:tc>
        <w:tc>
          <w:tcPr>
            <w:tcW w:w="7245" w:type="dxa"/>
            <w:tcBorders>
              <w:right w:val="single" w:color="auto" w:sz="4" w:space="0"/>
            </w:tcBorders>
            <w:noWrap w:val="0"/>
            <w:vAlign w:val="center"/>
          </w:tcPr>
          <w:p w14:paraId="134AF7EF">
            <w:pPr>
              <w:widowControl/>
              <w:spacing w:line="360" w:lineRule="auto"/>
              <w:rPr>
                <w:rFonts w:hint="eastAsia" w:ascii="仿宋" w:hAnsi="仿宋" w:eastAsia="仿宋" w:cs="仿宋"/>
                <w:szCs w:val="21"/>
              </w:rPr>
            </w:pPr>
          </w:p>
        </w:tc>
      </w:tr>
      <w:tr w14:paraId="34A92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47" w:hRule="atLeast"/>
        </w:trPr>
        <w:tc>
          <w:tcPr>
            <w:tcW w:w="2415" w:type="dxa"/>
            <w:noWrap w:val="0"/>
            <w:vAlign w:val="center"/>
          </w:tcPr>
          <w:p w14:paraId="3340C195">
            <w:pPr>
              <w:spacing w:before="120" w:line="360" w:lineRule="auto"/>
              <w:ind w:firstLine="8" w:firstLineChars="4"/>
              <w:jc w:val="center"/>
              <w:rPr>
                <w:rFonts w:hint="default" w:ascii="仿宋" w:hAnsi="仿宋" w:eastAsia="仿宋" w:cs="仿宋"/>
                <w:sz w:val="21"/>
                <w:szCs w:val="21"/>
                <w:lang w:val="en-US" w:eastAsia="zh-CN"/>
              </w:rPr>
            </w:pPr>
            <w:r>
              <w:rPr>
                <w:rFonts w:hint="eastAsia" w:ascii="仿宋" w:hAnsi="仿宋" w:eastAsia="仿宋" w:cs="仿宋"/>
                <w:sz w:val="21"/>
                <w:szCs w:val="21"/>
              </w:rPr>
              <w:t>其他承诺或声明</w:t>
            </w:r>
          </w:p>
        </w:tc>
        <w:tc>
          <w:tcPr>
            <w:tcW w:w="7245" w:type="dxa"/>
            <w:tcBorders>
              <w:right w:val="single" w:color="auto" w:sz="4" w:space="0"/>
            </w:tcBorders>
            <w:noWrap w:val="0"/>
            <w:vAlign w:val="center"/>
          </w:tcPr>
          <w:p w14:paraId="65BA6170">
            <w:pPr>
              <w:widowControl/>
              <w:spacing w:line="360" w:lineRule="auto"/>
              <w:rPr>
                <w:rFonts w:hint="eastAsia" w:ascii="仿宋" w:hAnsi="仿宋" w:eastAsia="仿宋" w:cs="仿宋"/>
                <w:szCs w:val="21"/>
              </w:rPr>
            </w:pPr>
          </w:p>
        </w:tc>
      </w:tr>
    </w:tbl>
    <w:p w14:paraId="0E806C62">
      <w:pPr>
        <w:spacing w:line="360" w:lineRule="auto"/>
        <w:ind w:firstLine="441" w:firstLineChars="210"/>
        <w:rPr>
          <w:rFonts w:hint="eastAsia" w:ascii="仿宋" w:hAnsi="仿宋" w:eastAsia="仿宋" w:cs="仿宋"/>
          <w:szCs w:val="21"/>
        </w:rPr>
      </w:pPr>
      <w:r>
        <w:rPr>
          <w:rFonts w:hint="eastAsia" w:ascii="仿宋" w:hAnsi="仿宋" w:eastAsia="仿宋" w:cs="仿宋"/>
          <w:szCs w:val="21"/>
        </w:rPr>
        <w:t xml:space="preserve">注： </w:t>
      </w:r>
    </w:p>
    <w:p w14:paraId="6249216F">
      <w:pPr>
        <w:spacing w:line="360" w:lineRule="auto"/>
        <w:ind w:firstLine="441" w:firstLineChars="210"/>
        <w:rPr>
          <w:rFonts w:hint="eastAsia" w:ascii="仿宋" w:hAnsi="仿宋" w:eastAsia="仿宋" w:cs="仿宋"/>
          <w:szCs w:val="21"/>
        </w:rPr>
      </w:pPr>
      <w:r>
        <w:rPr>
          <w:rFonts w:hint="eastAsia" w:ascii="仿宋" w:hAnsi="仿宋" w:eastAsia="仿宋" w:cs="仿宋"/>
          <w:szCs w:val="21"/>
        </w:rPr>
        <w:t>1.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724273FA">
      <w:pPr>
        <w:spacing w:line="360" w:lineRule="auto"/>
        <w:ind w:firstLine="441" w:firstLineChars="210"/>
        <w:rPr>
          <w:rFonts w:hint="eastAsia" w:ascii="仿宋" w:hAnsi="仿宋" w:eastAsia="仿宋" w:cs="仿宋"/>
          <w:szCs w:val="21"/>
        </w:rPr>
      </w:pPr>
      <w:r>
        <w:rPr>
          <w:rFonts w:hint="eastAsia" w:ascii="仿宋" w:hAnsi="仿宋" w:eastAsia="仿宋" w:cs="仿宋"/>
          <w:szCs w:val="21"/>
        </w:rPr>
        <w:t>2.此表中的投标总价即为最终报价，不允许有任何调整，如有价格折扣，应在投标声明中列出，开标时一并予以公布，未在本表中列出的价格折扣一律不予认可。</w:t>
      </w:r>
    </w:p>
    <w:p w14:paraId="041C367D">
      <w:pPr>
        <w:spacing w:line="360" w:lineRule="auto"/>
        <w:ind w:firstLine="210" w:firstLineChars="100"/>
        <w:rPr>
          <w:rFonts w:hint="eastAsia" w:ascii="仿宋" w:hAnsi="仿宋" w:eastAsia="仿宋" w:cs="仿宋"/>
          <w:szCs w:val="21"/>
        </w:rPr>
      </w:pPr>
    </w:p>
    <w:p w14:paraId="121A8706">
      <w:pPr>
        <w:spacing w:line="360" w:lineRule="auto"/>
        <w:ind w:firstLine="210" w:firstLineChars="100"/>
        <w:rPr>
          <w:rFonts w:hint="eastAsia" w:ascii="仿宋" w:hAnsi="仿宋" w:eastAsia="仿宋" w:cs="仿宋"/>
          <w:szCs w:val="21"/>
        </w:rPr>
      </w:pPr>
    </w:p>
    <w:p w14:paraId="4B91D2F1">
      <w:pPr>
        <w:spacing w:line="360" w:lineRule="auto"/>
        <w:ind w:firstLine="210" w:firstLineChars="100"/>
        <w:rPr>
          <w:rFonts w:hint="eastAsia" w:ascii="仿宋" w:hAnsi="仿宋" w:eastAsia="仿宋" w:cs="仿宋"/>
          <w:szCs w:val="21"/>
        </w:rPr>
      </w:pPr>
    </w:p>
    <w:p w14:paraId="7068F6F8">
      <w:pPr>
        <w:spacing w:line="360" w:lineRule="auto"/>
        <w:ind w:firstLine="210" w:firstLineChars="100"/>
        <w:rPr>
          <w:rFonts w:hint="eastAsia" w:ascii="仿宋" w:hAnsi="仿宋" w:eastAsia="仿宋" w:cs="仿宋"/>
          <w:szCs w:val="21"/>
        </w:rPr>
      </w:pPr>
    </w:p>
    <w:p w14:paraId="08818D7C">
      <w:pPr>
        <w:spacing w:line="360" w:lineRule="auto"/>
        <w:ind w:firstLine="210" w:firstLineChars="100"/>
        <w:rPr>
          <w:rFonts w:hint="eastAsia" w:ascii="仿宋" w:hAnsi="仿宋" w:eastAsia="仿宋" w:cs="仿宋"/>
          <w:szCs w:val="21"/>
        </w:rPr>
      </w:pPr>
      <w:r>
        <w:rPr>
          <w:rFonts w:hint="eastAsia" w:ascii="仿宋" w:hAnsi="仿宋" w:eastAsia="仿宋" w:cs="仿宋"/>
          <w:szCs w:val="21"/>
        </w:rPr>
        <w:t>投标人全称(加盖电子公章)：</w:t>
      </w:r>
    </w:p>
    <w:p w14:paraId="73481F11">
      <w:pPr>
        <w:spacing w:line="360" w:lineRule="auto"/>
        <w:ind w:firstLine="210" w:firstLineChars="100"/>
        <w:rPr>
          <w:rFonts w:hint="eastAsia" w:ascii="仿宋" w:hAnsi="仿宋" w:eastAsia="仿宋" w:cs="仿宋"/>
          <w:szCs w:val="21"/>
        </w:rPr>
      </w:pPr>
      <w:r>
        <w:rPr>
          <w:rFonts w:hint="eastAsia" w:ascii="仿宋" w:hAnsi="仿宋" w:eastAsia="仿宋" w:cs="仿宋"/>
          <w:szCs w:val="21"/>
        </w:rPr>
        <w:t>法定代表人或其委托代理人（电子签名）：</w:t>
      </w:r>
    </w:p>
    <w:p w14:paraId="569CD722">
      <w:pPr>
        <w:spacing w:line="360" w:lineRule="auto"/>
        <w:ind w:firstLine="210" w:firstLineChars="100"/>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日</w:t>
      </w:r>
    </w:p>
    <w:p w14:paraId="22C5B220">
      <w:pPr>
        <w:rPr>
          <w:rFonts w:hint="eastAsia" w:ascii="仿宋" w:hAnsi="仿宋" w:eastAsia="仿宋" w:cs="仿宋"/>
          <w:lang w:val="en-US" w:eastAsia="zh-CN"/>
        </w:rPr>
      </w:pPr>
      <w:bookmarkStart w:id="108" w:name="_Toc529957207"/>
      <w:bookmarkStart w:id="109" w:name="_Toc111813250"/>
      <w:bookmarkStart w:id="110" w:name="_Toc166764618"/>
      <w:bookmarkStart w:id="111" w:name="_Toc486584255"/>
      <w:r>
        <w:rPr>
          <w:rFonts w:hint="eastAsia" w:ascii="仿宋" w:hAnsi="仿宋" w:eastAsia="仿宋" w:cs="仿宋"/>
        </w:rPr>
        <w:br w:type="page"/>
      </w:r>
      <w:r>
        <w:rPr>
          <w:rFonts w:hint="eastAsia" w:ascii="仿宋" w:hAnsi="仿宋" w:eastAsia="仿宋" w:cs="仿宋"/>
          <w:lang w:val="en-US" w:eastAsia="zh-CN"/>
        </w:rPr>
        <w:t xml:space="preserve"> </w:t>
      </w:r>
    </w:p>
    <w:bookmarkEnd w:id="108"/>
    <w:bookmarkEnd w:id="109"/>
    <w:bookmarkEnd w:id="110"/>
    <w:bookmarkEnd w:id="111"/>
    <w:p w14:paraId="19FDCD56">
      <w:pPr>
        <w:pStyle w:val="5"/>
        <w:numPr>
          <w:ilvl w:val="2"/>
          <w:numId w:val="0"/>
        </w:numPr>
        <w:tabs>
          <w:tab w:val="clear" w:pos="900"/>
        </w:tabs>
        <w:spacing w:line="360" w:lineRule="auto"/>
        <w:ind w:left="1588" w:leftChars="0" w:hanging="737" w:firstLineChars="0"/>
        <w:jc w:val="center"/>
        <w:rPr>
          <w:rFonts w:hint="eastAsia" w:ascii="仿宋" w:hAnsi="仿宋" w:eastAsia="仿宋" w:cs="仿宋"/>
        </w:rPr>
      </w:pPr>
      <w:bookmarkStart w:id="112" w:name="_Toc529957208"/>
      <w:bookmarkStart w:id="113" w:name="_Toc486584256"/>
      <w:bookmarkStart w:id="114" w:name="_Toc450064609"/>
      <w:bookmarkStart w:id="115" w:name="_Toc111813251"/>
      <w:bookmarkStart w:id="116" w:name="_Toc166764620"/>
      <w:r>
        <w:rPr>
          <w:rFonts w:hint="eastAsia" w:ascii="仿宋" w:hAnsi="仿宋" w:eastAsia="仿宋" w:cs="仿宋"/>
        </w:rPr>
        <w:t>（</w:t>
      </w:r>
      <w:r>
        <w:rPr>
          <w:rFonts w:hint="eastAsia" w:ascii="仿宋" w:hAnsi="仿宋" w:eastAsia="仿宋" w:cs="仿宋"/>
          <w:lang w:val="en-US" w:eastAsia="zh-CN"/>
        </w:rPr>
        <w:t>二</w:t>
      </w:r>
      <w:r>
        <w:rPr>
          <w:rFonts w:hint="eastAsia" w:ascii="仿宋" w:hAnsi="仿宋" w:eastAsia="仿宋" w:cs="仿宋"/>
        </w:rPr>
        <w:t>）《中小企业声明函》</w:t>
      </w:r>
      <w:bookmarkEnd w:id="112"/>
      <w:bookmarkEnd w:id="113"/>
      <w:bookmarkEnd w:id="114"/>
      <w:r>
        <w:rPr>
          <w:rFonts w:hint="eastAsia" w:ascii="仿宋" w:hAnsi="仿宋" w:eastAsia="仿宋" w:cs="仿宋"/>
        </w:rPr>
        <w:t>（</w:t>
      </w:r>
      <w:r>
        <w:rPr>
          <w:rFonts w:hint="eastAsia" w:ascii="仿宋" w:hAnsi="仿宋" w:eastAsia="仿宋" w:cs="仿宋"/>
          <w:lang w:val="en-US" w:eastAsia="zh-CN"/>
        </w:rPr>
        <w:t>服务</w:t>
      </w:r>
      <w:r>
        <w:rPr>
          <w:rFonts w:hint="eastAsia" w:ascii="仿宋" w:hAnsi="仿宋" w:eastAsia="仿宋" w:cs="仿宋"/>
        </w:rPr>
        <w:t>）</w:t>
      </w:r>
      <w:bookmarkEnd w:id="115"/>
      <w:r>
        <w:rPr>
          <w:rFonts w:hint="eastAsia" w:ascii="仿宋" w:hAnsi="仿宋" w:eastAsia="仿宋" w:cs="仿宋"/>
        </w:rPr>
        <w:t>（若有）</w:t>
      </w:r>
      <w:bookmarkEnd w:id="116"/>
    </w:p>
    <w:p w14:paraId="5E0B47C7">
      <w:pPr>
        <w:pStyle w:val="60"/>
        <w:spacing w:before="120" w:line="360" w:lineRule="auto"/>
        <w:ind w:firstLine="480" w:firstLineChars="200"/>
        <w:rPr>
          <w:rFonts w:hint="eastAsia" w:ascii="仿宋" w:hAnsi="仿宋" w:eastAsia="仿宋" w:cs="仿宋"/>
          <w:color w:val="auto"/>
        </w:rPr>
      </w:pPr>
    </w:p>
    <w:p w14:paraId="1A440B1F">
      <w:pPr>
        <w:autoSpaceDE w:val="0"/>
        <w:autoSpaceDN w:val="0"/>
        <w:adjustRightInd w:val="0"/>
        <w:spacing w:line="360" w:lineRule="auto"/>
        <w:ind w:firstLine="420"/>
        <w:rPr>
          <w:rFonts w:hint="eastAsia" w:ascii="仿宋" w:hAnsi="仿宋" w:eastAsia="仿宋" w:cs="仿宋"/>
          <w:szCs w:val="21"/>
        </w:rPr>
      </w:pPr>
      <w:r>
        <w:rPr>
          <w:rFonts w:hint="eastAsia" w:ascii="仿宋" w:hAnsi="仿宋" w:eastAsia="仿宋" w:cs="仿宋"/>
          <w:szCs w:val="21"/>
        </w:rPr>
        <w:t>本公司（联合体）郑重声明，根据《政府采购促进中小企业发展管理办法》（财库﹝2020﹞46 号）的规定，本公司（联合体）参加</w:t>
      </w:r>
      <w:r>
        <w:rPr>
          <w:rFonts w:hint="eastAsia" w:ascii="仿宋" w:hAnsi="仿宋" w:eastAsia="仿宋" w:cs="仿宋"/>
          <w:szCs w:val="21"/>
          <w:u w:val="single"/>
        </w:rPr>
        <w:t>（单位名称）</w:t>
      </w:r>
      <w:r>
        <w:rPr>
          <w:rFonts w:hint="eastAsia" w:ascii="仿宋" w:hAnsi="仿宋" w:eastAsia="仿宋" w:cs="仿宋"/>
          <w:szCs w:val="21"/>
        </w:rPr>
        <w:t>的</w:t>
      </w:r>
      <w:r>
        <w:rPr>
          <w:rFonts w:hint="eastAsia" w:ascii="仿宋" w:hAnsi="仿宋" w:eastAsia="仿宋" w:cs="仿宋"/>
          <w:szCs w:val="21"/>
          <w:u w:val="single"/>
        </w:rPr>
        <w:t>（项目名称）</w:t>
      </w:r>
      <w:r>
        <w:rPr>
          <w:rFonts w:hint="eastAsia" w:ascii="仿宋" w:hAnsi="仿宋" w:eastAsia="仿宋" w:cs="仿宋"/>
          <w:szCs w:val="21"/>
        </w:rPr>
        <w:t>采购活动，提供的货物全部由符合政策要求的中小企业制造。相关企业（含联合体中的中小企业、签订分包意向协议的中小企业）的具体情况如下：</w:t>
      </w:r>
    </w:p>
    <w:p w14:paraId="5A161ABF">
      <w:pPr>
        <w:autoSpaceDE w:val="0"/>
        <w:autoSpaceDN w:val="0"/>
        <w:adjustRightInd w:val="0"/>
        <w:spacing w:line="360" w:lineRule="auto"/>
        <w:ind w:firstLine="420"/>
        <w:rPr>
          <w:rFonts w:hint="eastAsia" w:ascii="仿宋" w:hAnsi="仿宋" w:eastAsia="仿宋" w:cs="仿宋"/>
          <w:szCs w:val="21"/>
        </w:rPr>
      </w:pPr>
      <w:r>
        <w:rPr>
          <w:rFonts w:hint="eastAsia" w:ascii="仿宋" w:hAnsi="仿宋" w:eastAsia="仿宋" w:cs="仿宋"/>
          <w:szCs w:val="21"/>
        </w:rPr>
        <w:t xml:space="preserve">1. </w:t>
      </w:r>
      <w:r>
        <w:rPr>
          <w:rFonts w:hint="eastAsia" w:ascii="仿宋" w:hAnsi="仿宋" w:eastAsia="仿宋" w:cs="仿宋"/>
          <w:szCs w:val="21"/>
          <w:u w:val="single"/>
        </w:rPr>
        <w:t xml:space="preserve">（标的名称） </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rPr>
        <w:t>行业；制造商为</w:t>
      </w:r>
      <w:r>
        <w:rPr>
          <w:rFonts w:hint="eastAsia" w:ascii="仿宋" w:hAnsi="仿宋" w:eastAsia="仿宋" w:cs="仿宋"/>
          <w:szCs w:val="21"/>
          <w:u w:val="single"/>
        </w:rPr>
        <w:t>（企业名称）</w:t>
      </w:r>
      <w:r>
        <w:rPr>
          <w:rFonts w:hint="eastAsia" w:ascii="仿宋" w:hAnsi="仿宋" w:eastAsia="仿宋" w:cs="仿宋"/>
          <w:szCs w:val="21"/>
        </w:rPr>
        <w:t>，从业人员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w:t>
      </w:r>
      <w:r>
        <w:rPr>
          <w:rFonts w:hint="eastAsia" w:ascii="仿宋" w:hAnsi="仿宋" w:eastAsia="仿宋" w:cs="仿宋"/>
          <w:szCs w:val="21"/>
          <w:vertAlign w:val="superscript"/>
        </w:rPr>
        <w:t>1</w:t>
      </w:r>
      <w:r>
        <w:rPr>
          <w:rFonts w:hint="eastAsia" w:ascii="仿宋" w:hAnsi="仿宋" w:eastAsia="仿宋" w:cs="仿宋"/>
          <w:szCs w:val="21"/>
        </w:rPr>
        <w:t>，属于</w:t>
      </w:r>
      <w:r>
        <w:rPr>
          <w:rFonts w:hint="eastAsia" w:ascii="仿宋" w:hAnsi="仿宋" w:eastAsia="仿宋" w:cs="仿宋"/>
          <w:szCs w:val="21"/>
          <w:u w:val="single"/>
        </w:rPr>
        <w:t>（中型企业、小型企业、微型企业）</w:t>
      </w:r>
      <w:r>
        <w:rPr>
          <w:rFonts w:hint="eastAsia" w:ascii="仿宋" w:hAnsi="仿宋" w:eastAsia="仿宋" w:cs="仿宋"/>
          <w:szCs w:val="21"/>
        </w:rPr>
        <w:t>；</w:t>
      </w:r>
    </w:p>
    <w:p w14:paraId="6B59313C">
      <w:pPr>
        <w:autoSpaceDE w:val="0"/>
        <w:autoSpaceDN w:val="0"/>
        <w:adjustRightInd w:val="0"/>
        <w:spacing w:line="360" w:lineRule="auto"/>
        <w:ind w:firstLine="420"/>
        <w:rPr>
          <w:rFonts w:hint="eastAsia" w:ascii="仿宋" w:hAnsi="仿宋" w:eastAsia="仿宋" w:cs="仿宋"/>
          <w:szCs w:val="21"/>
        </w:rPr>
      </w:pPr>
      <w:r>
        <w:rPr>
          <w:rFonts w:hint="eastAsia" w:ascii="仿宋" w:hAnsi="仿宋" w:eastAsia="仿宋" w:cs="仿宋"/>
          <w:szCs w:val="21"/>
        </w:rPr>
        <w:t xml:space="preserve">2. </w:t>
      </w:r>
      <w:r>
        <w:rPr>
          <w:rFonts w:hint="eastAsia" w:ascii="仿宋" w:hAnsi="仿宋" w:eastAsia="仿宋" w:cs="仿宋"/>
          <w:szCs w:val="21"/>
          <w:u w:val="single"/>
        </w:rPr>
        <w:t xml:space="preserve">（标的名称） </w:t>
      </w:r>
      <w:r>
        <w:rPr>
          <w:rFonts w:hint="eastAsia" w:ascii="仿宋" w:hAnsi="仿宋" w:eastAsia="仿宋" w:cs="仿宋"/>
          <w:szCs w:val="21"/>
        </w:rPr>
        <w:t>，属于</w:t>
      </w:r>
      <w:r>
        <w:rPr>
          <w:rFonts w:hint="eastAsia" w:ascii="仿宋" w:hAnsi="仿宋" w:eastAsia="仿宋" w:cs="仿宋"/>
          <w:szCs w:val="21"/>
          <w:u w:val="single"/>
        </w:rPr>
        <w:t>（采购文件中明确的所属行业）</w:t>
      </w:r>
      <w:r>
        <w:rPr>
          <w:rFonts w:hint="eastAsia" w:ascii="仿宋" w:hAnsi="仿宋" w:eastAsia="仿宋" w:cs="仿宋"/>
          <w:szCs w:val="21"/>
        </w:rPr>
        <w:t>行业；制造商为</w:t>
      </w:r>
      <w:r>
        <w:rPr>
          <w:rFonts w:hint="eastAsia" w:ascii="仿宋" w:hAnsi="仿宋" w:eastAsia="仿宋" w:cs="仿宋"/>
          <w:szCs w:val="21"/>
          <w:u w:val="single"/>
        </w:rPr>
        <w:t>（企业名称）</w:t>
      </w:r>
      <w:r>
        <w:rPr>
          <w:rFonts w:hint="eastAsia" w:ascii="仿宋" w:hAnsi="仿宋" w:eastAsia="仿宋" w:cs="仿宋"/>
          <w:szCs w:val="21"/>
        </w:rPr>
        <w:t>，从业人员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（中型企业、小型企业、微型企业）</w:t>
      </w:r>
      <w:r>
        <w:rPr>
          <w:rFonts w:hint="eastAsia" w:ascii="仿宋" w:hAnsi="仿宋" w:eastAsia="仿宋" w:cs="仿宋"/>
          <w:szCs w:val="21"/>
        </w:rPr>
        <w:t>；</w:t>
      </w:r>
    </w:p>
    <w:p w14:paraId="18F12B56">
      <w:pPr>
        <w:autoSpaceDE w:val="0"/>
        <w:autoSpaceDN w:val="0"/>
        <w:adjustRightInd w:val="0"/>
        <w:spacing w:line="360" w:lineRule="auto"/>
        <w:ind w:firstLine="420"/>
        <w:rPr>
          <w:rFonts w:hint="eastAsia" w:ascii="仿宋" w:hAnsi="仿宋" w:eastAsia="仿宋" w:cs="仿宋"/>
          <w:szCs w:val="21"/>
        </w:rPr>
      </w:pPr>
      <w:r>
        <w:rPr>
          <w:rFonts w:hint="eastAsia" w:ascii="仿宋" w:hAnsi="仿宋" w:eastAsia="仿宋" w:cs="仿宋"/>
          <w:szCs w:val="21"/>
        </w:rPr>
        <w:t>……</w:t>
      </w:r>
    </w:p>
    <w:p w14:paraId="20E191D7">
      <w:pPr>
        <w:autoSpaceDE w:val="0"/>
        <w:autoSpaceDN w:val="0"/>
        <w:adjustRightInd w:val="0"/>
        <w:spacing w:line="360" w:lineRule="auto"/>
        <w:ind w:firstLine="420"/>
        <w:rPr>
          <w:rFonts w:hint="eastAsia"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6EA7C179">
      <w:pPr>
        <w:autoSpaceDE w:val="0"/>
        <w:autoSpaceDN w:val="0"/>
        <w:adjustRightInd w:val="0"/>
        <w:spacing w:line="360" w:lineRule="auto"/>
        <w:ind w:firstLine="420"/>
        <w:rPr>
          <w:rFonts w:hint="eastAsia"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645869CB">
      <w:pPr>
        <w:spacing w:line="360" w:lineRule="auto"/>
        <w:ind w:firstLine="420" w:firstLineChars="200"/>
        <w:rPr>
          <w:rFonts w:hint="eastAsia" w:ascii="仿宋" w:hAnsi="仿宋" w:eastAsia="仿宋" w:cs="仿宋"/>
          <w:szCs w:val="21"/>
        </w:rPr>
      </w:pPr>
    </w:p>
    <w:p w14:paraId="0E1C837D">
      <w:pPr>
        <w:pStyle w:val="60"/>
        <w:spacing w:before="120" w:line="360" w:lineRule="auto"/>
        <w:ind w:firstLine="5775" w:firstLineChars="2750"/>
        <w:rPr>
          <w:rFonts w:hint="eastAsia" w:ascii="仿宋" w:hAnsi="仿宋" w:eastAsia="仿宋" w:cs="仿宋"/>
          <w:color w:val="auto"/>
          <w:kern w:val="2"/>
          <w:sz w:val="21"/>
          <w:szCs w:val="21"/>
        </w:rPr>
      </w:pPr>
    </w:p>
    <w:p w14:paraId="5F5F78DB">
      <w:pPr>
        <w:pStyle w:val="60"/>
        <w:spacing w:before="120" w:line="360" w:lineRule="auto"/>
        <w:ind w:firstLine="5775" w:firstLineChars="2750"/>
        <w:rPr>
          <w:rFonts w:hint="eastAsia" w:ascii="仿宋" w:hAnsi="仿宋" w:eastAsia="仿宋" w:cs="仿宋"/>
          <w:color w:val="auto"/>
          <w:kern w:val="2"/>
          <w:sz w:val="21"/>
          <w:szCs w:val="21"/>
        </w:rPr>
      </w:pPr>
    </w:p>
    <w:p w14:paraId="56B24B1D">
      <w:pPr>
        <w:pStyle w:val="60"/>
        <w:spacing w:before="120" w:line="360" w:lineRule="auto"/>
        <w:ind w:firstLine="4830" w:firstLineChars="2300"/>
        <w:rPr>
          <w:rFonts w:hint="eastAsia" w:ascii="仿宋" w:hAnsi="仿宋" w:eastAsia="仿宋" w:cs="仿宋"/>
          <w:color w:val="auto"/>
          <w:sz w:val="21"/>
          <w:szCs w:val="21"/>
        </w:rPr>
      </w:pPr>
      <w:r>
        <w:rPr>
          <w:rFonts w:hint="eastAsia" w:ascii="仿宋" w:hAnsi="仿宋" w:eastAsia="仿宋" w:cs="仿宋"/>
          <w:color w:val="auto"/>
          <w:sz w:val="21"/>
          <w:szCs w:val="21"/>
        </w:rPr>
        <w:t>企业名称（加盖电子公章）：</w:t>
      </w:r>
    </w:p>
    <w:p w14:paraId="484444FB">
      <w:pPr>
        <w:spacing w:line="360" w:lineRule="auto"/>
        <w:ind w:right="960" w:firstLine="420" w:firstLineChars="200"/>
        <w:jc w:val="center"/>
        <w:rPr>
          <w:rFonts w:hint="eastAsia" w:ascii="仿宋" w:hAnsi="仿宋" w:eastAsia="仿宋" w:cs="仿宋"/>
          <w:szCs w:val="21"/>
        </w:rPr>
      </w:pPr>
      <w:r>
        <w:rPr>
          <w:rFonts w:hint="eastAsia" w:ascii="仿宋" w:hAnsi="仿宋" w:eastAsia="仿宋" w:cs="仿宋"/>
          <w:szCs w:val="21"/>
        </w:rPr>
        <w:t xml:space="preserve">                                                             </w:t>
      </w:r>
    </w:p>
    <w:p w14:paraId="0468054A">
      <w:pPr>
        <w:spacing w:line="360" w:lineRule="auto"/>
        <w:ind w:right="960" w:firstLine="420" w:firstLineChars="200"/>
        <w:jc w:val="center"/>
        <w:rPr>
          <w:rFonts w:hint="eastAsia" w:ascii="仿宋" w:hAnsi="仿宋" w:eastAsia="仿宋" w:cs="仿宋"/>
          <w:szCs w:val="21"/>
        </w:rPr>
      </w:pPr>
      <w:r>
        <w:rPr>
          <w:rFonts w:hint="eastAsia" w:ascii="仿宋" w:hAnsi="仿宋" w:eastAsia="仿宋" w:cs="仿宋"/>
          <w:szCs w:val="21"/>
        </w:rPr>
        <w:t xml:space="preserve">                                 日期：</w:t>
      </w:r>
      <w:r>
        <w:rPr>
          <w:rFonts w:hint="eastAsia" w:ascii="仿宋" w:hAnsi="仿宋" w:eastAsia="仿宋" w:cs="仿宋"/>
          <w:szCs w:val="21"/>
          <w:u w:val="single"/>
        </w:rPr>
        <w:t>______</w:t>
      </w:r>
      <w:r>
        <w:rPr>
          <w:rFonts w:hint="eastAsia" w:ascii="仿宋" w:hAnsi="仿宋" w:eastAsia="仿宋" w:cs="仿宋"/>
          <w:szCs w:val="21"/>
        </w:rPr>
        <w:t>年</w:t>
      </w:r>
      <w:r>
        <w:rPr>
          <w:rFonts w:hint="eastAsia" w:ascii="仿宋" w:hAnsi="仿宋" w:eastAsia="仿宋" w:cs="仿宋"/>
          <w:szCs w:val="21"/>
          <w:u w:val="single"/>
        </w:rPr>
        <w:t>_____</w:t>
      </w:r>
      <w:r>
        <w:rPr>
          <w:rFonts w:hint="eastAsia" w:ascii="仿宋" w:hAnsi="仿宋" w:eastAsia="仿宋" w:cs="仿宋"/>
          <w:szCs w:val="21"/>
        </w:rPr>
        <w:t>月</w:t>
      </w:r>
      <w:r>
        <w:rPr>
          <w:rFonts w:hint="eastAsia" w:ascii="仿宋" w:hAnsi="仿宋" w:eastAsia="仿宋" w:cs="仿宋"/>
          <w:szCs w:val="21"/>
          <w:u w:val="single"/>
        </w:rPr>
        <w:t>_____</w:t>
      </w:r>
      <w:r>
        <w:rPr>
          <w:rFonts w:hint="eastAsia" w:ascii="仿宋" w:hAnsi="仿宋" w:eastAsia="仿宋" w:cs="仿宋"/>
          <w:szCs w:val="21"/>
        </w:rPr>
        <w:t>日</w:t>
      </w:r>
    </w:p>
    <w:p w14:paraId="7F548BC0">
      <w:pPr>
        <w:pStyle w:val="7"/>
        <w:ind w:firstLine="422"/>
        <w:jc w:val="left"/>
        <w:rPr>
          <w:rFonts w:hint="eastAsia" w:ascii="仿宋" w:hAnsi="仿宋" w:eastAsia="仿宋" w:cs="仿宋"/>
          <w:b/>
        </w:rPr>
      </w:pPr>
    </w:p>
    <w:p w14:paraId="298BEB54">
      <w:pPr>
        <w:spacing w:line="360" w:lineRule="auto"/>
        <w:ind w:firstLine="422" w:firstLineChars="200"/>
        <w:rPr>
          <w:rFonts w:hint="eastAsia" w:ascii="仿宋" w:hAnsi="仿宋" w:eastAsia="仿宋" w:cs="仿宋"/>
          <w:b/>
        </w:rPr>
      </w:pPr>
      <w:r>
        <w:rPr>
          <w:rFonts w:hint="eastAsia" w:ascii="仿宋" w:hAnsi="仿宋" w:eastAsia="仿宋" w:cs="仿宋"/>
          <w:b/>
        </w:rPr>
        <w:t>注：</w:t>
      </w:r>
    </w:p>
    <w:p w14:paraId="3E7145C5">
      <w:pPr>
        <w:spacing w:line="360" w:lineRule="auto"/>
        <w:ind w:firstLine="422" w:firstLineChars="200"/>
        <w:rPr>
          <w:rFonts w:hint="eastAsia" w:ascii="仿宋" w:hAnsi="仿宋" w:eastAsia="仿宋" w:cs="仿宋"/>
          <w:b/>
        </w:rPr>
      </w:pPr>
      <w:r>
        <w:rPr>
          <w:rFonts w:hint="eastAsia" w:ascii="仿宋" w:hAnsi="仿宋" w:eastAsia="仿宋" w:cs="仿宋"/>
          <w:b/>
        </w:rPr>
        <w:t>1.从业人员、营业收入、资产总额填报上一年度数据，无上一年度数据的新成立企业可不填报。</w:t>
      </w:r>
    </w:p>
    <w:p w14:paraId="1D0580BB">
      <w:pPr>
        <w:spacing w:line="360" w:lineRule="auto"/>
        <w:ind w:firstLine="422" w:firstLineChars="200"/>
        <w:rPr>
          <w:rFonts w:hint="eastAsia" w:ascii="仿宋" w:hAnsi="仿宋" w:eastAsia="仿宋" w:cs="仿宋"/>
          <w:b/>
        </w:rPr>
      </w:pPr>
      <w:r>
        <w:rPr>
          <w:rFonts w:hint="eastAsia" w:ascii="仿宋" w:hAnsi="仿宋" w:eastAsia="仿宋" w:cs="仿宋"/>
          <w:b/>
        </w:rPr>
        <w:t>2.本规定所称中小企业划分标准，是指国务院有关部门根据企业从业人员、营业收入、资产总额等指标制定的中小企业划型标准，详见《关于印发中小企业划型标准规定的通知》（工信部联企业〔2011〕300号）。</w:t>
      </w:r>
    </w:p>
    <w:p w14:paraId="3B363057">
      <w:pPr>
        <w:pStyle w:val="2"/>
        <w:spacing w:line="360" w:lineRule="auto"/>
        <w:ind w:left="440"/>
        <w:rPr>
          <w:rFonts w:hint="eastAsia" w:ascii="仿宋" w:hAnsi="仿宋" w:eastAsia="仿宋" w:cs="仿宋"/>
        </w:rPr>
      </w:pPr>
      <w:r>
        <w:rPr>
          <w:rFonts w:hint="eastAsia" w:ascii="仿宋" w:hAnsi="仿宋" w:eastAsia="仿宋" w:cs="仿宋"/>
          <w:b/>
        </w:rPr>
        <w:br w:type="page"/>
      </w:r>
      <w:r>
        <w:rPr>
          <w:rFonts w:hint="eastAsia" w:ascii="仿宋" w:hAnsi="仿宋" w:eastAsia="仿宋" w:cs="仿宋"/>
        </w:rPr>
        <w:t>附件：</w:t>
      </w:r>
    </w:p>
    <w:p w14:paraId="7E5DE103">
      <w:pPr>
        <w:pStyle w:val="2"/>
        <w:spacing w:line="360" w:lineRule="auto"/>
        <w:ind w:left="440" w:firstLine="630" w:firstLineChars="300"/>
        <w:rPr>
          <w:rFonts w:hint="eastAsia" w:ascii="仿宋" w:hAnsi="仿宋" w:eastAsia="仿宋" w:cs="仿宋"/>
          <w:bCs/>
        </w:rPr>
      </w:pPr>
      <w:r>
        <w:rPr>
          <w:rFonts w:hint="eastAsia" w:ascii="仿宋" w:hAnsi="仿宋" w:eastAsia="仿宋" w:cs="仿宋"/>
          <w:bCs/>
        </w:rPr>
        <w:t>《关于印发中小企业划型标准规定的通知》（</w:t>
      </w:r>
      <w:r>
        <w:rPr>
          <w:rFonts w:hint="eastAsia" w:ascii="仿宋" w:hAnsi="仿宋" w:eastAsia="仿宋" w:cs="仿宋"/>
        </w:rPr>
        <w:t>工信部联企业〔2011〕300号</w:t>
      </w:r>
      <w:r>
        <w:rPr>
          <w:rFonts w:hint="eastAsia" w:ascii="仿宋" w:hAnsi="仿宋" w:eastAsia="仿宋" w:cs="仿宋"/>
          <w:bCs/>
        </w:rPr>
        <w:t>）中小企业划型标准规定节选：</w:t>
      </w:r>
    </w:p>
    <w:p w14:paraId="7F21B04C">
      <w:pPr>
        <w:pStyle w:val="2"/>
        <w:spacing w:line="360" w:lineRule="auto"/>
        <w:ind w:left="440" w:firstLine="630" w:firstLineChars="300"/>
        <w:rPr>
          <w:rFonts w:hint="eastAsia" w:ascii="仿宋" w:hAnsi="仿宋" w:eastAsia="仿宋" w:cs="仿宋"/>
        </w:rPr>
      </w:pPr>
    </w:p>
    <w:p w14:paraId="06986403">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四、各行业划型标准为：</w:t>
      </w:r>
    </w:p>
    <w:p w14:paraId="3C821686">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（一）农、林、牧、渔业。营业收入20000万元以下的为中小微型企业。其中，营业收入500万元及以上的为中型企业，营业收入50万元及以上的为小型企业，营业收入50万元以下的为微型企业。</w:t>
      </w:r>
    </w:p>
    <w:p w14:paraId="515BBB3E">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22CE87">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5AD3045">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127544">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13FB4BF">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FD115A">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710A24E">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9A50B21">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2BFB49">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3D429D">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23CCD45">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C73E451">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C170D3F">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3AAE515">
      <w:pPr>
        <w:pStyle w:val="12"/>
        <w:spacing w:line="360" w:lineRule="auto"/>
        <w:ind w:firstLine="210" w:firstLineChars="100"/>
        <w:jc w:val="left"/>
        <w:rPr>
          <w:rFonts w:hint="eastAsia" w:ascii="仿宋" w:hAnsi="仿宋" w:eastAsia="仿宋" w:cs="仿宋"/>
          <w:szCs w:val="21"/>
        </w:rPr>
      </w:pPr>
      <w:r>
        <w:rPr>
          <w:rFonts w:hint="eastAsia" w:ascii="仿宋" w:hAnsi="仿宋" w:eastAsia="仿宋" w:cs="仿宋"/>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EA9306F">
      <w:pPr>
        <w:spacing w:line="360" w:lineRule="auto"/>
        <w:ind w:firstLine="420" w:firstLineChars="200"/>
        <w:rPr>
          <w:rFonts w:hint="eastAsia" w:ascii="仿宋" w:hAnsi="仿宋" w:eastAsia="仿宋" w:cs="仿宋"/>
          <w:b/>
        </w:rPr>
      </w:pPr>
      <w:r>
        <w:rPr>
          <w:rFonts w:hint="eastAsia" w:ascii="仿宋" w:hAnsi="仿宋" w:eastAsia="仿宋" w:cs="仿宋"/>
          <w:szCs w:val="21"/>
        </w:rPr>
        <w:t>　　（十六）其他未列明行业。从业人员300人以下的为中小微型企业。其中，从业人员100人及以上的为中型企业；从业人员10人及以上的为小型企业；从业人员10人以下的为微型企业。</w:t>
      </w:r>
    </w:p>
    <w:p w14:paraId="448E4745">
      <w:pPr>
        <w:pStyle w:val="7"/>
        <w:ind w:firstLine="422"/>
        <w:jc w:val="left"/>
        <w:rPr>
          <w:rFonts w:hint="eastAsia" w:ascii="仿宋" w:hAnsi="仿宋" w:eastAsia="仿宋" w:cs="仿宋"/>
          <w:b/>
        </w:rPr>
      </w:pPr>
      <w:r>
        <w:rPr>
          <w:rFonts w:hint="eastAsia" w:ascii="仿宋" w:hAnsi="仿宋" w:eastAsia="仿宋" w:cs="仿宋"/>
          <w:b/>
        </w:rPr>
        <w:br w:type="page"/>
      </w:r>
    </w:p>
    <w:p w14:paraId="0C0CA745">
      <w:pPr>
        <w:pStyle w:val="7"/>
        <w:spacing w:before="240"/>
        <w:jc w:val="center"/>
        <w:rPr>
          <w:rFonts w:hint="eastAsia" w:ascii="仿宋" w:hAnsi="仿宋" w:eastAsia="仿宋" w:cs="仿宋"/>
          <w:b/>
          <w:sz w:val="32"/>
          <w:szCs w:val="32"/>
        </w:rPr>
      </w:pPr>
      <w:r>
        <w:rPr>
          <w:rFonts w:hint="eastAsia" w:ascii="仿宋" w:hAnsi="仿宋" w:eastAsia="仿宋" w:cs="仿宋"/>
          <w:b/>
          <w:sz w:val="32"/>
          <w:szCs w:val="32"/>
        </w:rPr>
        <w:t>残疾人福利性单位声明函（若有）</w:t>
      </w:r>
    </w:p>
    <w:p w14:paraId="6FE4DA20">
      <w:pPr>
        <w:pStyle w:val="7"/>
        <w:jc w:val="center"/>
        <w:rPr>
          <w:rFonts w:hint="eastAsia" w:ascii="仿宋" w:hAnsi="仿宋" w:eastAsia="仿宋" w:cs="仿宋"/>
          <w:sz w:val="32"/>
        </w:rPr>
      </w:pPr>
    </w:p>
    <w:p w14:paraId="6BD58E7E">
      <w:pPr>
        <w:spacing w:line="588" w:lineRule="exact"/>
        <w:ind w:firstLine="444" w:firstLineChars="200"/>
        <w:rPr>
          <w:rFonts w:hint="eastAsia" w:ascii="仿宋" w:hAnsi="仿宋" w:eastAsia="仿宋" w:cs="仿宋"/>
          <w:spacing w:val="6"/>
        </w:rPr>
      </w:pPr>
      <w:r>
        <w:rPr>
          <w:rFonts w:hint="eastAsia" w:ascii="仿宋" w:hAnsi="仿宋" w:eastAsia="仿宋" w:cs="仿宋"/>
          <w:spacing w:val="6"/>
        </w:rPr>
        <w:t>本单位郑重声明，根据《财政部 民政部 中国残疾人联合会关于促进残疾人就业政府采购政策的通知》（财库</w:t>
      </w:r>
      <w:r>
        <w:rPr>
          <w:rFonts w:hint="eastAsia" w:ascii="仿宋" w:hAnsi="仿宋" w:eastAsia="仿宋" w:cs="仿宋"/>
        </w:rPr>
        <w:t>〔2017〕 141</w:t>
      </w:r>
      <w:r>
        <w:rPr>
          <w:rFonts w:hint="eastAsia" w:ascii="仿宋" w:hAnsi="仿宋" w:eastAsia="仿宋" w:cs="仿宋"/>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5EB42C">
      <w:pPr>
        <w:spacing w:line="588" w:lineRule="exact"/>
        <w:ind w:firstLine="444" w:firstLineChars="200"/>
        <w:rPr>
          <w:rFonts w:hint="eastAsia" w:ascii="仿宋" w:hAnsi="仿宋" w:eastAsia="仿宋" w:cs="仿宋"/>
          <w:spacing w:val="6"/>
        </w:rPr>
      </w:pPr>
      <w:r>
        <w:rPr>
          <w:rFonts w:hint="eastAsia" w:ascii="仿宋" w:hAnsi="仿宋" w:eastAsia="仿宋" w:cs="仿宋"/>
          <w:spacing w:val="6"/>
        </w:rPr>
        <w:t>本单位对上述声明的真实性负责。如有虚假，将依法承担相应责任。</w:t>
      </w:r>
    </w:p>
    <w:p w14:paraId="6516C7D6">
      <w:pPr>
        <w:spacing w:line="588" w:lineRule="exact"/>
        <w:ind w:firstLine="444" w:firstLineChars="200"/>
        <w:rPr>
          <w:rFonts w:hint="eastAsia" w:ascii="仿宋" w:hAnsi="仿宋" w:eastAsia="仿宋" w:cs="仿宋"/>
          <w:spacing w:val="6"/>
        </w:rPr>
      </w:pPr>
    </w:p>
    <w:p w14:paraId="29E0F731">
      <w:pPr>
        <w:spacing w:line="588" w:lineRule="exact"/>
        <w:ind w:firstLine="444" w:firstLineChars="200"/>
        <w:rPr>
          <w:rFonts w:hint="eastAsia" w:ascii="仿宋" w:hAnsi="仿宋" w:eastAsia="仿宋" w:cs="仿宋"/>
          <w:spacing w:val="6"/>
        </w:rPr>
      </w:pPr>
    </w:p>
    <w:p w14:paraId="72B89FA5">
      <w:pPr>
        <w:spacing w:line="360" w:lineRule="auto"/>
        <w:ind w:firstLine="5692" w:firstLineChars="2700"/>
        <w:rPr>
          <w:rFonts w:hint="eastAsia" w:ascii="仿宋" w:hAnsi="仿宋" w:eastAsia="仿宋" w:cs="仿宋"/>
          <w:b/>
          <w:u w:val="single"/>
        </w:rPr>
      </w:pPr>
      <w:r>
        <w:rPr>
          <w:rFonts w:hint="eastAsia" w:ascii="仿宋" w:hAnsi="仿宋" w:eastAsia="仿宋" w:cs="仿宋"/>
          <w:b/>
        </w:rPr>
        <w:t>单位名称（加盖电子公章）：</w:t>
      </w:r>
    </w:p>
    <w:p w14:paraId="110B2BC7">
      <w:pPr>
        <w:spacing w:line="360" w:lineRule="auto"/>
        <w:ind w:firstLine="422" w:firstLineChars="200"/>
        <w:rPr>
          <w:rFonts w:hint="eastAsia" w:ascii="仿宋" w:hAnsi="仿宋" w:eastAsia="仿宋" w:cs="仿宋"/>
          <w:b/>
        </w:rPr>
      </w:pPr>
    </w:p>
    <w:p w14:paraId="38896099">
      <w:pPr>
        <w:wordWrap w:val="0"/>
        <w:spacing w:line="360" w:lineRule="auto"/>
        <w:ind w:right="315"/>
        <w:jc w:val="right"/>
        <w:rPr>
          <w:rFonts w:hint="eastAsia" w:ascii="仿宋" w:hAnsi="仿宋" w:eastAsia="仿宋" w:cs="仿宋"/>
          <w:b/>
        </w:rPr>
      </w:pPr>
      <w:r>
        <w:rPr>
          <w:rFonts w:hint="eastAsia" w:ascii="仿宋" w:hAnsi="仿宋" w:eastAsia="仿宋" w:cs="仿宋"/>
          <w:b/>
        </w:rPr>
        <w:t>日  期：</w:t>
      </w:r>
      <w:r>
        <w:rPr>
          <w:rFonts w:hint="eastAsia" w:ascii="仿宋" w:hAnsi="仿宋" w:eastAsia="仿宋" w:cs="仿宋"/>
          <w:b/>
          <w:u w:val="single"/>
        </w:rPr>
        <w:t xml:space="preserve">      </w:t>
      </w:r>
      <w:r>
        <w:rPr>
          <w:rFonts w:hint="eastAsia" w:ascii="仿宋" w:hAnsi="仿宋" w:eastAsia="仿宋" w:cs="仿宋"/>
          <w:b/>
        </w:rPr>
        <w:t>年</w:t>
      </w:r>
      <w:r>
        <w:rPr>
          <w:rFonts w:hint="eastAsia" w:ascii="仿宋" w:hAnsi="仿宋" w:eastAsia="仿宋" w:cs="仿宋"/>
          <w:b/>
          <w:u w:val="single"/>
        </w:rPr>
        <w:t xml:space="preserve">      </w:t>
      </w:r>
      <w:r>
        <w:rPr>
          <w:rFonts w:hint="eastAsia" w:ascii="仿宋" w:hAnsi="仿宋" w:eastAsia="仿宋" w:cs="仿宋"/>
          <w:b/>
        </w:rPr>
        <w:t>月</w:t>
      </w:r>
      <w:r>
        <w:rPr>
          <w:rFonts w:hint="eastAsia" w:ascii="仿宋" w:hAnsi="仿宋" w:eastAsia="仿宋" w:cs="仿宋"/>
          <w:b/>
          <w:u w:val="single"/>
        </w:rPr>
        <w:t xml:space="preserve">      </w:t>
      </w:r>
      <w:r>
        <w:rPr>
          <w:rFonts w:hint="eastAsia" w:ascii="仿宋" w:hAnsi="仿宋" w:eastAsia="仿宋" w:cs="仿宋"/>
          <w:b/>
        </w:rPr>
        <w:t>日</w:t>
      </w:r>
    </w:p>
    <w:p w14:paraId="79B6FE4A">
      <w:pPr>
        <w:spacing w:line="360" w:lineRule="auto"/>
        <w:ind w:firstLine="480" w:firstLineChars="200"/>
        <w:rPr>
          <w:rFonts w:hint="eastAsia" w:ascii="仿宋" w:hAnsi="仿宋" w:eastAsia="仿宋" w:cs="仿宋"/>
          <w:sz w:val="24"/>
        </w:rPr>
      </w:pPr>
    </w:p>
    <w:p w14:paraId="68584970">
      <w:pPr>
        <w:spacing w:line="360" w:lineRule="auto"/>
        <w:ind w:firstLine="480" w:firstLineChars="200"/>
        <w:rPr>
          <w:rFonts w:hint="eastAsia" w:ascii="仿宋" w:hAnsi="仿宋" w:eastAsia="仿宋" w:cs="仿宋"/>
          <w:sz w:val="24"/>
        </w:rPr>
      </w:pPr>
    </w:p>
    <w:p w14:paraId="7561E658">
      <w:pPr>
        <w:pStyle w:val="7"/>
        <w:spacing w:line="360" w:lineRule="auto"/>
        <w:ind w:firstLine="422"/>
        <w:jc w:val="left"/>
        <w:rPr>
          <w:rFonts w:hint="eastAsia" w:ascii="仿宋" w:hAnsi="仿宋" w:eastAsia="仿宋" w:cs="仿宋"/>
          <w:b/>
        </w:rPr>
      </w:pPr>
      <w:r>
        <w:rPr>
          <w:rFonts w:hint="eastAsia" w:ascii="仿宋" w:hAnsi="仿宋" w:eastAsia="仿宋" w:cs="仿宋"/>
          <w:b/>
        </w:rPr>
        <w:t>注：</w:t>
      </w:r>
    </w:p>
    <w:p w14:paraId="3547FC94">
      <w:pPr>
        <w:pStyle w:val="7"/>
        <w:spacing w:line="360" w:lineRule="auto"/>
        <w:ind w:firstLine="422"/>
        <w:jc w:val="left"/>
        <w:rPr>
          <w:rFonts w:hint="eastAsia" w:ascii="仿宋" w:hAnsi="仿宋" w:eastAsia="仿宋" w:cs="仿宋"/>
          <w:b/>
        </w:rPr>
      </w:pPr>
      <w:r>
        <w:rPr>
          <w:rFonts w:hint="eastAsia" w:ascii="仿宋" w:hAnsi="仿宋" w:eastAsia="仿宋" w:cs="仿宋"/>
          <w:b/>
        </w:rPr>
        <w:t>1、符合条件的残疾人福利性单位在参加政府采购活动时，应当按《三部门联合发布关于促进残疾人就业政府采购政策的通知》（财库〔2017〕141号）提供规定的《残疾人福利性单位声明函》，并对声明的真实性负责，如不提供本函，视为自愿放弃残疾人福利性单位扣减。</w:t>
      </w:r>
    </w:p>
    <w:p w14:paraId="456A79EC">
      <w:pPr>
        <w:pStyle w:val="7"/>
        <w:spacing w:line="360" w:lineRule="auto"/>
        <w:ind w:firstLine="422"/>
        <w:jc w:val="left"/>
        <w:rPr>
          <w:rFonts w:hint="eastAsia" w:ascii="仿宋" w:hAnsi="仿宋" w:eastAsia="仿宋" w:cs="仿宋"/>
          <w:b/>
        </w:rPr>
      </w:pPr>
      <w:r>
        <w:rPr>
          <w:rFonts w:hint="eastAsia" w:ascii="仿宋" w:hAnsi="仿宋" w:eastAsia="仿宋" w:cs="仿宋"/>
          <w:b/>
        </w:rPr>
        <w:t>2、中标人为残疾人福利性单位的，其《残疾人福利性单位声明函》将随中标结果同时公告，接受社会监督。投标人提供的《残疾人福利性单位声明函》与事实不符的，依照《政府采购法》第七十七条第一款的规定追究法律责任。</w:t>
      </w:r>
    </w:p>
    <w:p w14:paraId="3CCD7A69">
      <w:pPr>
        <w:rPr>
          <w:rFonts w:hint="eastAsia" w:ascii="仿宋" w:hAnsi="仿宋" w:eastAsia="仿宋" w:cs="仿宋"/>
        </w:rPr>
      </w:pPr>
    </w:p>
    <w:p w14:paraId="1D3E2F5F">
      <w:pPr>
        <w:tabs>
          <w:tab w:val="left" w:pos="4860"/>
        </w:tabs>
        <w:spacing w:line="360" w:lineRule="auto"/>
        <w:ind w:right="1560" w:firstLine="444" w:firstLineChars="200"/>
        <w:rPr>
          <w:rFonts w:hint="eastAsia" w:ascii="仿宋" w:hAnsi="仿宋" w:eastAsia="仿宋" w:cs="仿宋"/>
          <w:spacing w:val="6"/>
          <w:szCs w:val="21"/>
        </w:rPr>
      </w:pPr>
    </w:p>
    <w:p w14:paraId="2DFE7E03">
      <w:pPr>
        <w:tabs>
          <w:tab w:val="left" w:pos="4860"/>
        </w:tabs>
        <w:spacing w:line="360" w:lineRule="auto"/>
        <w:ind w:right="1560" w:firstLine="444" w:firstLineChars="200"/>
        <w:rPr>
          <w:rFonts w:hint="eastAsia" w:ascii="仿宋" w:hAnsi="仿宋" w:eastAsia="仿宋" w:cs="仿宋"/>
          <w:spacing w:val="6"/>
          <w:szCs w:val="21"/>
        </w:rPr>
      </w:pPr>
    </w:p>
    <w:p w14:paraId="3C96E6D0">
      <w:pPr>
        <w:tabs>
          <w:tab w:val="left" w:pos="4860"/>
        </w:tabs>
        <w:spacing w:line="360" w:lineRule="auto"/>
        <w:ind w:right="1560" w:firstLine="444" w:firstLineChars="200"/>
        <w:rPr>
          <w:rFonts w:hint="eastAsia" w:ascii="仿宋" w:hAnsi="仿宋" w:eastAsia="仿宋" w:cs="仿宋"/>
          <w:spacing w:val="6"/>
          <w:szCs w:val="21"/>
        </w:rPr>
      </w:pPr>
    </w:p>
    <w:p w14:paraId="44BC356E">
      <w:pPr>
        <w:pStyle w:val="7"/>
        <w:ind w:firstLine="643"/>
        <w:jc w:val="center"/>
        <w:rPr>
          <w:rFonts w:hint="eastAsia" w:ascii="仿宋" w:hAnsi="仿宋" w:eastAsia="仿宋" w:cs="仿宋"/>
          <w:b/>
          <w:sz w:val="32"/>
          <w:szCs w:val="32"/>
        </w:rPr>
      </w:pPr>
    </w:p>
    <w:p w14:paraId="2C6B2D99">
      <w:pPr>
        <w:pStyle w:val="7"/>
        <w:ind w:firstLine="643"/>
        <w:jc w:val="center"/>
        <w:rPr>
          <w:rFonts w:hint="eastAsia" w:ascii="仿宋" w:hAnsi="仿宋" w:eastAsia="仿宋" w:cs="仿宋"/>
          <w:b/>
          <w:sz w:val="32"/>
          <w:szCs w:val="32"/>
        </w:rPr>
      </w:pPr>
      <w:bookmarkStart w:id="117" w:name="_Toc530392270"/>
      <w:bookmarkStart w:id="118" w:name="_Toc10117047"/>
      <w:r>
        <w:rPr>
          <w:rFonts w:hint="eastAsia" w:ascii="仿宋" w:hAnsi="仿宋" w:eastAsia="仿宋" w:cs="仿宋"/>
          <w:b/>
          <w:sz w:val="32"/>
          <w:szCs w:val="32"/>
        </w:rPr>
        <w:t>监狱企业证明材料</w:t>
      </w:r>
      <w:bookmarkEnd w:id="117"/>
      <w:bookmarkEnd w:id="118"/>
      <w:r>
        <w:rPr>
          <w:rFonts w:hint="eastAsia" w:ascii="仿宋" w:hAnsi="仿宋" w:eastAsia="仿宋" w:cs="仿宋"/>
          <w:b/>
          <w:sz w:val="32"/>
          <w:szCs w:val="32"/>
        </w:rPr>
        <w:t>（若有）</w:t>
      </w:r>
    </w:p>
    <w:p w14:paraId="5CEDF0FE">
      <w:pPr>
        <w:jc w:val="center"/>
        <w:rPr>
          <w:rFonts w:hint="eastAsia" w:ascii="仿宋" w:hAnsi="仿宋" w:eastAsia="仿宋" w:cs="仿宋"/>
          <w:szCs w:val="21"/>
          <w:shd w:val="clear" w:color="auto" w:fill="FFFFFF"/>
        </w:rPr>
      </w:pPr>
    </w:p>
    <w:p w14:paraId="62B46E7F">
      <w:pPr>
        <w:jc w:val="center"/>
        <w:rPr>
          <w:rFonts w:hint="eastAsia" w:ascii="仿宋" w:hAnsi="仿宋" w:eastAsia="仿宋" w:cs="仿宋"/>
        </w:rPr>
      </w:pPr>
      <w:r>
        <w:rPr>
          <w:rFonts w:hint="eastAsia" w:ascii="仿宋" w:hAnsi="仿宋" w:eastAsia="仿宋" w:cs="仿宋"/>
          <w:szCs w:val="21"/>
          <w:shd w:val="clear" w:color="auto" w:fill="FFFFFF"/>
        </w:rPr>
        <w:t>附监狱企业证明材料扫描件</w:t>
      </w:r>
    </w:p>
    <w:bookmarkEnd w:id="102"/>
    <w:bookmarkEnd w:id="103"/>
    <w:p w14:paraId="3BED95D2">
      <w:pPr>
        <w:pStyle w:val="7"/>
        <w:spacing w:before="240"/>
        <w:ind w:left="0" w:leftChars="0" w:firstLine="0" w:firstLineChars="0"/>
        <w:jc w:val="center"/>
        <w:rPr>
          <w:rFonts w:hint="eastAsia" w:ascii="仿宋" w:hAnsi="仿宋" w:eastAsia="仿宋" w:cs="仿宋"/>
          <w:b/>
          <w:sz w:val="32"/>
          <w:szCs w:val="32"/>
        </w:rPr>
      </w:pPr>
      <w:bookmarkStart w:id="119" w:name="_Toc529957209"/>
      <w:bookmarkStart w:id="120" w:name="_Toc450064606"/>
      <w:bookmarkStart w:id="121" w:name="_Toc389644557"/>
      <w:bookmarkStart w:id="122" w:name="_Toc486584257"/>
      <w:bookmarkStart w:id="123" w:name="_Toc38173197"/>
      <w:bookmarkStart w:id="124" w:name="_Toc31603098"/>
      <w:bookmarkStart w:id="125" w:name="_Toc78603134"/>
      <w:r>
        <w:rPr>
          <w:rFonts w:hint="eastAsia" w:ascii="仿宋" w:hAnsi="仿宋" w:eastAsia="仿宋" w:cs="仿宋"/>
          <w:sz w:val="32"/>
        </w:rPr>
        <w:br w:type="page"/>
      </w:r>
      <w:bookmarkStart w:id="126" w:name="_Toc465068300"/>
      <w:bookmarkStart w:id="127" w:name="_Toc18053883"/>
      <w:bookmarkStart w:id="128" w:name="_Toc10117048"/>
      <w:r>
        <w:rPr>
          <w:rFonts w:hint="eastAsia" w:ascii="仿宋" w:hAnsi="仿宋" w:eastAsia="仿宋" w:cs="仿宋"/>
          <w:b/>
          <w:sz w:val="32"/>
          <w:szCs w:val="32"/>
        </w:rPr>
        <w:t>节能环保产品</w:t>
      </w:r>
      <w:bookmarkEnd w:id="126"/>
      <w:r>
        <w:rPr>
          <w:rFonts w:hint="eastAsia" w:ascii="仿宋" w:hAnsi="仿宋" w:eastAsia="仿宋" w:cs="仿宋"/>
          <w:b/>
          <w:sz w:val="32"/>
          <w:szCs w:val="32"/>
        </w:rPr>
        <w:t>清单</w:t>
      </w:r>
      <w:bookmarkEnd w:id="127"/>
    </w:p>
    <w:p w14:paraId="35ECCCC7">
      <w:pPr>
        <w:pStyle w:val="7"/>
        <w:ind w:firstLine="640"/>
        <w:jc w:val="center"/>
        <w:rPr>
          <w:rFonts w:hint="eastAsia" w:ascii="仿宋" w:hAnsi="仿宋" w:eastAsia="仿宋" w:cs="仿宋"/>
          <w:sz w:val="36"/>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3119"/>
        <w:gridCol w:w="2551"/>
        <w:gridCol w:w="2678"/>
      </w:tblGrid>
      <w:tr w14:paraId="1A59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6" w:type="dxa"/>
            <w:noWrap w:val="0"/>
            <w:vAlign w:val="center"/>
          </w:tcPr>
          <w:p w14:paraId="363F2696">
            <w:pPr>
              <w:pStyle w:val="7"/>
              <w:ind w:firstLine="422"/>
              <w:jc w:val="center"/>
              <w:rPr>
                <w:rFonts w:hint="eastAsia" w:ascii="仿宋" w:hAnsi="仿宋" w:eastAsia="仿宋" w:cs="仿宋"/>
                <w:b/>
              </w:rPr>
            </w:pPr>
            <w:r>
              <w:rPr>
                <w:rFonts w:hint="eastAsia" w:ascii="仿宋" w:hAnsi="仿宋" w:eastAsia="仿宋" w:cs="仿宋"/>
                <w:b/>
              </w:rPr>
              <w:t>序号</w:t>
            </w:r>
          </w:p>
        </w:tc>
        <w:tc>
          <w:tcPr>
            <w:tcW w:w="3119" w:type="dxa"/>
            <w:noWrap w:val="0"/>
            <w:vAlign w:val="center"/>
          </w:tcPr>
          <w:p w14:paraId="430FBD77">
            <w:pPr>
              <w:pStyle w:val="7"/>
              <w:ind w:firstLine="422"/>
              <w:jc w:val="center"/>
              <w:rPr>
                <w:rFonts w:hint="eastAsia" w:ascii="仿宋" w:hAnsi="仿宋" w:eastAsia="仿宋" w:cs="仿宋"/>
                <w:b/>
              </w:rPr>
            </w:pPr>
            <w:r>
              <w:rPr>
                <w:rFonts w:hint="eastAsia" w:ascii="仿宋" w:hAnsi="仿宋" w:eastAsia="仿宋" w:cs="仿宋"/>
                <w:b/>
              </w:rPr>
              <w:t>设备名称</w:t>
            </w:r>
          </w:p>
        </w:tc>
        <w:tc>
          <w:tcPr>
            <w:tcW w:w="2551" w:type="dxa"/>
            <w:noWrap w:val="0"/>
            <w:vAlign w:val="center"/>
          </w:tcPr>
          <w:p w14:paraId="479B02AE">
            <w:pPr>
              <w:pStyle w:val="7"/>
              <w:ind w:firstLine="422"/>
              <w:jc w:val="center"/>
              <w:rPr>
                <w:rFonts w:hint="eastAsia" w:ascii="仿宋" w:hAnsi="仿宋" w:eastAsia="仿宋" w:cs="仿宋"/>
                <w:b/>
              </w:rPr>
            </w:pPr>
            <w:r>
              <w:rPr>
                <w:rFonts w:hint="eastAsia" w:ascii="仿宋" w:hAnsi="仿宋" w:eastAsia="仿宋" w:cs="仿宋"/>
                <w:b/>
              </w:rPr>
              <w:t>依据标准</w:t>
            </w:r>
          </w:p>
        </w:tc>
        <w:tc>
          <w:tcPr>
            <w:tcW w:w="2678" w:type="dxa"/>
            <w:noWrap w:val="0"/>
            <w:vAlign w:val="center"/>
          </w:tcPr>
          <w:p w14:paraId="20B89637">
            <w:pPr>
              <w:pStyle w:val="7"/>
              <w:ind w:firstLine="422"/>
              <w:jc w:val="center"/>
              <w:rPr>
                <w:rFonts w:hint="eastAsia" w:ascii="仿宋" w:hAnsi="仿宋" w:eastAsia="仿宋" w:cs="仿宋"/>
                <w:b/>
              </w:rPr>
            </w:pPr>
            <w:r>
              <w:rPr>
                <w:rFonts w:hint="eastAsia" w:ascii="仿宋" w:hAnsi="仿宋" w:eastAsia="仿宋" w:cs="仿宋"/>
                <w:b/>
              </w:rPr>
              <w:t>备注</w:t>
            </w:r>
          </w:p>
        </w:tc>
      </w:tr>
      <w:tr w14:paraId="776D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6" w:type="dxa"/>
            <w:noWrap w:val="0"/>
            <w:vAlign w:val="center"/>
          </w:tcPr>
          <w:p w14:paraId="4F64FFF9">
            <w:pPr>
              <w:pStyle w:val="7"/>
              <w:ind w:firstLine="422"/>
              <w:jc w:val="center"/>
              <w:rPr>
                <w:rFonts w:hint="eastAsia" w:ascii="仿宋" w:hAnsi="仿宋" w:eastAsia="仿宋" w:cs="仿宋"/>
                <w:b/>
              </w:rPr>
            </w:pPr>
            <w:r>
              <w:rPr>
                <w:rFonts w:hint="eastAsia" w:ascii="仿宋" w:hAnsi="仿宋" w:eastAsia="仿宋" w:cs="仿宋"/>
                <w:b/>
              </w:rPr>
              <w:t>1</w:t>
            </w:r>
          </w:p>
        </w:tc>
        <w:tc>
          <w:tcPr>
            <w:tcW w:w="3119" w:type="dxa"/>
            <w:noWrap w:val="0"/>
            <w:vAlign w:val="center"/>
          </w:tcPr>
          <w:p w14:paraId="007C8828">
            <w:pPr>
              <w:pStyle w:val="7"/>
              <w:ind w:firstLine="422"/>
              <w:jc w:val="center"/>
              <w:rPr>
                <w:rFonts w:hint="eastAsia" w:ascii="仿宋" w:hAnsi="仿宋" w:eastAsia="仿宋" w:cs="仿宋"/>
                <w:b/>
              </w:rPr>
            </w:pPr>
          </w:p>
        </w:tc>
        <w:tc>
          <w:tcPr>
            <w:tcW w:w="2551" w:type="dxa"/>
            <w:noWrap w:val="0"/>
            <w:vAlign w:val="center"/>
          </w:tcPr>
          <w:p w14:paraId="217D7F4B">
            <w:pPr>
              <w:pStyle w:val="7"/>
              <w:ind w:firstLine="422"/>
              <w:jc w:val="center"/>
              <w:rPr>
                <w:rFonts w:hint="eastAsia" w:ascii="仿宋" w:hAnsi="仿宋" w:eastAsia="仿宋" w:cs="仿宋"/>
                <w:b/>
              </w:rPr>
            </w:pPr>
          </w:p>
        </w:tc>
        <w:tc>
          <w:tcPr>
            <w:tcW w:w="2678" w:type="dxa"/>
            <w:noWrap w:val="0"/>
            <w:vAlign w:val="center"/>
          </w:tcPr>
          <w:p w14:paraId="21F4F3A0">
            <w:pPr>
              <w:pStyle w:val="7"/>
              <w:ind w:firstLine="422"/>
              <w:jc w:val="center"/>
              <w:rPr>
                <w:rFonts w:hint="eastAsia" w:ascii="仿宋" w:hAnsi="仿宋" w:eastAsia="仿宋" w:cs="仿宋"/>
                <w:b/>
              </w:rPr>
            </w:pPr>
          </w:p>
        </w:tc>
      </w:tr>
      <w:tr w14:paraId="3FE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6" w:type="dxa"/>
            <w:noWrap w:val="0"/>
            <w:vAlign w:val="center"/>
          </w:tcPr>
          <w:p w14:paraId="31733DE5">
            <w:pPr>
              <w:pStyle w:val="7"/>
              <w:ind w:firstLine="422"/>
              <w:jc w:val="center"/>
              <w:rPr>
                <w:rFonts w:hint="eastAsia" w:ascii="仿宋" w:hAnsi="仿宋" w:eastAsia="仿宋" w:cs="仿宋"/>
                <w:b/>
              </w:rPr>
            </w:pPr>
            <w:r>
              <w:rPr>
                <w:rFonts w:hint="eastAsia" w:ascii="仿宋" w:hAnsi="仿宋" w:eastAsia="仿宋" w:cs="仿宋"/>
                <w:b/>
              </w:rPr>
              <w:t>2</w:t>
            </w:r>
          </w:p>
        </w:tc>
        <w:tc>
          <w:tcPr>
            <w:tcW w:w="3119" w:type="dxa"/>
            <w:noWrap w:val="0"/>
            <w:vAlign w:val="center"/>
          </w:tcPr>
          <w:p w14:paraId="6DB6F601">
            <w:pPr>
              <w:pStyle w:val="7"/>
              <w:ind w:firstLine="422"/>
              <w:jc w:val="center"/>
              <w:rPr>
                <w:rFonts w:hint="eastAsia" w:ascii="仿宋" w:hAnsi="仿宋" w:eastAsia="仿宋" w:cs="仿宋"/>
                <w:b/>
              </w:rPr>
            </w:pPr>
          </w:p>
        </w:tc>
        <w:tc>
          <w:tcPr>
            <w:tcW w:w="2551" w:type="dxa"/>
            <w:noWrap w:val="0"/>
            <w:vAlign w:val="center"/>
          </w:tcPr>
          <w:p w14:paraId="7B8FE87E">
            <w:pPr>
              <w:pStyle w:val="7"/>
              <w:ind w:firstLine="422"/>
              <w:jc w:val="center"/>
              <w:rPr>
                <w:rFonts w:hint="eastAsia" w:ascii="仿宋" w:hAnsi="仿宋" w:eastAsia="仿宋" w:cs="仿宋"/>
                <w:b/>
              </w:rPr>
            </w:pPr>
          </w:p>
        </w:tc>
        <w:tc>
          <w:tcPr>
            <w:tcW w:w="2678" w:type="dxa"/>
            <w:noWrap w:val="0"/>
            <w:vAlign w:val="center"/>
          </w:tcPr>
          <w:p w14:paraId="7150BF6A">
            <w:pPr>
              <w:pStyle w:val="7"/>
              <w:ind w:firstLine="422"/>
              <w:jc w:val="center"/>
              <w:rPr>
                <w:rFonts w:hint="eastAsia" w:ascii="仿宋" w:hAnsi="仿宋" w:eastAsia="仿宋" w:cs="仿宋"/>
                <w:b/>
              </w:rPr>
            </w:pPr>
          </w:p>
        </w:tc>
      </w:tr>
      <w:tr w14:paraId="5E97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6" w:type="dxa"/>
            <w:noWrap w:val="0"/>
            <w:vAlign w:val="center"/>
          </w:tcPr>
          <w:p w14:paraId="65285C44">
            <w:pPr>
              <w:pStyle w:val="7"/>
              <w:ind w:firstLine="422"/>
              <w:jc w:val="center"/>
              <w:rPr>
                <w:rFonts w:hint="eastAsia" w:ascii="仿宋" w:hAnsi="仿宋" w:eastAsia="仿宋" w:cs="仿宋"/>
                <w:b/>
              </w:rPr>
            </w:pPr>
            <w:r>
              <w:rPr>
                <w:rFonts w:hint="eastAsia" w:ascii="仿宋" w:hAnsi="仿宋" w:eastAsia="仿宋" w:cs="仿宋"/>
                <w:b/>
              </w:rPr>
              <w:t>3</w:t>
            </w:r>
          </w:p>
        </w:tc>
        <w:tc>
          <w:tcPr>
            <w:tcW w:w="3119" w:type="dxa"/>
            <w:noWrap w:val="0"/>
            <w:vAlign w:val="center"/>
          </w:tcPr>
          <w:p w14:paraId="637A93B1">
            <w:pPr>
              <w:pStyle w:val="7"/>
              <w:ind w:firstLine="422"/>
              <w:jc w:val="center"/>
              <w:rPr>
                <w:rFonts w:hint="eastAsia" w:ascii="仿宋" w:hAnsi="仿宋" w:eastAsia="仿宋" w:cs="仿宋"/>
                <w:b/>
              </w:rPr>
            </w:pPr>
          </w:p>
        </w:tc>
        <w:tc>
          <w:tcPr>
            <w:tcW w:w="2551" w:type="dxa"/>
            <w:noWrap w:val="0"/>
            <w:vAlign w:val="center"/>
          </w:tcPr>
          <w:p w14:paraId="7FA4C048">
            <w:pPr>
              <w:pStyle w:val="7"/>
              <w:ind w:firstLine="422"/>
              <w:jc w:val="center"/>
              <w:rPr>
                <w:rFonts w:hint="eastAsia" w:ascii="仿宋" w:hAnsi="仿宋" w:eastAsia="仿宋" w:cs="仿宋"/>
                <w:b/>
              </w:rPr>
            </w:pPr>
          </w:p>
        </w:tc>
        <w:tc>
          <w:tcPr>
            <w:tcW w:w="2678" w:type="dxa"/>
            <w:noWrap w:val="0"/>
            <w:vAlign w:val="center"/>
          </w:tcPr>
          <w:p w14:paraId="13E726A0">
            <w:pPr>
              <w:pStyle w:val="7"/>
              <w:ind w:firstLine="422"/>
              <w:jc w:val="center"/>
              <w:rPr>
                <w:rFonts w:hint="eastAsia" w:ascii="仿宋" w:hAnsi="仿宋" w:eastAsia="仿宋" w:cs="仿宋"/>
                <w:b/>
              </w:rPr>
            </w:pPr>
          </w:p>
        </w:tc>
      </w:tr>
      <w:tr w14:paraId="7C3F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6" w:type="dxa"/>
            <w:noWrap w:val="0"/>
            <w:vAlign w:val="center"/>
          </w:tcPr>
          <w:p w14:paraId="12F10960">
            <w:pPr>
              <w:pStyle w:val="7"/>
              <w:ind w:firstLine="422"/>
              <w:jc w:val="center"/>
              <w:rPr>
                <w:rFonts w:hint="eastAsia" w:ascii="仿宋" w:hAnsi="仿宋" w:eastAsia="仿宋" w:cs="仿宋"/>
                <w:b/>
              </w:rPr>
            </w:pPr>
            <w:r>
              <w:rPr>
                <w:rFonts w:hint="eastAsia" w:ascii="仿宋" w:hAnsi="仿宋" w:eastAsia="仿宋" w:cs="仿宋"/>
                <w:b/>
              </w:rPr>
              <w:t>…</w:t>
            </w:r>
          </w:p>
        </w:tc>
        <w:tc>
          <w:tcPr>
            <w:tcW w:w="3119" w:type="dxa"/>
            <w:noWrap w:val="0"/>
            <w:vAlign w:val="center"/>
          </w:tcPr>
          <w:p w14:paraId="408C688B">
            <w:pPr>
              <w:pStyle w:val="7"/>
              <w:ind w:firstLine="422"/>
              <w:jc w:val="center"/>
              <w:rPr>
                <w:rFonts w:hint="eastAsia" w:ascii="仿宋" w:hAnsi="仿宋" w:eastAsia="仿宋" w:cs="仿宋"/>
                <w:b/>
              </w:rPr>
            </w:pPr>
          </w:p>
        </w:tc>
        <w:tc>
          <w:tcPr>
            <w:tcW w:w="2551" w:type="dxa"/>
            <w:noWrap w:val="0"/>
            <w:vAlign w:val="center"/>
          </w:tcPr>
          <w:p w14:paraId="0DB2D02C">
            <w:pPr>
              <w:pStyle w:val="7"/>
              <w:ind w:firstLine="422"/>
              <w:jc w:val="center"/>
              <w:rPr>
                <w:rFonts w:hint="eastAsia" w:ascii="仿宋" w:hAnsi="仿宋" w:eastAsia="仿宋" w:cs="仿宋"/>
                <w:b/>
              </w:rPr>
            </w:pPr>
          </w:p>
        </w:tc>
        <w:tc>
          <w:tcPr>
            <w:tcW w:w="2678" w:type="dxa"/>
            <w:noWrap w:val="0"/>
            <w:vAlign w:val="center"/>
          </w:tcPr>
          <w:p w14:paraId="27FE67FF">
            <w:pPr>
              <w:pStyle w:val="7"/>
              <w:ind w:firstLine="422"/>
              <w:jc w:val="center"/>
              <w:rPr>
                <w:rFonts w:hint="eastAsia" w:ascii="仿宋" w:hAnsi="仿宋" w:eastAsia="仿宋" w:cs="仿宋"/>
                <w:b/>
              </w:rPr>
            </w:pPr>
          </w:p>
        </w:tc>
      </w:tr>
      <w:tr w14:paraId="3B4E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76" w:type="dxa"/>
            <w:noWrap w:val="0"/>
            <w:vAlign w:val="center"/>
          </w:tcPr>
          <w:p w14:paraId="0A46F8C2">
            <w:pPr>
              <w:pStyle w:val="7"/>
              <w:ind w:firstLine="422"/>
              <w:jc w:val="center"/>
              <w:rPr>
                <w:rFonts w:hint="eastAsia" w:ascii="仿宋" w:hAnsi="仿宋" w:eastAsia="仿宋" w:cs="仿宋"/>
                <w:b/>
              </w:rPr>
            </w:pPr>
            <w:r>
              <w:rPr>
                <w:rFonts w:hint="eastAsia" w:ascii="仿宋" w:hAnsi="仿宋" w:eastAsia="仿宋" w:cs="仿宋"/>
                <w:b/>
              </w:rPr>
              <w:t>…</w:t>
            </w:r>
          </w:p>
        </w:tc>
        <w:tc>
          <w:tcPr>
            <w:tcW w:w="3119" w:type="dxa"/>
            <w:noWrap w:val="0"/>
            <w:vAlign w:val="center"/>
          </w:tcPr>
          <w:p w14:paraId="40B794E8">
            <w:pPr>
              <w:pStyle w:val="7"/>
              <w:ind w:firstLine="422"/>
              <w:jc w:val="center"/>
              <w:rPr>
                <w:rFonts w:hint="eastAsia" w:ascii="仿宋" w:hAnsi="仿宋" w:eastAsia="仿宋" w:cs="仿宋"/>
                <w:b/>
              </w:rPr>
            </w:pPr>
          </w:p>
        </w:tc>
        <w:tc>
          <w:tcPr>
            <w:tcW w:w="2551" w:type="dxa"/>
            <w:noWrap w:val="0"/>
            <w:vAlign w:val="center"/>
          </w:tcPr>
          <w:p w14:paraId="7FC207BC">
            <w:pPr>
              <w:pStyle w:val="7"/>
              <w:ind w:firstLine="422"/>
              <w:jc w:val="center"/>
              <w:rPr>
                <w:rFonts w:hint="eastAsia" w:ascii="仿宋" w:hAnsi="仿宋" w:eastAsia="仿宋" w:cs="仿宋"/>
                <w:b/>
              </w:rPr>
            </w:pPr>
          </w:p>
        </w:tc>
        <w:tc>
          <w:tcPr>
            <w:tcW w:w="2678" w:type="dxa"/>
            <w:noWrap w:val="0"/>
            <w:vAlign w:val="center"/>
          </w:tcPr>
          <w:p w14:paraId="56D28503">
            <w:pPr>
              <w:pStyle w:val="7"/>
              <w:ind w:firstLine="422"/>
              <w:jc w:val="center"/>
              <w:rPr>
                <w:rFonts w:hint="eastAsia" w:ascii="仿宋" w:hAnsi="仿宋" w:eastAsia="仿宋" w:cs="仿宋"/>
                <w:b/>
              </w:rPr>
            </w:pPr>
          </w:p>
        </w:tc>
      </w:tr>
    </w:tbl>
    <w:p w14:paraId="488F2D44">
      <w:pPr>
        <w:pStyle w:val="7"/>
        <w:jc w:val="left"/>
        <w:rPr>
          <w:rFonts w:hint="eastAsia" w:ascii="仿宋" w:hAnsi="仿宋" w:eastAsia="仿宋" w:cs="仿宋"/>
        </w:rPr>
      </w:pPr>
    </w:p>
    <w:p w14:paraId="6CD90115">
      <w:pPr>
        <w:pStyle w:val="7"/>
        <w:jc w:val="left"/>
        <w:rPr>
          <w:rFonts w:hint="eastAsia" w:ascii="仿宋" w:hAnsi="仿宋" w:eastAsia="仿宋" w:cs="仿宋"/>
        </w:rPr>
      </w:pPr>
      <w:r>
        <w:rPr>
          <w:rFonts w:hint="eastAsia" w:ascii="仿宋" w:hAnsi="仿宋" w:eastAsia="仿宋" w:cs="仿宋"/>
        </w:rPr>
        <w:t>注：1、本表不填写不构成废标条款，但造成无法认定是否属于节能环保产品的不参与该项打分。</w:t>
      </w:r>
    </w:p>
    <w:p w14:paraId="48D0CF1E">
      <w:pPr>
        <w:spacing w:line="400" w:lineRule="atLeast"/>
        <w:ind w:firstLine="315" w:firstLineChars="150"/>
        <w:rPr>
          <w:rFonts w:hint="eastAsia" w:ascii="仿宋" w:hAnsi="仿宋" w:eastAsia="仿宋" w:cs="仿宋"/>
        </w:rPr>
      </w:pPr>
      <w:r>
        <w:rPr>
          <w:rFonts w:hint="eastAsia" w:ascii="仿宋" w:hAnsi="仿宋" w:eastAsia="仿宋" w:cs="仿宋"/>
        </w:rPr>
        <w:t>2、节能、环保产品认证证书附后。</w:t>
      </w:r>
    </w:p>
    <w:p w14:paraId="3A002192">
      <w:pPr>
        <w:spacing w:line="400" w:lineRule="atLeast"/>
        <w:ind w:firstLine="315" w:firstLineChars="150"/>
        <w:rPr>
          <w:rFonts w:hint="eastAsia" w:ascii="仿宋" w:hAnsi="仿宋" w:eastAsia="仿宋" w:cs="仿宋"/>
        </w:rPr>
      </w:pPr>
    </w:p>
    <w:p w14:paraId="51D232D8">
      <w:pPr>
        <w:spacing w:line="400" w:lineRule="atLeast"/>
        <w:ind w:firstLine="315" w:firstLineChars="150"/>
        <w:rPr>
          <w:rFonts w:hint="eastAsia" w:ascii="仿宋" w:hAnsi="仿宋" w:eastAsia="仿宋" w:cs="仿宋"/>
        </w:rPr>
      </w:pPr>
    </w:p>
    <w:p w14:paraId="184435A4">
      <w:pPr>
        <w:spacing w:before="60" w:after="60" w:line="480" w:lineRule="auto"/>
        <w:rPr>
          <w:rFonts w:hint="eastAsia" w:ascii="仿宋" w:hAnsi="仿宋" w:eastAsia="仿宋" w:cs="仿宋"/>
          <w:szCs w:val="21"/>
        </w:rPr>
      </w:pPr>
      <w:r>
        <w:rPr>
          <w:rFonts w:hint="eastAsia" w:ascii="仿宋" w:hAnsi="仿宋" w:eastAsia="仿宋" w:cs="仿宋"/>
          <w:szCs w:val="21"/>
        </w:rPr>
        <w:t>投标人全称(加盖电子公章)：</w:t>
      </w:r>
      <w:r>
        <w:rPr>
          <w:rFonts w:hint="eastAsia" w:ascii="仿宋" w:hAnsi="仿宋" w:eastAsia="仿宋" w:cs="仿宋"/>
          <w:szCs w:val="21"/>
          <w:u w:val="single"/>
        </w:rPr>
        <w:t xml:space="preserve">                                </w:t>
      </w:r>
    </w:p>
    <w:p w14:paraId="78A35F46">
      <w:pPr>
        <w:spacing w:before="60" w:after="60" w:line="480" w:lineRule="auto"/>
        <w:rPr>
          <w:rFonts w:hint="eastAsia" w:ascii="仿宋" w:hAnsi="仿宋" w:eastAsia="仿宋" w:cs="仿宋"/>
          <w:szCs w:val="21"/>
          <w:u w:val="single"/>
        </w:rPr>
      </w:pPr>
      <w:r>
        <w:rPr>
          <w:rFonts w:hint="eastAsia" w:ascii="仿宋" w:hAnsi="仿宋" w:eastAsia="仿宋" w:cs="仿宋"/>
          <w:szCs w:val="21"/>
        </w:rPr>
        <w:t>法定代表人</w:t>
      </w:r>
      <w:r>
        <w:rPr>
          <w:rFonts w:hint="eastAsia" w:ascii="仿宋" w:hAnsi="仿宋" w:eastAsia="仿宋" w:cs="仿宋"/>
        </w:rPr>
        <w:t>或委托代理人</w:t>
      </w:r>
      <w:r>
        <w:rPr>
          <w:rFonts w:hint="eastAsia" w:ascii="仿宋" w:hAnsi="仿宋" w:eastAsia="仿宋" w:cs="仿宋"/>
          <w:szCs w:val="21"/>
        </w:rPr>
        <w:t>（电子签名）：</w:t>
      </w:r>
      <w:r>
        <w:rPr>
          <w:rFonts w:hint="eastAsia" w:ascii="仿宋" w:hAnsi="仿宋" w:eastAsia="仿宋" w:cs="仿宋"/>
          <w:szCs w:val="21"/>
          <w:u w:val="single"/>
        </w:rPr>
        <w:t xml:space="preserve">                       </w:t>
      </w:r>
    </w:p>
    <w:p w14:paraId="1810D4A4">
      <w:pPr>
        <w:spacing w:line="500" w:lineRule="exact"/>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______</w:t>
      </w:r>
      <w:r>
        <w:rPr>
          <w:rFonts w:hint="eastAsia" w:ascii="仿宋" w:hAnsi="仿宋" w:eastAsia="仿宋" w:cs="仿宋"/>
          <w:szCs w:val="21"/>
        </w:rPr>
        <w:t>年</w:t>
      </w:r>
      <w:r>
        <w:rPr>
          <w:rFonts w:hint="eastAsia" w:ascii="仿宋" w:hAnsi="仿宋" w:eastAsia="仿宋" w:cs="仿宋"/>
          <w:szCs w:val="21"/>
          <w:u w:val="single"/>
        </w:rPr>
        <w:t>_____</w:t>
      </w:r>
      <w:r>
        <w:rPr>
          <w:rFonts w:hint="eastAsia" w:ascii="仿宋" w:hAnsi="仿宋" w:eastAsia="仿宋" w:cs="仿宋"/>
          <w:szCs w:val="21"/>
        </w:rPr>
        <w:t>月</w:t>
      </w:r>
      <w:r>
        <w:rPr>
          <w:rFonts w:hint="eastAsia" w:ascii="仿宋" w:hAnsi="仿宋" w:eastAsia="仿宋" w:cs="仿宋"/>
          <w:szCs w:val="21"/>
          <w:u w:val="single"/>
        </w:rPr>
        <w:t>_____</w:t>
      </w:r>
      <w:r>
        <w:rPr>
          <w:rFonts w:hint="eastAsia" w:ascii="仿宋" w:hAnsi="仿宋" w:eastAsia="仿宋" w:cs="仿宋"/>
          <w:szCs w:val="21"/>
        </w:rPr>
        <w:t>日</w:t>
      </w:r>
    </w:p>
    <w:p w14:paraId="7239CC9B">
      <w:pPr>
        <w:rPr>
          <w:rFonts w:hint="eastAsia" w:ascii="仿宋" w:hAnsi="仿宋" w:eastAsia="仿宋" w:cs="仿宋"/>
        </w:rPr>
      </w:pPr>
      <w:bookmarkStart w:id="129" w:name="_Toc111813252"/>
      <w:bookmarkStart w:id="130" w:name="_Toc166764621"/>
      <w:r>
        <w:rPr>
          <w:rFonts w:hint="eastAsia" w:ascii="仿宋" w:hAnsi="仿宋" w:eastAsia="仿宋" w:cs="仿宋"/>
        </w:rPr>
        <w:br w:type="page"/>
      </w:r>
    </w:p>
    <w:p w14:paraId="5DD1F4F2">
      <w:pPr>
        <w:pStyle w:val="5"/>
        <w:numPr>
          <w:ilvl w:val="2"/>
          <w:numId w:val="0"/>
        </w:numPr>
        <w:tabs>
          <w:tab w:val="clear" w:pos="900"/>
        </w:tabs>
        <w:spacing w:line="360" w:lineRule="auto"/>
        <w:ind w:left="1588" w:leftChars="0" w:hanging="737" w:firstLineChars="0"/>
        <w:jc w:val="center"/>
        <w:rPr>
          <w:rFonts w:hint="eastAsia" w:ascii="仿宋" w:hAnsi="仿宋" w:eastAsia="仿宋" w:cs="仿宋"/>
          <w:sz w:val="28"/>
          <w:szCs w:val="28"/>
        </w:rPr>
      </w:pPr>
      <w:r>
        <w:rPr>
          <w:rFonts w:hint="eastAsia" w:ascii="仿宋" w:hAnsi="仿宋" w:eastAsia="仿宋" w:cs="仿宋"/>
        </w:rPr>
        <w:t>（</w:t>
      </w:r>
      <w:r>
        <w:rPr>
          <w:rFonts w:hint="eastAsia" w:ascii="仿宋" w:hAnsi="仿宋" w:eastAsia="仿宋" w:cs="仿宋"/>
          <w:lang w:val="en-US" w:eastAsia="zh-CN"/>
        </w:rPr>
        <w:t>三</w:t>
      </w:r>
      <w:r>
        <w:rPr>
          <w:rFonts w:hint="eastAsia" w:ascii="仿宋" w:hAnsi="仿宋" w:eastAsia="仿宋" w:cs="仿宋"/>
        </w:rPr>
        <w:t>）类似项目业绩表</w:t>
      </w:r>
      <w:bookmarkEnd w:id="128"/>
      <w:bookmarkEnd w:id="129"/>
      <w:r>
        <w:rPr>
          <w:rFonts w:hint="eastAsia" w:ascii="仿宋" w:hAnsi="仿宋" w:eastAsia="仿宋" w:cs="仿宋"/>
        </w:rPr>
        <w:t>（如有）</w:t>
      </w:r>
      <w:bookmarkEnd w:id="130"/>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5"/>
        <w:gridCol w:w="2047"/>
        <w:gridCol w:w="1556"/>
        <w:gridCol w:w="1132"/>
        <w:gridCol w:w="2171"/>
        <w:gridCol w:w="1418"/>
      </w:tblGrid>
      <w:tr w14:paraId="5E9A7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14:paraId="4BABE800">
            <w:pPr>
              <w:spacing w:line="360" w:lineRule="auto"/>
              <w:jc w:val="center"/>
              <w:rPr>
                <w:rFonts w:hint="eastAsia" w:ascii="仿宋" w:hAnsi="仿宋" w:eastAsia="仿宋" w:cs="仿宋"/>
                <w:szCs w:val="21"/>
              </w:rPr>
            </w:pPr>
            <w:r>
              <w:rPr>
                <w:rFonts w:hint="eastAsia" w:ascii="仿宋" w:hAnsi="仿宋" w:eastAsia="仿宋" w:cs="仿宋"/>
                <w:szCs w:val="21"/>
              </w:rPr>
              <w:t>序号</w:t>
            </w:r>
          </w:p>
        </w:tc>
        <w:tc>
          <w:tcPr>
            <w:tcW w:w="2047" w:type="dxa"/>
            <w:tcBorders>
              <w:top w:val="single" w:color="auto" w:sz="6" w:space="0"/>
              <w:left w:val="single" w:color="auto" w:sz="6" w:space="0"/>
              <w:bottom w:val="single" w:color="auto" w:sz="6" w:space="0"/>
              <w:right w:val="single" w:color="auto" w:sz="6" w:space="0"/>
            </w:tcBorders>
            <w:noWrap w:val="0"/>
            <w:vAlign w:val="center"/>
          </w:tcPr>
          <w:p w14:paraId="58E19131">
            <w:pPr>
              <w:spacing w:line="360" w:lineRule="auto"/>
              <w:jc w:val="center"/>
              <w:rPr>
                <w:rFonts w:hint="eastAsia" w:ascii="仿宋" w:hAnsi="仿宋" w:eastAsia="仿宋" w:cs="仿宋"/>
                <w:szCs w:val="21"/>
              </w:rPr>
            </w:pPr>
            <w:r>
              <w:rPr>
                <w:rFonts w:hint="eastAsia" w:ascii="仿宋" w:hAnsi="仿宋" w:eastAsia="仿宋" w:cs="仿宋"/>
                <w:szCs w:val="21"/>
              </w:rPr>
              <w:t>项目名称</w:t>
            </w:r>
          </w:p>
        </w:tc>
        <w:tc>
          <w:tcPr>
            <w:tcW w:w="1556" w:type="dxa"/>
            <w:tcBorders>
              <w:top w:val="single" w:color="auto" w:sz="6" w:space="0"/>
              <w:left w:val="single" w:color="auto" w:sz="6" w:space="0"/>
              <w:bottom w:val="single" w:color="auto" w:sz="6" w:space="0"/>
              <w:right w:val="single" w:color="auto" w:sz="4" w:space="0"/>
            </w:tcBorders>
            <w:noWrap w:val="0"/>
            <w:vAlign w:val="center"/>
          </w:tcPr>
          <w:p w14:paraId="214341FA">
            <w:pPr>
              <w:spacing w:line="360" w:lineRule="auto"/>
              <w:jc w:val="center"/>
              <w:rPr>
                <w:rFonts w:hint="eastAsia" w:ascii="仿宋" w:hAnsi="仿宋" w:eastAsia="仿宋" w:cs="仿宋"/>
                <w:szCs w:val="21"/>
              </w:rPr>
            </w:pPr>
            <w:r>
              <w:rPr>
                <w:rFonts w:hint="eastAsia" w:ascii="仿宋" w:hAnsi="仿宋" w:eastAsia="仿宋" w:cs="仿宋"/>
                <w:szCs w:val="21"/>
              </w:rPr>
              <w:t>业主名称</w:t>
            </w:r>
          </w:p>
        </w:tc>
        <w:tc>
          <w:tcPr>
            <w:tcW w:w="1132" w:type="dxa"/>
            <w:tcBorders>
              <w:top w:val="single" w:color="auto" w:sz="6" w:space="0"/>
              <w:left w:val="single" w:color="auto" w:sz="4" w:space="0"/>
              <w:bottom w:val="single" w:color="auto" w:sz="6" w:space="0"/>
              <w:right w:val="single" w:color="auto" w:sz="4" w:space="0"/>
            </w:tcBorders>
            <w:noWrap w:val="0"/>
            <w:vAlign w:val="center"/>
          </w:tcPr>
          <w:p w14:paraId="7B0FB0C5">
            <w:pPr>
              <w:spacing w:line="360" w:lineRule="auto"/>
              <w:jc w:val="center"/>
              <w:rPr>
                <w:rFonts w:hint="eastAsia" w:ascii="仿宋" w:hAnsi="仿宋" w:eastAsia="仿宋" w:cs="仿宋"/>
                <w:szCs w:val="21"/>
              </w:rPr>
            </w:pPr>
            <w:r>
              <w:rPr>
                <w:rFonts w:hint="eastAsia" w:ascii="仿宋" w:hAnsi="仿宋" w:eastAsia="仿宋" w:cs="仿宋"/>
                <w:szCs w:val="21"/>
              </w:rPr>
              <w:t>承担范围</w:t>
            </w:r>
          </w:p>
        </w:tc>
        <w:tc>
          <w:tcPr>
            <w:tcW w:w="2171" w:type="dxa"/>
            <w:tcBorders>
              <w:top w:val="single" w:color="auto" w:sz="6" w:space="0"/>
              <w:left w:val="single" w:color="auto" w:sz="6" w:space="0"/>
              <w:bottom w:val="single" w:color="auto" w:sz="6" w:space="0"/>
              <w:right w:val="single" w:color="auto" w:sz="4" w:space="0"/>
            </w:tcBorders>
            <w:noWrap w:val="0"/>
            <w:vAlign w:val="center"/>
          </w:tcPr>
          <w:p w14:paraId="3923E7FC">
            <w:pPr>
              <w:spacing w:line="360" w:lineRule="auto"/>
              <w:jc w:val="center"/>
              <w:rPr>
                <w:rFonts w:hint="eastAsia" w:ascii="仿宋" w:hAnsi="仿宋" w:eastAsia="仿宋" w:cs="仿宋"/>
                <w:szCs w:val="21"/>
              </w:rPr>
            </w:pPr>
            <w:r>
              <w:rPr>
                <w:rFonts w:hint="eastAsia" w:ascii="仿宋" w:hAnsi="仿宋" w:eastAsia="仿宋" w:cs="仿宋"/>
                <w:szCs w:val="21"/>
              </w:rPr>
              <w:t>合同金额（万元）</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BA041CE">
            <w:pPr>
              <w:spacing w:line="360" w:lineRule="auto"/>
              <w:jc w:val="center"/>
              <w:rPr>
                <w:rFonts w:hint="eastAsia" w:ascii="仿宋" w:hAnsi="仿宋" w:eastAsia="仿宋" w:cs="仿宋"/>
                <w:szCs w:val="21"/>
              </w:rPr>
            </w:pPr>
            <w:r>
              <w:rPr>
                <w:rFonts w:hint="eastAsia" w:ascii="仿宋" w:hAnsi="仿宋" w:eastAsia="仿宋" w:cs="仿宋"/>
                <w:szCs w:val="21"/>
              </w:rPr>
              <w:t>完成时间</w:t>
            </w:r>
          </w:p>
        </w:tc>
      </w:tr>
      <w:tr w14:paraId="07243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14:paraId="7E22D67A">
            <w:pPr>
              <w:spacing w:line="360" w:lineRule="auto"/>
              <w:ind w:left="120"/>
              <w:jc w:val="center"/>
              <w:rPr>
                <w:rFonts w:hint="eastAsia" w:ascii="仿宋" w:hAnsi="仿宋" w:eastAsia="仿宋" w:cs="仿宋"/>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14:paraId="1E5E23A6">
            <w:pPr>
              <w:spacing w:line="360" w:lineRule="auto"/>
              <w:jc w:val="center"/>
              <w:rPr>
                <w:rFonts w:hint="eastAsia" w:ascii="仿宋" w:hAnsi="仿宋" w:eastAsia="仿宋" w:cs="仿宋"/>
                <w:szCs w:val="21"/>
              </w:rPr>
            </w:pPr>
          </w:p>
        </w:tc>
        <w:tc>
          <w:tcPr>
            <w:tcW w:w="1556" w:type="dxa"/>
            <w:tcBorders>
              <w:top w:val="single" w:color="auto" w:sz="6" w:space="0"/>
              <w:left w:val="single" w:color="auto" w:sz="6" w:space="0"/>
              <w:bottom w:val="single" w:color="auto" w:sz="6" w:space="0"/>
              <w:right w:val="single" w:color="auto" w:sz="4" w:space="0"/>
            </w:tcBorders>
            <w:noWrap w:val="0"/>
            <w:vAlign w:val="center"/>
          </w:tcPr>
          <w:p w14:paraId="4C0B6504">
            <w:pPr>
              <w:spacing w:line="360" w:lineRule="auto"/>
              <w:jc w:val="center"/>
              <w:rPr>
                <w:rFonts w:hint="eastAsia" w:ascii="仿宋" w:hAnsi="仿宋" w:eastAsia="仿宋" w:cs="仿宋"/>
                <w:szCs w:val="21"/>
              </w:rPr>
            </w:pPr>
          </w:p>
        </w:tc>
        <w:tc>
          <w:tcPr>
            <w:tcW w:w="1132" w:type="dxa"/>
            <w:tcBorders>
              <w:top w:val="single" w:color="auto" w:sz="6" w:space="0"/>
              <w:left w:val="single" w:color="auto" w:sz="4" w:space="0"/>
              <w:bottom w:val="single" w:color="auto" w:sz="6" w:space="0"/>
              <w:right w:val="single" w:color="auto" w:sz="4" w:space="0"/>
            </w:tcBorders>
            <w:noWrap w:val="0"/>
            <w:vAlign w:val="center"/>
          </w:tcPr>
          <w:p w14:paraId="74F1039C">
            <w:pPr>
              <w:spacing w:line="360" w:lineRule="auto"/>
              <w:jc w:val="center"/>
              <w:rPr>
                <w:rFonts w:hint="eastAsia" w:ascii="仿宋" w:hAnsi="仿宋" w:eastAsia="仿宋" w:cs="仿宋"/>
                <w:szCs w:val="21"/>
              </w:rPr>
            </w:pPr>
          </w:p>
        </w:tc>
        <w:tc>
          <w:tcPr>
            <w:tcW w:w="2171" w:type="dxa"/>
            <w:tcBorders>
              <w:top w:val="single" w:color="auto" w:sz="6" w:space="0"/>
              <w:left w:val="single" w:color="auto" w:sz="6" w:space="0"/>
              <w:bottom w:val="single" w:color="auto" w:sz="6" w:space="0"/>
              <w:right w:val="single" w:color="auto" w:sz="4" w:space="0"/>
            </w:tcBorders>
            <w:noWrap w:val="0"/>
            <w:vAlign w:val="center"/>
          </w:tcPr>
          <w:p w14:paraId="5ED23B8B">
            <w:pPr>
              <w:spacing w:line="360" w:lineRule="auto"/>
              <w:jc w:val="center"/>
              <w:rPr>
                <w:rFonts w:hint="eastAsia" w:ascii="仿宋" w:hAnsi="仿宋" w:eastAsia="仿宋" w:cs="仿宋"/>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EBFE027">
            <w:pPr>
              <w:spacing w:line="360" w:lineRule="auto"/>
              <w:jc w:val="center"/>
              <w:rPr>
                <w:rFonts w:hint="eastAsia" w:ascii="仿宋" w:hAnsi="仿宋" w:eastAsia="仿宋" w:cs="仿宋"/>
                <w:szCs w:val="21"/>
              </w:rPr>
            </w:pPr>
          </w:p>
        </w:tc>
      </w:tr>
      <w:tr w14:paraId="3C602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14:paraId="5C68D420">
            <w:pPr>
              <w:spacing w:line="360" w:lineRule="auto"/>
              <w:jc w:val="center"/>
              <w:rPr>
                <w:rFonts w:hint="eastAsia" w:ascii="仿宋" w:hAnsi="仿宋" w:eastAsia="仿宋" w:cs="仿宋"/>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14:paraId="64BE64B4">
            <w:pPr>
              <w:spacing w:line="360" w:lineRule="auto"/>
              <w:jc w:val="center"/>
              <w:rPr>
                <w:rFonts w:hint="eastAsia" w:ascii="仿宋" w:hAnsi="仿宋" w:eastAsia="仿宋" w:cs="仿宋"/>
                <w:szCs w:val="21"/>
              </w:rPr>
            </w:pPr>
          </w:p>
        </w:tc>
        <w:tc>
          <w:tcPr>
            <w:tcW w:w="1556" w:type="dxa"/>
            <w:tcBorders>
              <w:top w:val="single" w:color="auto" w:sz="6" w:space="0"/>
              <w:left w:val="single" w:color="auto" w:sz="6" w:space="0"/>
              <w:bottom w:val="single" w:color="auto" w:sz="6" w:space="0"/>
              <w:right w:val="single" w:color="auto" w:sz="4" w:space="0"/>
            </w:tcBorders>
            <w:noWrap w:val="0"/>
            <w:vAlign w:val="center"/>
          </w:tcPr>
          <w:p w14:paraId="7D60264F">
            <w:pPr>
              <w:spacing w:line="360" w:lineRule="auto"/>
              <w:jc w:val="center"/>
              <w:rPr>
                <w:rFonts w:hint="eastAsia" w:ascii="仿宋" w:hAnsi="仿宋" w:eastAsia="仿宋" w:cs="仿宋"/>
                <w:szCs w:val="21"/>
              </w:rPr>
            </w:pPr>
          </w:p>
        </w:tc>
        <w:tc>
          <w:tcPr>
            <w:tcW w:w="1132" w:type="dxa"/>
            <w:tcBorders>
              <w:top w:val="single" w:color="auto" w:sz="6" w:space="0"/>
              <w:left w:val="single" w:color="auto" w:sz="4" w:space="0"/>
              <w:bottom w:val="single" w:color="auto" w:sz="6" w:space="0"/>
              <w:right w:val="single" w:color="auto" w:sz="4" w:space="0"/>
            </w:tcBorders>
            <w:noWrap w:val="0"/>
            <w:vAlign w:val="center"/>
          </w:tcPr>
          <w:p w14:paraId="3E411F70">
            <w:pPr>
              <w:spacing w:line="360" w:lineRule="auto"/>
              <w:jc w:val="center"/>
              <w:rPr>
                <w:rFonts w:hint="eastAsia" w:ascii="仿宋" w:hAnsi="仿宋" w:eastAsia="仿宋" w:cs="仿宋"/>
                <w:szCs w:val="21"/>
              </w:rPr>
            </w:pPr>
          </w:p>
        </w:tc>
        <w:tc>
          <w:tcPr>
            <w:tcW w:w="2171" w:type="dxa"/>
            <w:tcBorders>
              <w:top w:val="single" w:color="auto" w:sz="6" w:space="0"/>
              <w:left w:val="single" w:color="auto" w:sz="6" w:space="0"/>
              <w:bottom w:val="single" w:color="auto" w:sz="6" w:space="0"/>
              <w:right w:val="single" w:color="auto" w:sz="4" w:space="0"/>
            </w:tcBorders>
            <w:noWrap w:val="0"/>
            <w:vAlign w:val="center"/>
          </w:tcPr>
          <w:p w14:paraId="7E64725B">
            <w:pPr>
              <w:spacing w:line="360" w:lineRule="auto"/>
              <w:jc w:val="center"/>
              <w:rPr>
                <w:rFonts w:hint="eastAsia" w:ascii="仿宋" w:hAnsi="仿宋" w:eastAsia="仿宋" w:cs="仿宋"/>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D050CBE">
            <w:pPr>
              <w:spacing w:line="360" w:lineRule="auto"/>
              <w:jc w:val="center"/>
              <w:rPr>
                <w:rFonts w:hint="eastAsia" w:ascii="仿宋" w:hAnsi="仿宋" w:eastAsia="仿宋" w:cs="仿宋"/>
                <w:szCs w:val="21"/>
              </w:rPr>
            </w:pPr>
          </w:p>
        </w:tc>
      </w:tr>
      <w:tr w14:paraId="0E3E0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14:paraId="75AB7B2A">
            <w:pPr>
              <w:spacing w:line="360" w:lineRule="auto"/>
              <w:jc w:val="center"/>
              <w:rPr>
                <w:rFonts w:hint="eastAsia" w:ascii="仿宋" w:hAnsi="仿宋" w:eastAsia="仿宋" w:cs="仿宋"/>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14:paraId="68D8FCCC">
            <w:pPr>
              <w:spacing w:line="360" w:lineRule="auto"/>
              <w:jc w:val="center"/>
              <w:rPr>
                <w:rFonts w:hint="eastAsia" w:ascii="仿宋" w:hAnsi="仿宋" w:eastAsia="仿宋" w:cs="仿宋"/>
                <w:szCs w:val="21"/>
              </w:rPr>
            </w:pPr>
          </w:p>
        </w:tc>
        <w:tc>
          <w:tcPr>
            <w:tcW w:w="1556" w:type="dxa"/>
            <w:tcBorders>
              <w:top w:val="single" w:color="auto" w:sz="6" w:space="0"/>
              <w:left w:val="single" w:color="auto" w:sz="6" w:space="0"/>
              <w:bottom w:val="single" w:color="auto" w:sz="6" w:space="0"/>
              <w:right w:val="single" w:color="auto" w:sz="4" w:space="0"/>
            </w:tcBorders>
            <w:noWrap w:val="0"/>
            <w:vAlign w:val="center"/>
          </w:tcPr>
          <w:p w14:paraId="04BD1AEC">
            <w:pPr>
              <w:spacing w:line="360" w:lineRule="auto"/>
              <w:jc w:val="center"/>
              <w:rPr>
                <w:rFonts w:hint="eastAsia" w:ascii="仿宋" w:hAnsi="仿宋" w:eastAsia="仿宋" w:cs="仿宋"/>
                <w:szCs w:val="21"/>
              </w:rPr>
            </w:pPr>
          </w:p>
        </w:tc>
        <w:tc>
          <w:tcPr>
            <w:tcW w:w="1132" w:type="dxa"/>
            <w:tcBorders>
              <w:top w:val="single" w:color="auto" w:sz="6" w:space="0"/>
              <w:left w:val="single" w:color="auto" w:sz="4" w:space="0"/>
              <w:bottom w:val="single" w:color="auto" w:sz="6" w:space="0"/>
              <w:right w:val="single" w:color="auto" w:sz="4" w:space="0"/>
            </w:tcBorders>
            <w:noWrap w:val="0"/>
            <w:vAlign w:val="center"/>
          </w:tcPr>
          <w:p w14:paraId="29E73AA3">
            <w:pPr>
              <w:spacing w:line="360" w:lineRule="auto"/>
              <w:jc w:val="center"/>
              <w:rPr>
                <w:rFonts w:hint="eastAsia" w:ascii="仿宋" w:hAnsi="仿宋" w:eastAsia="仿宋" w:cs="仿宋"/>
                <w:szCs w:val="21"/>
              </w:rPr>
            </w:pPr>
          </w:p>
        </w:tc>
        <w:tc>
          <w:tcPr>
            <w:tcW w:w="2171" w:type="dxa"/>
            <w:tcBorders>
              <w:top w:val="single" w:color="auto" w:sz="6" w:space="0"/>
              <w:left w:val="single" w:color="auto" w:sz="6" w:space="0"/>
              <w:bottom w:val="single" w:color="auto" w:sz="6" w:space="0"/>
              <w:right w:val="single" w:color="auto" w:sz="4" w:space="0"/>
            </w:tcBorders>
            <w:noWrap w:val="0"/>
            <w:vAlign w:val="center"/>
          </w:tcPr>
          <w:p w14:paraId="3D1167CE">
            <w:pPr>
              <w:spacing w:line="360" w:lineRule="auto"/>
              <w:jc w:val="center"/>
              <w:rPr>
                <w:rFonts w:hint="eastAsia" w:ascii="仿宋" w:hAnsi="仿宋" w:eastAsia="仿宋" w:cs="仿宋"/>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E5AFE6E">
            <w:pPr>
              <w:spacing w:line="360" w:lineRule="auto"/>
              <w:jc w:val="center"/>
              <w:rPr>
                <w:rFonts w:hint="eastAsia" w:ascii="仿宋" w:hAnsi="仿宋" w:eastAsia="仿宋" w:cs="仿宋"/>
                <w:szCs w:val="21"/>
              </w:rPr>
            </w:pPr>
          </w:p>
        </w:tc>
      </w:tr>
      <w:tr w14:paraId="79038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14:paraId="425E2EBC">
            <w:pPr>
              <w:spacing w:line="360" w:lineRule="auto"/>
              <w:jc w:val="center"/>
              <w:rPr>
                <w:rFonts w:hint="eastAsia" w:ascii="仿宋" w:hAnsi="仿宋" w:eastAsia="仿宋" w:cs="仿宋"/>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14:paraId="2080E80E">
            <w:pPr>
              <w:spacing w:line="360" w:lineRule="auto"/>
              <w:jc w:val="center"/>
              <w:rPr>
                <w:rFonts w:hint="eastAsia" w:ascii="仿宋" w:hAnsi="仿宋" w:eastAsia="仿宋" w:cs="仿宋"/>
                <w:szCs w:val="21"/>
              </w:rPr>
            </w:pPr>
          </w:p>
        </w:tc>
        <w:tc>
          <w:tcPr>
            <w:tcW w:w="1556" w:type="dxa"/>
            <w:tcBorders>
              <w:top w:val="single" w:color="auto" w:sz="6" w:space="0"/>
              <w:left w:val="single" w:color="auto" w:sz="6" w:space="0"/>
              <w:bottom w:val="single" w:color="auto" w:sz="6" w:space="0"/>
              <w:right w:val="single" w:color="auto" w:sz="4" w:space="0"/>
            </w:tcBorders>
            <w:noWrap w:val="0"/>
            <w:vAlign w:val="center"/>
          </w:tcPr>
          <w:p w14:paraId="3189A6E7">
            <w:pPr>
              <w:spacing w:line="360" w:lineRule="auto"/>
              <w:jc w:val="center"/>
              <w:rPr>
                <w:rFonts w:hint="eastAsia" w:ascii="仿宋" w:hAnsi="仿宋" w:eastAsia="仿宋" w:cs="仿宋"/>
                <w:szCs w:val="21"/>
              </w:rPr>
            </w:pPr>
          </w:p>
        </w:tc>
        <w:tc>
          <w:tcPr>
            <w:tcW w:w="1132" w:type="dxa"/>
            <w:tcBorders>
              <w:top w:val="single" w:color="auto" w:sz="6" w:space="0"/>
              <w:left w:val="single" w:color="auto" w:sz="4" w:space="0"/>
              <w:bottom w:val="single" w:color="auto" w:sz="6" w:space="0"/>
              <w:right w:val="single" w:color="auto" w:sz="4" w:space="0"/>
            </w:tcBorders>
            <w:noWrap w:val="0"/>
            <w:vAlign w:val="center"/>
          </w:tcPr>
          <w:p w14:paraId="5681FDB2">
            <w:pPr>
              <w:spacing w:line="360" w:lineRule="auto"/>
              <w:jc w:val="center"/>
              <w:rPr>
                <w:rFonts w:hint="eastAsia" w:ascii="仿宋" w:hAnsi="仿宋" w:eastAsia="仿宋" w:cs="仿宋"/>
                <w:szCs w:val="21"/>
              </w:rPr>
            </w:pPr>
          </w:p>
        </w:tc>
        <w:tc>
          <w:tcPr>
            <w:tcW w:w="2171" w:type="dxa"/>
            <w:tcBorders>
              <w:top w:val="single" w:color="auto" w:sz="6" w:space="0"/>
              <w:left w:val="single" w:color="auto" w:sz="6" w:space="0"/>
              <w:bottom w:val="single" w:color="auto" w:sz="6" w:space="0"/>
              <w:right w:val="single" w:color="auto" w:sz="4" w:space="0"/>
            </w:tcBorders>
            <w:noWrap w:val="0"/>
            <w:vAlign w:val="center"/>
          </w:tcPr>
          <w:p w14:paraId="6A279EB2">
            <w:pPr>
              <w:spacing w:line="360" w:lineRule="auto"/>
              <w:jc w:val="center"/>
              <w:rPr>
                <w:rFonts w:hint="eastAsia" w:ascii="仿宋" w:hAnsi="仿宋" w:eastAsia="仿宋" w:cs="仿宋"/>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4553C61">
            <w:pPr>
              <w:spacing w:line="360" w:lineRule="auto"/>
              <w:jc w:val="center"/>
              <w:rPr>
                <w:rFonts w:hint="eastAsia" w:ascii="仿宋" w:hAnsi="仿宋" w:eastAsia="仿宋" w:cs="仿宋"/>
                <w:szCs w:val="21"/>
              </w:rPr>
            </w:pPr>
          </w:p>
        </w:tc>
      </w:tr>
      <w:tr w14:paraId="7F6C9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14:paraId="2F958C5F">
            <w:pPr>
              <w:spacing w:line="360" w:lineRule="auto"/>
              <w:jc w:val="center"/>
              <w:rPr>
                <w:rFonts w:hint="eastAsia" w:ascii="仿宋" w:hAnsi="仿宋" w:eastAsia="仿宋" w:cs="仿宋"/>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14:paraId="075DC5EC">
            <w:pPr>
              <w:spacing w:line="360" w:lineRule="auto"/>
              <w:jc w:val="center"/>
              <w:rPr>
                <w:rFonts w:hint="eastAsia" w:ascii="仿宋" w:hAnsi="仿宋" w:eastAsia="仿宋" w:cs="仿宋"/>
                <w:szCs w:val="21"/>
              </w:rPr>
            </w:pPr>
          </w:p>
        </w:tc>
        <w:tc>
          <w:tcPr>
            <w:tcW w:w="1556" w:type="dxa"/>
            <w:tcBorders>
              <w:top w:val="single" w:color="auto" w:sz="6" w:space="0"/>
              <w:left w:val="single" w:color="auto" w:sz="6" w:space="0"/>
              <w:bottom w:val="single" w:color="auto" w:sz="6" w:space="0"/>
              <w:right w:val="single" w:color="auto" w:sz="4" w:space="0"/>
            </w:tcBorders>
            <w:noWrap w:val="0"/>
            <w:vAlign w:val="center"/>
          </w:tcPr>
          <w:p w14:paraId="15CAE929">
            <w:pPr>
              <w:spacing w:line="360" w:lineRule="auto"/>
              <w:jc w:val="center"/>
              <w:rPr>
                <w:rFonts w:hint="eastAsia" w:ascii="仿宋" w:hAnsi="仿宋" w:eastAsia="仿宋" w:cs="仿宋"/>
                <w:szCs w:val="21"/>
              </w:rPr>
            </w:pPr>
          </w:p>
        </w:tc>
        <w:tc>
          <w:tcPr>
            <w:tcW w:w="1132" w:type="dxa"/>
            <w:tcBorders>
              <w:top w:val="single" w:color="auto" w:sz="6" w:space="0"/>
              <w:left w:val="single" w:color="auto" w:sz="4" w:space="0"/>
              <w:bottom w:val="single" w:color="auto" w:sz="6" w:space="0"/>
              <w:right w:val="single" w:color="auto" w:sz="4" w:space="0"/>
            </w:tcBorders>
            <w:noWrap w:val="0"/>
            <w:vAlign w:val="center"/>
          </w:tcPr>
          <w:p w14:paraId="12AB33F2">
            <w:pPr>
              <w:spacing w:line="360" w:lineRule="auto"/>
              <w:jc w:val="center"/>
              <w:rPr>
                <w:rFonts w:hint="eastAsia" w:ascii="仿宋" w:hAnsi="仿宋" w:eastAsia="仿宋" w:cs="仿宋"/>
                <w:szCs w:val="21"/>
              </w:rPr>
            </w:pPr>
          </w:p>
        </w:tc>
        <w:tc>
          <w:tcPr>
            <w:tcW w:w="2171" w:type="dxa"/>
            <w:tcBorders>
              <w:top w:val="single" w:color="auto" w:sz="6" w:space="0"/>
              <w:left w:val="single" w:color="auto" w:sz="6" w:space="0"/>
              <w:bottom w:val="single" w:color="auto" w:sz="6" w:space="0"/>
              <w:right w:val="single" w:color="auto" w:sz="4" w:space="0"/>
            </w:tcBorders>
            <w:noWrap w:val="0"/>
            <w:vAlign w:val="center"/>
          </w:tcPr>
          <w:p w14:paraId="40CFB5C9">
            <w:pPr>
              <w:spacing w:line="360" w:lineRule="auto"/>
              <w:jc w:val="center"/>
              <w:rPr>
                <w:rFonts w:hint="eastAsia" w:ascii="仿宋" w:hAnsi="仿宋" w:eastAsia="仿宋" w:cs="仿宋"/>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ADD816">
            <w:pPr>
              <w:spacing w:line="360" w:lineRule="auto"/>
              <w:jc w:val="center"/>
              <w:rPr>
                <w:rFonts w:hint="eastAsia" w:ascii="仿宋" w:hAnsi="仿宋" w:eastAsia="仿宋" w:cs="仿宋"/>
                <w:szCs w:val="21"/>
              </w:rPr>
            </w:pPr>
          </w:p>
        </w:tc>
      </w:tr>
      <w:tr w14:paraId="3712F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jc w:val="center"/>
        </w:trPr>
        <w:tc>
          <w:tcPr>
            <w:tcW w:w="705" w:type="dxa"/>
            <w:tcBorders>
              <w:top w:val="single" w:color="auto" w:sz="6" w:space="0"/>
              <w:left w:val="single" w:color="auto" w:sz="6" w:space="0"/>
              <w:bottom w:val="single" w:color="auto" w:sz="6" w:space="0"/>
              <w:right w:val="single" w:color="auto" w:sz="6" w:space="0"/>
            </w:tcBorders>
            <w:noWrap w:val="0"/>
            <w:vAlign w:val="center"/>
          </w:tcPr>
          <w:p w14:paraId="46AE1F13">
            <w:pPr>
              <w:spacing w:line="360" w:lineRule="auto"/>
              <w:jc w:val="center"/>
              <w:rPr>
                <w:rFonts w:hint="eastAsia" w:ascii="仿宋" w:hAnsi="仿宋" w:eastAsia="仿宋" w:cs="仿宋"/>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14:paraId="01276FFD">
            <w:pPr>
              <w:spacing w:line="360" w:lineRule="auto"/>
              <w:jc w:val="center"/>
              <w:rPr>
                <w:rFonts w:hint="eastAsia" w:ascii="仿宋" w:hAnsi="仿宋" w:eastAsia="仿宋" w:cs="仿宋"/>
                <w:szCs w:val="21"/>
              </w:rPr>
            </w:pPr>
          </w:p>
        </w:tc>
        <w:tc>
          <w:tcPr>
            <w:tcW w:w="1556" w:type="dxa"/>
            <w:tcBorders>
              <w:top w:val="single" w:color="auto" w:sz="6" w:space="0"/>
              <w:left w:val="single" w:color="auto" w:sz="6" w:space="0"/>
              <w:bottom w:val="single" w:color="auto" w:sz="6" w:space="0"/>
              <w:right w:val="single" w:color="auto" w:sz="4" w:space="0"/>
            </w:tcBorders>
            <w:noWrap w:val="0"/>
            <w:vAlign w:val="center"/>
          </w:tcPr>
          <w:p w14:paraId="12ED5611">
            <w:pPr>
              <w:spacing w:line="360" w:lineRule="auto"/>
              <w:jc w:val="center"/>
              <w:rPr>
                <w:rFonts w:hint="eastAsia" w:ascii="仿宋" w:hAnsi="仿宋" w:eastAsia="仿宋" w:cs="仿宋"/>
                <w:szCs w:val="21"/>
              </w:rPr>
            </w:pPr>
          </w:p>
        </w:tc>
        <w:tc>
          <w:tcPr>
            <w:tcW w:w="1132" w:type="dxa"/>
            <w:tcBorders>
              <w:top w:val="single" w:color="auto" w:sz="6" w:space="0"/>
              <w:left w:val="single" w:color="auto" w:sz="4" w:space="0"/>
              <w:bottom w:val="single" w:color="auto" w:sz="6" w:space="0"/>
              <w:right w:val="single" w:color="auto" w:sz="4" w:space="0"/>
            </w:tcBorders>
            <w:noWrap w:val="0"/>
            <w:vAlign w:val="center"/>
          </w:tcPr>
          <w:p w14:paraId="45C7D55A">
            <w:pPr>
              <w:spacing w:line="360" w:lineRule="auto"/>
              <w:jc w:val="center"/>
              <w:rPr>
                <w:rFonts w:hint="eastAsia" w:ascii="仿宋" w:hAnsi="仿宋" w:eastAsia="仿宋" w:cs="仿宋"/>
                <w:szCs w:val="21"/>
              </w:rPr>
            </w:pPr>
          </w:p>
        </w:tc>
        <w:tc>
          <w:tcPr>
            <w:tcW w:w="2171" w:type="dxa"/>
            <w:tcBorders>
              <w:top w:val="single" w:color="auto" w:sz="6" w:space="0"/>
              <w:left w:val="single" w:color="auto" w:sz="6" w:space="0"/>
              <w:bottom w:val="single" w:color="auto" w:sz="6" w:space="0"/>
              <w:right w:val="single" w:color="auto" w:sz="4" w:space="0"/>
            </w:tcBorders>
            <w:noWrap w:val="0"/>
            <w:vAlign w:val="center"/>
          </w:tcPr>
          <w:p w14:paraId="5B7EC159">
            <w:pPr>
              <w:spacing w:line="360" w:lineRule="auto"/>
              <w:jc w:val="center"/>
              <w:rPr>
                <w:rFonts w:hint="eastAsia" w:ascii="仿宋" w:hAnsi="仿宋" w:eastAsia="仿宋" w:cs="仿宋"/>
                <w:szCs w:val="21"/>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31D3368">
            <w:pPr>
              <w:spacing w:line="360" w:lineRule="auto"/>
              <w:jc w:val="center"/>
              <w:rPr>
                <w:rFonts w:hint="eastAsia" w:ascii="仿宋" w:hAnsi="仿宋" w:eastAsia="仿宋" w:cs="仿宋"/>
                <w:szCs w:val="21"/>
              </w:rPr>
            </w:pPr>
          </w:p>
        </w:tc>
      </w:tr>
    </w:tbl>
    <w:p w14:paraId="707DFE77">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注：附证明材料扫描件</w:t>
      </w:r>
    </w:p>
    <w:p w14:paraId="437E63D4">
      <w:pPr>
        <w:spacing w:line="360" w:lineRule="auto"/>
        <w:ind w:firstLine="426" w:firstLineChars="202"/>
        <w:rPr>
          <w:rFonts w:hint="eastAsia" w:ascii="仿宋" w:hAnsi="仿宋" w:eastAsia="仿宋" w:cs="仿宋"/>
          <w:b/>
          <w:szCs w:val="21"/>
        </w:rPr>
      </w:pPr>
    </w:p>
    <w:p w14:paraId="443E4BA1">
      <w:pPr>
        <w:spacing w:line="480" w:lineRule="auto"/>
        <w:ind w:firstLine="420" w:firstLineChars="200"/>
        <w:rPr>
          <w:rFonts w:hint="eastAsia" w:ascii="仿宋" w:hAnsi="仿宋" w:eastAsia="仿宋" w:cs="仿宋"/>
          <w:szCs w:val="21"/>
          <w:u w:val="single"/>
        </w:rPr>
      </w:pPr>
      <w:r>
        <w:rPr>
          <w:rFonts w:hint="eastAsia" w:ascii="仿宋" w:hAnsi="仿宋" w:eastAsia="仿宋" w:cs="仿宋"/>
          <w:szCs w:val="21"/>
        </w:rPr>
        <w:t>投标人（电子签章）：</w:t>
      </w:r>
      <w:r>
        <w:rPr>
          <w:rFonts w:hint="eastAsia" w:ascii="仿宋" w:hAnsi="仿宋" w:eastAsia="仿宋" w:cs="仿宋"/>
          <w:szCs w:val="21"/>
          <w:u w:val="single"/>
        </w:rPr>
        <w:t xml:space="preserve">                                  </w:t>
      </w:r>
    </w:p>
    <w:p w14:paraId="5F025268">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法定代表人（电子签名）：</w:t>
      </w:r>
      <w:r>
        <w:rPr>
          <w:rFonts w:hint="eastAsia" w:ascii="仿宋" w:hAnsi="仿宋" w:eastAsia="仿宋" w:cs="仿宋"/>
          <w:szCs w:val="21"/>
          <w:u w:val="single"/>
        </w:rPr>
        <w:t xml:space="preserve">                              </w:t>
      </w:r>
    </w:p>
    <w:p w14:paraId="5E2B7DBF">
      <w:pPr>
        <w:spacing w:line="480" w:lineRule="auto"/>
        <w:ind w:firstLine="420" w:firstLineChars="200"/>
        <w:rPr>
          <w:rFonts w:hint="eastAsia"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55DE6E2C">
      <w:pPr>
        <w:rPr>
          <w:rFonts w:hint="eastAsia" w:ascii="仿宋" w:hAnsi="仿宋" w:eastAsia="仿宋" w:cs="仿宋"/>
        </w:rPr>
      </w:pPr>
      <w:bookmarkStart w:id="131" w:name="_Toc10117049"/>
    </w:p>
    <w:p w14:paraId="0FEAB6E7">
      <w:pPr>
        <w:rPr>
          <w:rFonts w:hint="eastAsia" w:ascii="仿宋" w:hAnsi="仿宋" w:eastAsia="仿宋" w:cs="仿宋"/>
        </w:rPr>
      </w:pPr>
      <w:r>
        <w:rPr>
          <w:rFonts w:hint="eastAsia" w:ascii="仿宋" w:hAnsi="仿宋" w:eastAsia="仿宋" w:cs="仿宋"/>
        </w:rPr>
        <w:br w:type="page"/>
      </w:r>
    </w:p>
    <w:p w14:paraId="6B105E94">
      <w:pPr>
        <w:pStyle w:val="5"/>
        <w:numPr>
          <w:ilvl w:val="2"/>
          <w:numId w:val="0"/>
        </w:numPr>
        <w:tabs>
          <w:tab w:val="clear" w:pos="900"/>
        </w:tabs>
        <w:spacing w:before="0" w:after="0" w:line="360" w:lineRule="auto"/>
        <w:jc w:val="center"/>
        <w:rPr>
          <w:rFonts w:hint="default" w:ascii="仿宋" w:hAnsi="仿宋" w:eastAsia="仿宋" w:cs="仿宋"/>
          <w:lang w:val="en-US" w:eastAsia="zh-CN"/>
        </w:rPr>
      </w:pPr>
      <w:bookmarkStart w:id="132" w:name="_Toc25354"/>
      <w:bookmarkStart w:id="133" w:name="_Toc111813261"/>
      <w:bookmarkStart w:id="134" w:name="_Toc8212"/>
      <w:bookmarkStart w:id="135" w:name="_Toc10117055"/>
      <w:bookmarkStart w:id="136" w:name="_Toc9731"/>
      <w:bookmarkStart w:id="137" w:name="_Toc457090338"/>
      <w:bookmarkStart w:id="138" w:name="_Toc321497548"/>
      <w:bookmarkStart w:id="139" w:name="_Toc311705902"/>
      <w:bookmarkStart w:id="140" w:name="_Toc509593414"/>
      <w:bookmarkStart w:id="141" w:name="_Toc166764622"/>
      <w:bookmarkStart w:id="142" w:name="_Toc111813253"/>
      <w:r>
        <w:rPr>
          <w:rFonts w:hint="eastAsia" w:ascii="仿宋" w:hAnsi="仿宋" w:eastAsia="仿宋" w:cs="仿宋"/>
        </w:rPr>
        <w:t>（</w:t>
      </w:r>
      <w:r>
        <w:rPr>
          <w:rFonts w:hint="eastAsia" w:ascii="仿宋" w:hAnsi="仿宋" w:eastAsia="仿宋" w:cs="仿宋"/>
          <w:lang w:val="en-US" w:eastAsia="zh-CN"/>
        </w:rPr>
        <w:t>四</w:t>
      </w:r>
      <w:r>
        <w:rPr>
          <w:rFonts w:hint="eastAsia" w:ascii="仿宋" w:hAnsi="仿宋" w:eastAsia="仿宋" w:cs="仿宋"/>
        </w:rPr>
        <w:t>）</w:t>
      </w:r>
      <w:bookmarkEnd w:id="132"/>
      <w:bookmarkEnd w:id="133"/>
      <w:bookmarkEnd w:id="134"/>
      <w:bookmarkEnd w:id="135"/>
      <w:bookmarkEnd w:id="136"/>
      <w:bookmarkEnd w:id="137"/>
      <w:bookmarkEnd w:id="138"/>
      <w:bookmarkEnd w:id="139"/>
      <w:bookmarkEnd w:id="140"/>
      <w:bookmarkEnd w:id="141"/>
      <w:bookmarkStart w:id="143" w:name="_Toc11578"/>
      <w:bookmarkStart w:id="144" w:name="_Toc25294"/>
      <w:bookmarkStart w:id="145" w:name="_Toc10669"/>
      <w:bookmarkStart w:id="146" w:name="_Toc1984"/>
      <w:bookmarkStart w:id="147" w:name="_Toc321497549"/>
      <w:bookmarkStart w:id="148" w:name="_Toc311705903"/>
      <w:r>
        <w:rPr>
          <w:rFonts w:hint="eastAsia" w:ascii="仿宋" w:hAnsi="仿宋" w:eastAsia="仿宋" w:cs="仿宋"/>
        </w:rPr>
        <w:t>项目组成员安排</w:t>
      </w:r>
    </w:p>
    <w:p w14:paraId="5EC14F3D">
      <w:pPr>
        <w:spacing w:line="360" w:lineRule="auto"/>
        <w:ind w:firstLine="315" w:firstLineChars="150"/>
        <w:jc w:val="center"/>
        <w:rPr>
          <w:rFonts w:hint="eastAsia" w:ascii="仿宋" w:hAnsi="仿宋" w:eastAsia="仿宋" w:cs="仿宋"/>
          <w:szCs w:val="21"/>
        </w:rPr>
      </w:pPr>
      <w:r>
        <w:rPr>
          <w:rFonts w:hint="eastAsia" w:ascii="仿宋" w:hAnsi="仿宋" w:eastAsia="仿宋" w:cs="仿宋"/>
          <w:szCs w:val="21"/>
        </w:rPr>
        <w:t>投标人自行编写。</w:t>
      </w:r>
      <w:bookmarkEnd w:id="143"/>
      <w:bookmarkEnd w:id="144"/>
      <w:bookmarkEnd w:id="145"/>
      <w:bookmarkEnd w:id="146"/>
      <w:bookmarkEnd w:id="147"/>
      <w:bookmarkEnd w:id="148"/>
    </w:p>
    <w:p w14:paraId="3B41EA07">
      <w:pPr>
        <w:spacing w:line="360" w:lineRule="auto"/>
        <w:jc w:val="center"/>
        <w:rPr>
          <w:rFonts w:hint="eastAsia" w:ascii="仿宋" w:hAnsi="仿宋" w:eastAsia="仿宋" w:cs="仿宋"/>
          <w:szCs w:val="21"/>
        </w:rPr>
      </w:pPr>
      <w:r>
        <w:rPr>
          <w:rFonts w:hint="eastAsia" w:ascii="仿宋" w:hAnsi="仿宋" w:eastAsia="仿宋" w:cs="仿宋"/>
          <w:szCs w:val="21"/>
        </w:rPr>
        <w:br w:type="page"/>
      </w:r>
    </w:p>
    <w:p w14:paraId="5262E6A6">
      <w:pPr>
        <w:pStyle w:val="5"/>
        <w:numPr>
          <w:ilvl w:val="2"/>
          <w:numId w:val="0"/>
        </w:numPr>
        <w:tabs>
          <w:tab w:val="clear" w:pos="900"/>
        </w:tabs>
        <w:spacing w:line="360" w:lineRule="auto"/>
        <w:jc w:val="center"/>
        <w:rPr>
          <w:rFonts w:hint="eastAsia" w:ascii="仿宋" w:hAnsi="仿宋" w:eastAsia="仿宋" w:cs="仿宋"/>
        </w:rPr>
      </w:pPr>
      <w:bookmarkStart w:id="149" w:name="_Toc166764625"/>
      <w:r>
        <w:rPr>
          <w:rFonts w:hint="eastAsia" w:ascii="仿宋" w:hAnsi="仿宋" w:eastAsia="仿宋" w:cs="仿宋"/>
        </w:rPr>
        <w:t>（</w:t>
      </w:r>
      <w:r>
        <w:rPr>
          <w:rFonts w:hint="eastAsia" w:ascii="仿宋" w:hAnsi="仿宋" w:eastAsia="仿宋" w:cs="仿宋"/>
          <w:lang w:val="en-US" w:eastAsia="zh-CN"/>
        </w:rPr>
        <w:t>五</w:t>
      </w:r>
      <w:r>
        <w:rPr>
          <w:rFonts w:hint="eastAsia" w:ascii="仿宋" w:hAnsi="仿宋" w:eastAsia="仿宋" w:cs="仿宋"/>
        </w:rPr>
        <w:t>）投标质量保证书</w:t>
      </w:r>
      <w:bookmarkEnd w:id="142"/>
      <w:bookmarkEnd w:id="149"/>
    </w:p>
    <w:p w14:paraId="30138738">
      <w:pPr>
        <w:spacing w:line="400" w:lineRule="exact"/>
        <w:rPr>
          <w:rFonts w:hint="eastAsia" w:ascii="仿宋" w:hAnsi="仿宋" w:eastAsia="仿宋" w:cs="仿宋"/>
          <w:sz w:val="24"/>
        </w:rPr>
      </w:pPr>
    </w:p>
    <w:p w14:paraId="3D1BB726">
      <w:pPr>
        <w:spacing w:after="120" w:line="500" w:lineRule="exact"/>
        <w:rPr>
          <w:rFonts w:hint="eastAsia" w:ascii="仿宋" w:hAnsi="仿宋" w:eastAsia="仿宋" w:cs="仿宋"/>
          <w:b/>
          <w:szCs w:val="21"/>
        </w:rPr>
      </w:pPr>
      <w:r>
        <w:rPr>
          <w:rFonts w:hint="eastAsia" w:ascii="仿宋" w:hAnsi="仿宋" w:eastAsia="仿宋" w:cs="仿宋"/>
          <w:b/>
          <w:szCs w:val="21"/>
        </w:rPr>
        <w:t>致</w:t>
      </w:r>
      <w:r>
        <w:rPr>
          <w:rFonts w:hint="eastAsia" w:ascii="仿宋" w:hAnsi="仿宋" w:eastAsia="仿宋" w:cs="仿宋"/>
          <w:b/>
          <w:szCs w:val="21"/>
          <w:u w:val="single"/>
          <w:lang w:val="en-US" w:eastAsia="zh-CN"/>
        </w:rPr>
        <w:t xml:space="preserve">                 （招标人）</w:t>
      </w:r>
      <w:r>
        <w:rPr>
          <w:rFonts w:hint="eastAsia" w:ascii="仿宋" w:hAnsi="仿宋" w:eastAsia="仿宋" w:cs="仿宋"/>
          <w:b/>
          <w:szCs w:val="21"/>
        </w:rPr>
        <w:t>：</w:t>
      </w:r>
    </w:p>
    <w:p w14:paraId="32A8A733">
      <w:pPr>
        <w:spacing w:before="60" w:after="60" w:line="600" w:lineRule="exact"/>
        <w:ind w:firstLine="510"/>
        <w:rPr>
          <w:rFonts w:hint="eastAsia" w:ascii="仿宋" w:hAnsi="仿宋" w:eastAsia="仿宋" w:cs="仿宋"/>
          <w:szCs w:val="21"/>
        </w:rPr>
      </w:pPr>
    </w:p>
    <w:p w14:paraId="6A8E92B5">
      <w:pPr>
        <w:spacing w:before="60" w:after="60" w:line="600" w:lineRule="exact"/>
        <w:ind w:firstLine="510"/>
        <w:rPr>
          <w:rFonts w:hint="eastAsia" w:ascii="仿宋" w:hAnsi="仿宋" w:eastAsia="仿宋" w:cs="仿宋"/>
          <w:szCs w:val="21"/>
        </w:rPr>
      </w:pPr>
      <w:r>
        <w:rPr>
          <w:rFonts w:hint="eastAsia" w:ascii="仿宋" w:hAnsi="仿宋" w:eastAsia="仿宋" w:cs="仿宋"/>
          <w:szCs w:val="21"/>
        </w:rPr>
        <w:t>本保证书作为</w:t>
      </w:r>
      <w:r>
        <w:rPr>
          <w:rFonts w:hint="eastAsia" w:ascii="仿宋" w:hAnsi="仿宋" w:eastAsia="仿宋" w:cs="仿宋"/>
          <w:szCs w:val="21"/>
          <w:u w:val="single"/>
        </w:rPr>
        <w:t xml:space="preserve">           </w:t>
      </w:r>
      <w:r>
        <w:rPr>
          <w:rFonts w:hint="eastAsia" w:ascii="仿宋" w:hAnsi="仿宋" w:eastAsia="仿宋" w:cs="仿宋"/>
          <w:szCs w:val="21"/>
        </w:rPr>
        <w:t>(投标人)对编号为：</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的</w:t>
      </w:r>
      <w:r>
        <w:rPr>
          <w:rFonts w:hint="eastAsia" w:ascii="仿宋" w:hAnsi="仿宋" w:eastAsia="仿宋" w:cs="仿宋"/>
          <w:szCs w:val="21"/>
          <w:u w:val="single"/>
        </w:rPr>
        <w:t xml:space="preserve">     </w:t>
      </w:r>
      <w:r>
        <w:rPr>
          <w:rFonts w:hint="eastAsia" w:ascii="仿宋" w:hAnsi="仿宋" w:eastAsia="仿宋" w:cs="仿宋"/>
          <w:bCs/>
          <w:szCs w:val="21"/>
          <w:u w:val="single"/>
        </w:rPr>
        <w:t xml:space="preserve">（项目名称）    </w:t>
      </w:r>
      <w:r>
        <w:rPr>
          <w:rFonts w:hint="eastAsia" w:ascii="仿宋" w:hAnsi="仿宋" w:eastAsia="仿宋" w:cs="仿宋"/>
          <w:szCs w:val="21"/>
        </w:rPr>
        <w:t>提供质量保证的证明。</w:t>
      </w:r>
    </w:p>
    <w:p w14:paraId="211C07FC">
      <w:pPr>
        <w:spacing w:before="60" w:after="60" w:line="600" w:lineRule="exact"/>
        <w:ind w:firstLine="510"/>
        <w:rPr>
          <w:rFonts w:hint="eastAsia" w:ascii="仿宋" w:hAnsi="仿宋" w:eastAsia="仿宋" w:cs="仿宋"/>
          <w:szCs w:val="21"/>
        </w:rPr>
      </w:pPr>
      <w:r>
        <w:rPr>
          <w:rFonts w:hint="eastAsia" w:ascii="仿宋" w:hAnsi="仿宋" w:eastAsia="仿宋" w:cs="仿宋"/>
          <w:szCs w:val="21"/>
        </w:rPr>
        <w:t>我方承诺提供以下质量保证并承担相应的法律责任：</w:t>
      </w:r>
    </w:p>
    <w:p w14:paraId="300BF2CF">
      <w:pPr>
        <w:spacing w:before="60" w:after="60" w:line="600" w:lineRule="exact"/>
        <w:ind w:firstLine="510"/>
        <w:rPr>
          <w:rFonts w:hint="eastAsia" w:ascii="仿宋" w:hAnsi="仿宋" w:eastAsia="仿宋" w:cs="仿宋"/>
          <w:szCs w:val="21"/>
        </w:rPr>
      </w:pPr>
      <w:r>
        <w:rPr>
          <w:rFonts w:hint="eastAsia" w:ascii="仿宋" w:hAnsi="仿宋" w:eastAsia="仿宋" w:cs="仿宋"/>
          <w:szCs w:val="21"/>
        </w:rPr>
        <w:t>1、提供的货物是全新的、符合国家质量标准、中国有关部门手续完备、具有生产企业质量保证书(或合格证明)的货物；</w:t>
      </w:r>
    </w:p>
    <w:p w14:paraId="45F554E5">
      <w:pPr>
        <w:spacing w:before="60" w:after="60" w:line="600" w:lineRule="exact"/>
        <w:ind w:firstLine="510"/>
        <w:rPr>
          <w:rFonts w:hint="eastAsia" w:ascii="仿宋" w:hAnsi="仿宋" w:eastAsia="仿宋" w:cs="仿宋"/>
          <w:szCs w:val="21"/>
        </w:rPr>
      </w:pPr>
      <w:r>
        <w:rPr>
          <w:rFonts w:hint="eastAsia" w:ascii="仿宋" w:hAnsi="仿宋" w:eastAsia="仿宋" w:cs="仿宋"/>
          <w:szCs w:val="21"/>
        </w:rPr>
        <w:t>2、保证甲方在合同产品使用期间不受第三方提出侵犯其专利权、商标,提供的货物符合投标文件承诺和所签合同规定的技术要求；</w:t>
      </w:r>
    </w:p>
    <w:p w14:paraId="21C7066B">
      <w:pPr>
        <w:spacing w:before="60" w:after="60" w:line="600" w:lineRule="exact"/>
        <w:ind w:firstLine="510"/>
        <w:rPr>
          <w:rFonts w:hint="eastAsia" w:ascii="仿宋" w:hAnsi="仿宋" w:eastAsia="仿宋" w:cs="仿宋"/>
          <w:szCs w:val="21"/>
        </w:rPr>
      </w:pPr>
      <w:r>
        <w:rPr>
          <w:rFonts w:hint="eastAsia" w:ascii="仿宋" w:hAnsi="仿宋" w:eastAsia="仿宋" w:cs="仿宋"/>
          <w:szCs w:val="21"/>
        </w:rPr>
        <w:t>3、保证“投标文件售后服务承诺”全部内容的满足。</w:t>
      </w:r>
    </w:p>
    <w:p w14:paraId="55AE36B1">
      <w:pPr>
        <w:spacing w:before="60" w:after="60" w:line="600" w:lineRule="exact"/>
        <w:ind w:firstLine="510"/>
        <w:rPr>
          <w:rFonts w:hint="eastAsia" w:ascii="仿宋" w:hAnsi="仿宋" w:eastAsia="仿宋" w:cs="仿宋"/>
          <w:szCs w:val="21"/>
        </w:rPr>
      </w:pPr>
      <w:r>
        <w:rPr>
          <w:rFonts w:hint="eastAsia" w:ascii="仿宋" w:hAnsi="仿宋" w:eastAsia="仿宋" w:cs="仿宋"/>
          <w:szCs w:val="21"/>
        </w:rPr>
        <w:t>本保证书自开标之日起90日内有效，如我方最终成交则至货物质保期满为止有效。</w:t>
      </w:r>
    </w:p>
    <w:p w14:paraId="1540BCCE">
      <w:pPr>
        <w:spacing w:before="60" w:after="60" w:line="600" w:lineRule="exact"/>
        <w:ind w:firstLine="510"/>
        <w:rPr>
          <w:rFonts w:hint="eastAsia" w:ascii="仿宋" w:hAnsi="仿宋" w:eastAsia="仿宋" w:cs="仿宋"/>
          <w:szCs w:val="21"/>
        </w:rPr>
      </w:pPr>
    </w:p>
    <w:p w14:paraId="7286CD41">
      <w:pPr>
        <w:spacing w:before="60" w:after="60" w:line="600" w:lineRule="exact"/>
        <w:ind w:firstLine="510"/>
        <w:rPr>
          <w:rFonts w:hint="eastAsia" w:ascii="仿宋" w:hAnsi="仿宋" w:eastAsia="仿宋" w:cs="仿宋"/>
          <w:szCs w:val="21"/>
        </w:rPr>
      </w:pPr>
    </w:p>
    <w:p w14:paraId="59F09A6A">
      <w:pPr>
        <w:spacing w:before="60" w:after="60" w:line="600" w:lineRule="exact"/>
        <w:ind w:firstLine="510"/>
        <w:rPr>
          <w:rFonts w:hint="eastAsia" w:ascii="仿宋" w:hAnsi="仿宋" w:eastAsia="仿宋" w:cs="仿宋"/>
          <w:szCs w:val="21"/>
        </w:rPr>
      </w:pPr>
    </w:p>
    <w:p w14:paraId="2D1FE422">
      <w:pPr>
        <w:spacing w:before="60" w:after="60" w:line="480" w:lineRule="auto"/>
        <w:ind w:firstLine="510"/>
        <w:rPr>
          <w:rFonts w:hint="eastAsia" w:ascii="仿宋" w:hAnsi="仿宋" w:eastAsia="仿宋" w:cs="仿宋"/>
          <w:szCs w:val="21"/>
        </w:rPr>
      </w:pPr>
      <w:r>
        <w:rPr>
          <w:rFonts w:hint="eastAsia" w:ascii="仿宋" w:hAnsi="仿宋" w:eastAsia="仿宋" w:cs="仿宋"/>
          <w:szCs w:val="21"/>
        </w:rPr>
        <w:t>投标人全称(盖电子公章)：</w:t>
      </w:r>
      <w:r>
        <w:rPr>
          <w:rFonts w:hint="eastAsia" w:ascii="仿宋" w:hAnsi="仿宋" w:eastAsia="仿宋" w:cs="仿宋"/>
          <w:szCs w:val="21"/>
          <w:u w:val="single"/>
        </w:rPr>
        <w:t xml:space="preserve">                                   </w:t>
      </w:r>
    </w:p>
    <w:p w14:paraId="63E9BCAD">
      <w:pPr>
        <w:spacing w:before="60" w:after="60" w:line="480" w:lineRule="auto"/>
        <w:ind w:firstLine="510"/>
        <w:rPr>
          <w:rFonts w:hint="eastAsia" w:ascii="仿宋" w:hAnsi="仿宋" w:eastAsia="仿宋" w:cs="仿宋"/>
          <w:szCs w:val="21"/>
        </w:rPr>
      </w:pPr>
      <w:r>
        <w:rPr>
          <w:rFonts w:hint="eastAsia" w:ascii="仿宋" w:hAnsi="仿宋" w:eastAsia="仿宋" w:cs="仿宋"/>
          <w:szCs w:val="21"/>
        </w:rPr>
        <w:t>法定代表人或委托代理人（电子签名）：</w:t>
      </w:r>
      <w:r>
        <w:rPr>
          <w:rFonts w:hint="eastAsia" w:ascii="仿宋" w:hAnsi="仿宋" w:eastAsia="仿宋" w:cs="仿宋"/>
          <w:szCs w:val="21"/>
          <w:u w:val="single"/>
        </w:rPr>
        <w:t xml:space="preserve">                        </w:t>
      </w:r>
    </w:p>
    <w:p w14:paraId="6482C187">
      <w:pPr>
        <w:spacing w:before="60" w:after="60" w:line="480" w:lineRule="auto"/>
        <w:ind w:firstLine="510"/>
        <w:rPr>
          <w:rFonts w:hint="eastAsia" w:ascii="仿宋" w:hAnsi="仿宋" w:eastAsia="仿宋" w:cs="仿宋"/>
          <w:szCs w:val="21"/>
        </w:rPr>
        <w:sectPr>
          <w:headerReference r:id="rId11" w:type="default"/>
          <w:footerReference r:id="rId12" w:type="default"/>
          <w:pgSz w:w="11906" w:h="16838"/>
          <w:pgMar w:top="1134" w:right="1134" w:bottom="709" w:left="1304" w:header="794" w:footer="464" w:gutter="0"/>
          <w:cols w:space="720" w:num="1"/>
          <w:docGrid w:linePitch="312" w:charSpace="0"/>
        </w:sectPr>
      </w:pPr>
      <w:r>
        <w:rPr>
          <w:rFonts w:hint="eastAsia" w:ascii="仿宋" w:hAnsi="仿宋" w:eastAsia="仿宋" w:cs="仿宋"/>
          <w:szCs w:val="21"/>
        </w:rPr>
        <w:t>日期：</w:t>
      </w:r>
      <w:r>
        <w:rPr>
          <w:rFonts w:hint="eastAsia" w:ascii="仿宋" w:hAnsi="仿宋" w:eastAsia="仿宋" w:cs="仿宋"/>
          <w:szCs w:val="21"/>
          <w:u w:val="single"/>
        </w:rPr>
        <w:t>______</w:t>
      </w:r>
      <w:r>
        <w:rPr>
          <w:rFonts w:hint="eastAsia" w:ascii="仿宋" w:hAnsi="仿宋" w:eastAsia="仿宋" w:cs="仿宋"/>
          <w:szCs w:val="21"/>
        </w:rPr>
        <w:t>年</w:t>
      </w:r>
      <w:r>
        <w:rPr>
          <w:rFonts w:hint="eastAsia" w:ascii="仿宋" w:hAnsi="仿宋" w:eastAsia="仿宋" w:cs="仿宋"/>
          <w:szCs w:val="21"/>
          <w:u w:val="single"/>
        </w:rPr>
        <w:t>_____</w:t>
      </w:r>
      <w:r>
        <w:rPr>
          <w:rFonts w:hint="eastAsia" w:ascii="仿宋" w:hAnsi="仿宋" w:eastAsia="仿宋" w:cs="仿宋"/>
          <w:szCs w:val="21"/>
        </w:rPr>
        <w:t>月</w:t>
      </w:r>
      <w:r>
        <w:rPr>
          <w:rFonts w:hint="eastAsia" w:ascii="仿宋" w:hAnsi="仿宋" w:eastAsia="仿宋" w:cs="仿宋"/>
          <w:szCs w:val="21"/>
          <w:u w:val="single"/>
        </w:rPr>
        <w:t>_____</w:t>
      </w:r>
      <w:r>
        <w:rPr>
          <w:rFonts w:hint="eastAsia" w:ascii="仿宋" w:hAnsi="仿宋" w:eastAsia="仿宋" w:cs="仿宋"/>
          <w:szCs w:val="21"/>
        </w:rPr>
        <w:t>日</w:t>
      </w:r>
    </w:p>
    <w:p w14:paraId="35B8961E">
      <w:pPr>
        <w:rPr>
          <w:rFonts w:hint="eastAsia" w:ascii="仿宋" w:hAnsi="仿宋" w:eastAsia="仿宋" w:cs="仿宋"/>
        </w:rPr>
      </w:pPr>
    </w:p>
    <w:p w14:paraId="55B61D01">
      <w:pPr>
        <w:pStyle w:val="5"/>
        <w:numPr>
          <w:ilvl w:val="2"/>
          <w:numId w:val="0"/>
        </w:numPr>
        <w:tabs>
          <w:tab w:val="clear" w:pos="900"/>
        </w:tabs>
        <w:spacing w:line="360" w:lineRule="auto"/>
        <w:jc w:val="center"/>
        <w:rPr>
          <w:rFonts w:hint="default" w:ascii="仿宋" w:hAnsi="仿宋" w:eastAsia="仿宋" w:cs="仿宋"/>
          <w:lang w:val="en-US" w:eastAsia="zh-CN"/>
        </w:rPr>
      </w:pPr>
      <w:bookmarkStart w:id="150" w:name="_Toc111813254"/>
      <w:bookmarkStart w:id="151" w:name="_Toc166764626"/>
      <w:r>
        <w:rPr>
          <w:rFonts w:hint="eastAsia" w:ascii="仿宋" w:hAnsi="仿宋" w:eastAsia="仿宋" w:cs="仿宋"/>
        </w:rPr>
        <w:t>（</w:t>
      </w:r>
      <w:r>
        <w:rPr>
          <w:rFonts w:hint="eastAsia" w:ascii="仿宋" w:hAnsi="仿宋" w:eastAsia="仿宋" w:cs="仿宋"/>
          <w:lang w:val="en-US" w:eastAsia="zh-CN"/>
        </w:rPr>
        <w:t>六</w:t>
      </w:r>
      <w:r>
        <w:rPr>
          <w:rFonts w:hint="eastAsia" w:ascii="仿宋" w:hAnsi="仿宋" w:eastAsia="仿宋" w:cs="仿宋"/>
        </w:rPr>
        <w:t>）企业综合实力</w:t>
      </w:r>
      <w:bookmarkEnd w:id="131"/>
      <w:bookmarkEnd w:id="150"/>
      <w:bookmarkEnd w:id="151"/>
      <w:r>
        <w:rPr>
          <w:rFonts w:hint="eastAsia" w:ascii="仿宋" w:hAnsi="仿宋" w:eastAsia="仿宋" w:cs="仿宋"/>
          <w:lang w:eastAsia="zh-CN"/>
        </w:rPr>
        <w:t>（</w:t>
      </w:r>
      <w:r>
        <w:rPr>
          <w:rFonts w:hint="eastAsia" w:ascii="仿宋" w:hAnsi="仿宋" w:eastAsia="仿宋" w:cs="仿宋"/>
          <w:lang w:val="en-US" w:eastAsia="zh-CN"/>
        </w:rPr>
        <w:t>如有）</w:t>
      </w:r>
    </w:p>
    <w:p w14:paraId="6A06FB99">
      <w:pPr>
        <w:ind w:firstLine="315" w:firstLineChars="150"/>
        <w:jc w:val="center"/>
        <w:rPr>
          <w:rFonts w:hint="eastAsia" w:ascii="仿宋" w:hAnsi="仿宋" w:eastAsia="仿宋" w:cs="仿宋"/>
          <w:szCs w:val="21"/>
        </w:rPr>
      </w:pPr>
      <w:r>
        <w:rPr>
          <w:rFonts w:hint="eastAsia" w:ascii="仿宋" w:hAnsi="仿宋" w:eastAsia="仿宋" w:cs="仿宋"/>
          <w:szCs w:val="21"/>
        </w:rPr>
        <w:t>投标人自行编写。</w:t>
      </w:r>
    </w:p>
    <w:p w14:paraId="0FDA4B0A">
      <w:pPr>
        <w:rPr>
          <w:rFonts w:hint="eastAsia" w:ascii="仿宋" w:hAnsi="仿宋" w:eastAsia="仿宋" w:cs="仿宋"/>
          <w:b/>
          <w:sz w:val="32"/>
          <w:szCs w:val="44"/>
        </w:rPr>
      </w:pPr>
    </w:p>
    <w:p w14:paraId="7C484320">
      <w:pPr>
        <w:rPr>
          <w:rFonts w:hint="eastAsia" w:ascii="仿宋" w:hAnsi="仿宋" w:eastAsia="仿宋" w:cs="仿宋"/>
          <w:b/>
          <w:sz w:val="32"/>
          <w:szCs w:val="44"/>
        </w:rPr>
      </w:pPr>
    </w:p>
    <w:p w14:paraId="6DEDBB10">
      <w:pPr>
        <w:rPr>
          <w:rFonts w:hint="eastAsia" w:ascii="仿宋" w:hAnsi="仿宋" w:eastAsia="仿宋" w:cs="仿宋"/>
          <w:b/>
          <w:sz w:val="32"/>
          <w:szCs w:val="44"/>
        </w:rPr>
      </w:pPr>
      <w:r>
        <w:rPr>
          <w:rFonts w:hint="eastAsia" w:ascii="仿宋" w:hAnsi="仿宋" w:eastAsia="仿宋" w:cs="仿宋"/>
          <w:sz w:val="32"/>
        </w:rPr>
        <w:br w:type="page"/>
      </w:r>
    </w:p>
    <w:bookmarkEnd w:id="119"/>
    <w:bookmarkEnd w:id="120"/>
    <w:bookmarkEnd w:id="121"/>
    <w:bookmarkEnd w:id="122"/>
    <w:p w14:paraId="7BC99076">
      <w:pPr>
        <w:pStyle w:val="4"/>
        <w:numPr>
          <w:ilvl w:val="1"/>
          <w:numId w:val="0"/>
        </w:numPr>
        <w:tabs>
          <w:tab w:val="clear" w:pos="1021"/>
          <w:tab w:val="clear" w:pos="2582"/>
          <w:tab w:val="clear" w:pos="2723"/>
        </w:tabs>
        <w:spacing w:line="360" w:lineRule="auto"/>
        <w:jc w:val="center"/>
        <w:rPr>
          <w:rFonts w:hint="eastAsia" w:ascii="仿宋" w:hAnsi="仿宋" w:eastAsia="仿宋" w:cs="仿宋"/>
          <w:szCs w:val="30"/>
        </w:rPr>
      </w:pPr>
      <w:bookmarkStart w:id="152" w:name="_Toc111813255"/>
      <w:bookmarkStart w:id="153" w:name="_Toc166764627"/>
      <w:bookmarkStart w:id="154" w:name="_Toc10117050"/>
      <w:bookmarkStart w:id="155" w:name="_Toc520749024"/>
      <w:r>
        <w:rPr>
          <w:rFonts w:hint="eastAsia" w:ascii="仿宋" w:hAnsi="仿宋" w:eastAsia="仿宋" w:cs="仿宋"/>
          <w:szCs w:val="30"/>
        </w:rPr>
        <w:t>三、技术部分格式</w:t>
      </w:r>
      <w:bookmarkEnd w:id="152"/>
      <w:bookmarkEnd w:id="153"/>
      <w:bookmarkEnd w:id="154"/>
      <w:bookmarkEnd w:id="155"/>
    </w:p>
    <w:p w14:paraId="3C77B5E3">
      <w:pPr>
        <w:pStyle w:val="5"/>
        <w:numPr>
          <w:ilvl w:val="2"/>
          <w:numId w:val="0"/>
        </w:numPr>
        <w:tabs>
          <w:tab w:val="clear" w:pos="900"/>
        </w:tabs>
        <w:spacing w:line="360" w:lineRule="auto"/>
        <w:jc w:val="center"/>
        <w:rPr>
          <w:rFonts w:hint="eastAsia" w:ascii="仿宋" w:hAnsi="仿宋" w:eastAsia="仿宋" w:cs="仿宋"/>
        </w:rPr>
      </w:pPr>
      <w:bookmarkStart w:id="156" w:name="_Toc111813256"/>
      <w:bookmarkStart w:id="157" w:name="_Toc509593411"/>
      <w:bookmarkStart w:id="158" w:name="_Toc12543"/>
      <w:bookmarkStart w:id="159" w:name="_Toc166764628"/>
      <w:bookmarkStart w:id="160" w:name="_Toc10117051"/>
      <w:bookmarkStart w:id="161" w:name="_Toc457090335"/>
      <w:bookmarkStart w:id="162" w:name="_Toc9806"/>
      <w:bookmarkStart w:id="163" w:name="_Toc309"/>
      <w:bookmarkStart w:id="164" w:name="_Toc1298"/>
      <w:r>
        <w:rPr>
          <w:rFonts w:hint="eastAsia" w:ascii="仿宋" w:hAnsi="仿宋" w:eastAsia="仿宋" w:cs="仿宋"/>
        </w:rPr>
        <w:t>（一）技术规格偏离表</w:t>
      </w:r>
      <w:bookmarkEnd w:id="156"/>
      <w:bookmarkEnd w:id="157"/>
      <w:bookmarkEnd w:id="158"/>
      <w:bookmarkEnd w:id="159"/>
      <w:bookmarkEnd w:id="160"/>
      <w:bookmarkEnd w:id="161"/>
      <w:bookmarkEnd w:id="162"/>
      <w:bookmarkEnd w:id="163"/>
      <w:bookmarkEnd w:id="164"/>
    </w:p>
    <w:tbl>
      <w:tblPr>
        <w:tblStyle w:val="25"/>
        <w:tblW w:w="103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48"/>
        <w:gridCol w:w="1635"/>
        <w:gridCol w:w="2510"/>
        <w:gridCol w:w="1985"/>
        <w:gridCol w:w="1168"/>
        <w:gridCol w:w="1168"/>
        <w:gridCol w:w="1168"/>
      </w:tblGrid>
      <w:tr w14:paraId="6E455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748" w:type="dxa"/>
            <w:noWrap w:val="0"/>
            <w:vAlign w:val="center"/>
          </w:tcPr>
          <w:p w14:paraId="07C99522">
            <w:pPr>
              <w:spacing w:line="400" w:lineRule="atLeast"/>
              <w:jc w:val="center"/>
              <w:rPr>
                <w:rFonts w:hint="eastAsia" w:ascii="仿宋" w:hAnsi="仿宋" w:eastAsia="仿宋" w:cs="仿宋"/>
                <w:szCs w:val="21"/>
              </w:rPr>
            </w:pPr>
            <w:r>
              <w:rPr>
                <w:rFonts w:hint="eastAsia" w:ascii="仿宋" w:hAnsi="仿宋" w:eastAsia="仿宋" w:cs="仿宋"/>
                <w:szCs w:val="21"/>
              </w:rPr>
              <w:t>序号</w:t>
            </w:r>
          </w:p>
        </w:tc>
        <w:tc>
          <w:tcPr>
            <w:tcW w:w="1635" w:type="dxa"/>
            <w:noWrap w:val="0"/>
            <w:vAlign w:val="center"/>
          </w:tcPr>
          <w:p w14:paraId="35CB88EF">
            <w:pPr>
              <w:spacing w:line="400" w:lineRule="atLeast"/>
              <w:jc w:val="center"/>
              <w:rPr>
                <w:rFonts w:hint="eastAsia" w:ascii="仿宋" w:hAnsi="仿宋" w:eastAsia="仿宋" w:cs="仿宋"/>
                <w:szCs w:val="21"/>
              </w:rPr>
            </w:pPr>
            <w:r>
              <w:rPr>
                <w:rFonts w:hint="eastAsia" w:ascii="仿宋" w:hAnsi="仿宋" w:eastAsia="仿宋" w:cs="仿宋"/>
                <w:szCs w:val="21"/>
              </w:rPr>
              <w:t>设备名称</w:t>
            </w:r>
          </w:p>
        </w:tc>
        <w:tc>
          <w:tcPr>
            <w:tcW w:w="2510" w:type="dxa"/>
            <w:noWrap w:val="0"/>
            <w:vAlign w:val="center"/>
          </w:tcPr>
          <w:p w14:paraId="308ADAD0">
            <w:pPr>
              <w:spacing w:line="400" w:lineRule="atLeast"/>
              <w:jc w:val="center"/>
              <w:rPr>
                <w:rFonts w:hint="eastAsia" w:ascii="仿宋" w:hAnsi="仿宋" w:eastAsia="仿宋" w:cs="仿宋"/>
                <w:szCs w:val="21"/>
              </w:rPr>
            </w:pPr>
            <w:r>
              <w:rPr>
                <w:rFonts w:hint="eastAsia" w:ascii="仿宋" w:hAnsi="仿宋" w:eastAsia="仿宋" w:cs="仿宋"/>
                <w:szCs w:val="21"/>
              </w:rPr>
              <w:t>招标文件技术</w:t>
            </w:r>
          </w:p>
          <w:p w14:paraId="6B8EF95D">
            <w:pPr>
              <w:spacing w:line="400" w:lineRule="atLeast"/>
              <w:jc w:val="center"/>
              <w:rPr>
                <w:rFonts w:hint="eastAsia" w:ascii="仿宋" w:hAnsi="仿宋" w:eastAsia="仿宋" w:cs="仿宋"/>
                <w:szCs w:val="21"/>
              </w:rPr>
            </w:pPr>
            <w:r>
              <w:rPr>
                <w:rFonts w:hint="eastAsia" w:ascii="仿宋" w:hAnsi="仿宋" w:eastAsia="仿宋" w:cs="仿宋"/>
                <w:szCs w:val="21"/>
              </w:rPr>
              <w:t>规范、要求</w:t>
            </w:r>
          </w:p>
        </w:tc>
        <w:tc>
          <w:tcPr>
            <w:tcW w:w="1985" w:type="dxa"/>
            <w:noWrap w:val="0"/>
            <w:vAlign w:val="center"/>
          </w:tcPr>
          <w:p w14:paraId="17397EBF">
            <w:pPr>
              <w:spacing w:line="400" w:lineRule="atLeast"/>
              <w:jc w:val="center"/>
              <w:rPr>
                <w:rFonts w:hint="eastAsia" w:ascii="仿宋" w:hAnsi="仿宋" w:eastAsia="仿宋" w:cs="仿宋"/>
                <w:szCs w:val="21"/>
              </w:rPr>
            </w:pPr>
            <w:r>
              <w:rPr>
                <w:rFonts w:hint="eastAsia" w:ascii="仿宋" w:hAnsi="仿宋" w:eastAsia="仿宋" w:cs="仿宋"/>
                <w:szCs w:val="21"/>
              </w:rPr>
              <w:t>投标文件</w:t>
            </w:r>
          </w:p>
          <w:p w14:paraId="44D3A9B7">
            <w:pPr>
              <w:spacing w:line="400" w:lineRule="atLeast"/>
              <w:jc w:val="center"/>
              <w:rPr>
                <w:rFonts w:hint="eastAsia" w:ascii="仿宋" w:hAnsi="仿宋" w:eastAsia="仿宋" w:cs="仿宋"/>
                <w:szCs w:val="21"/>
              </w:rPr>
            </w:pPr>
            <w:r>
              <w:rPr>
                <w:rFonts w:hint="eastAsia" w:ascii="仿宋" w:hAnsi="仿宋" w:eastAsia="仿宋" w:cs="仿宋"/>
                <w:szCs w:val="21"/>
              </w:rPr>
              <w:t>对应规范</w:t>
            </w:r>
          </w:p>
        </w:tc>
        <w:tc>
          <w:tcPr>
            <w:tcW w:w="1168" w:type="dxa"/>
            <w:noWrap w:val="0"/>
            <w:vAlign w:val="top"/>
          </w:tcPr>
          <w:p w14:paraId="5B1A2F01">
            <w:pPr>
              <w:spacing w:line="400" w:lineRule="atLeast"/>
              <w:jc w:val="center"/>
              <w:rPr>
                <w:rFonts w:hint="eastAsia" w:ascii="仿宋" w:hAnsi="仿宋" w:eastAsia="仿宋" w:cs="仿宋"/>
                <w:szCs w:val="21"/>
              </w:rPr>
            </w:pPr>
            <w:r>
              <w:rPr>
                <w:rFonts w:hint="eastAsia" w:ascii="仿宋" w:hAnsi="仿宋" w:eastAsia="仿宋" w:cs="仿宋"/>
                <w:szCs w:val="21"/>
              </w:rPr>
              <w:t>正偏离/响应/负偏离</w:t>
            </w:r>
          </w:p>
        </w:tc>
        <w:tc>
          <w:tcPr>
            <w:tcW w:w="1168" w:type="dxa"/>
            <w:noWrap w:val="0"/>
            <w:vAlign w:val="top"/>
          </w:tcPr>
          <w:p w14:paraId="4250CD1F">
            <w:pPr>
              <w:spacing w:line="400" w:lineRule="atLeast"/>
              <w:jc w:val="center"/>
              <w:rPr>
                <w:rFonts w:hint="eastAsia" w:ascii="仿宋" w:hAnsi="仿宋" w:eastAsia="仿宋" w:cs="仿宋"/>
                <w:szCs w:val="21"/>
              </w:rPr>
            </w:pPr>
            <w:r>
              <w:rPr>
                <w:rFonts w:hint="eastAsia" w:ascii="仿宋" w:hAnsi="仿宋" w:eastAsia="仿宋" w:cs="仿宋"/>
                <w:szCs w:val="21"/>
              </w:rPr>
              <w:t>投标文件</w:t>
            </w:r>
          </w:p>
          <w:p w14:paraId="07B9DD04">
            <w:pPr>
              <w:spacing w:line="400" w:lineRule="atLeast"/>
              <w:jc w:val="center"/>
              <w:rPr>
                <w:rFonts w:hint="eastAsia" w:ascii="仿宋" w:hAnsi="仿宋" w:eastAsia="仿宋" w:cs="仿宋"/>
                <w:szCs w:val="21"/>
                <w:lang w:val="en-US" w:eastAsia="zh-CN"/>
              </w:rPr>
            </w:pPr>
            <w:r>
              <w:rPr>
                <w:rFonts w:hint="eastAsia" w:ascii="仿宋" w:hAnsi="仿宋" w:eastAsia="仿宋" w:cs="仿宋"/>
                <w:szCs w:val="21"/>
                <w:lang w:val="en-US" w:eastAsia="zh-CN"/>
              </w:rPr>
              <w:t>页码</w:t>
            </w:r>
          </w:p>
        </w:tc>
        <w:tc>
          <w:tcPr>
            <w:tcW w:w="1168" w:type="dxa"/>
            <w:noWrap w:val="0"/>
            <w:vAlign w:val="center"/>
          </w:tcPr>
          <w:p w14:paraId="57B6DAD5">
            <w:pPr>
              <w:spacing w:line="400" w:lineRule="atLeast"/>
              <w:jc w:val="center"/>
              <w:rPr>
                <w:rFonts w:hint="eastAsia" w:ascii="仿宋" w:hAnsi="仿宋" w:eastAsia="仿宋" w:cs="仿宋"/>
                <w:szCs w:val="21"/>
              </w:rPr>
            </w:pPr>
            <w:r>
              <w:rPr>
                <w:rFonts w:hint="eastAsia" w:ascii="仿宋" w:hAnsi="仿宋" w:eastAsia="仿宋" w:cs="仿宋"/>
                <w:szCs w:val="21"/>
              </w:rPr>
              <w:t>备注</w:t>
            </w:r>
          </w:p>
        </w:tc>
      </w:tr>
      <w:tr w14:paraId="3EA3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748" w:type="dxa"/>
            <w:noWrap w:val="0"/>
            <w:vAlign w:val="top"/>
          </w:tcPr>
          <w:p w14:paraId="4CCE49AB">
            <w:pPr>
              <w:spacing w:line="400" w:lineRule="atLeast"/>
              <w:rPr>
                <w:rFonts w:hint="eastAsia" w:ascii="仿宋" w:hAnsi="仿宋" w:eastAsia="仿宋" w:cs="仿宋"/>
                <w:szCs w:val="21"/>
              </w:rPr>
            </w:pPr>
          </w:p>
        </w:tc>
        <w:tc>
          <w:tcPr>
            <w:tcW w:w="1635" w:type="dxa"/>
            <w:noWrap w:val="0"/>
            <w:vAlign w:val="top"/>
          </w:tcPr>
          <w:p w14:paraId="3E98D8F0">
            <w:pPr>
              <w:spacing w:line="400" w:lineRule="atLeast"/>
              <w:rPr>
                <w:rFonts w:hint="eastAsia" w:ascii="仿宋" w:hAnsi="仿宋" w:eastAsia="仿宋" w:cs="仿宋"/>
                <w:szCs w:val="21"/>
              </w:rPr>
            </w:pPr>
          </w:p>
        </w:tc>
        <w:tc>
          <w:tcPr>
            <w:tcW w:w="2510" w:type="dxa"/>
            <w:noWrap w:val="0"/>
            <w:vAlign w:val="top"/>
          </w:tcPr>
          <w:p w14:paraId="6315CC77">
            <w:pPr>
              <w:spacing w:line="400" w:lineRule="atLeast"/>
              <w:rPr>
                <w:rFonts w:hint="eastAsia" w:ascii="仿宋" w:hAnsi="仿宋" w:eastAsia="仿宋" w:cs="仿宋"/>
                <w:szCs w:val="21"/>
              </w:rPr>
            </w:pPr>
          </w:p>
        </w:tc>
        <w:tc>
          <w:tcPr>
            <w:tcW w:w="1985" w:type="dxa"/>
            <w:noWrap w:val="0"/>
            <w:vAlign w:val="top"/>
          </w:tcPr>
          <w:p w14:paraId="4681AB81">
            <w:pPr>
              <w:spacing w:line="400" w:lineRule="atLeast"/>
              <w:rPr>
                <w:rFonts w:hint="eastAsia" w:ascii="仿宋" w:hAnsi="仿宋" w:eastAsia="仿宋" w:cs="仿宋"/>
                <w:szCs w:val="21"/>
              </w:rPr>
            </w:pPr>
          </w:p>
        </w:tc>
        <w:tc>
          <w:tcPr>
            <w:tcW w:w="1168" w:type="dxa"/>
            <w:noWrap w:val="0"/>
            <w:vAlign w:val="top"/>
          </w:tcPr>
          <w:p w14:paraId="37C1E866">
            <w:pPr>
              <w:spacing w:line="400" w:lineRule="atLeast"/>
              <w:rPr>
                <w:rFonts w:hint="eastAsia" w:ascii="仿宋" w:hAnsi="仿宋" w:eastAsia="仿宋" w:cs="仿宋"/>
                <w:szCs w:val="21"/>
              </w:rPr>
            </w:pPr>
          </w:p>
        </w:tc>
        <w:tc>
          <w:tcPr>
            <w:tcW w:w="1168" w:type="dxa"/>
            <w:noWrap w:val="0"/>
            <w:vAlign w:val="top"/>
          </w:tcPr>
          <w:p w14:paraId="5A1D287A">
            <w:pPr>
              <w:spacing w:line="400" w:lineRule="atLeast"/>
              <w:rPr>
                <w:rFonts w:hint="eastAsia" w:ascii="仿宋" w:hAnsi="仿宋" w:eastAsia="仿宋" w:cs="仿宋"/>
                <w:szCs w:val="21"/>
              </w:rPr>
            </w:pPr>
          </w:p>
        </w:tc>
        <w:tc>
          <w:tcPr>
            <w:tcW w:w="1168" w:type="dxa"/>
            <w:noWrap w:val="0"/>
            <w:vAlign w:val="top"/>
          </w:tcPr>
          <w:p w14:paraId="7FBBDEC6">
            <w:pPr>
              <w:spacing w:line="400" w:lineRule="atLeast"/>
              <w:rPr>
                <w:rFonts w:hint="eastAsia" w:ascii="仿宋" w:hAnsi="仿宋" w:eastAsia="仿宋" w:cs="仿宋"/>
                <w:szCs w:val="21"/>
              </w:rPr>
            </w:pPr>
          </w:p>
        </w:tc>
      </w:tr>
      <w:tr w14:paraId="7D4B4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00" w:hRule="atLeast"/>
          <w:jc w:val="center"/>
        </w:trPr>
        <w:tc>
          <w:tcPr>
            <w:tcW w:w="748" w:type="dxa"/>
            <w:noWrap w:val="0"/>
            <w:vAlign w:val="top"/>
          </w:tcPr>
          <w:p w14:paraId="307D70D1">
            <w:pPr>
              <w:spacing w:line="400" w:lineRule="atLeast"/>
              <w:rPr>
                <w:rFonts w:hint="eastAsia" w:ascii="仿宋" w:hAnsi="仿宋" w:eastAsia="仿宋" w:cs="仿宋"/>
                <w:szCs w:val="21"/>
              </w:rPr>
            </w:pPr>
          </w:p>
        </w:tc>
        <w:tc>
          <w:tcPr>
            <w:tcW w:w="1635" w:type="dxa"/>
            <w:noWrap w:val="0"/>
            <w:vAlign w:val="top"/>
          </w:tcPr>
          <w:p w14:paraId="704655E4">
            <w:pPr>
              <w:spacing w:line="400" w:lineRule="atLeast"/>
              <w:rPr>
                <w:rFonts w:hint="eastAsia" w:ascii="仿宋" w:hAnsi="仿宋" w:eastAsia="仿宋" w:cs="仿宋"/>
                <w:szCs w:val="21"/>
              </w:rPr>
            </w:pPr>
          </w:p>
        </w:tc>
        <w:tc>
          <w:tcPr>
            <w:tcW w:w="2510" w:type="dxa"/>
            <w:noWrap w:val="0"/>
            <w:vAlign w:val="top"/>
          </w:tcPr>
          <w:p w14:paraId="6FD454E4">
            <w:pPr>
              <w:spacing w:line="400" w:lineRule="atLeast"/>
              <w:rPr>
                <w:rFonts w:hint="eastAsia" w:ascii="仿宋" w:hAnsi="仿宋" w:eastAsia="仿宋" w:cs="仿宋"/>
                <w:szCs w:val="21"/>
              </w:rPr>
            </w:pPr>
          </w:p>
        </w:tc>
        <w:tc>
          <w:tcPr>
            <w:tcW w:w="1985" w:type="dxa"/>
            <w:noWrap w:val="0"/>
            <w:vAlign w:val="top"/>
          </w:tcPr>
          <w:p w14:paraId="52561F0A">
            <w:pPr>
              <w:spacing w:line="400" w:lineRule="atLeast"/>
              <w:rPr>
                <w:rFonts w:hint="eastAsia" w:ascii="仿宋" w:hAnsi="仿宋" w:eastAsia="仿宋" w:cs="仿宋"/>
                <w:szCs w:val="21"/>
              </w:rPr>
            </w:pPr>
          </w:p>
        </w:tc>
        <w:tc>
          <w:tcPr>
            <w:tcW w:w="1168" w:type="dxa"/>
            <w:noWrap w:val="0"/>
            <w:vAlign w:val="top"/>
          </w:tcPr>
          <w:p w14:paraId="1DCE86D5">
            <w:pPr>
              <w:spacing w:line="400" w:lineRule="atLeast"/>
              <w:rPr>
                <w:rFonts w:hint="eastAsia" w:ascii="仿宋" w:hAnsi="仿宋" w:eastAsia="仿宋" w:cs="仿宋"/>
                <w:szCs w:val="21"/>
              </w:rPr>
            </w:pPr>
          </w:p>
        </w:tc>
        <w:tc>
          <w:tcPr>
            <w:tcW w:w="1168" w:type="dxa"/>
            <w:noWrap w:val="0"/>
            <w:vAlign w:val="top"/>
          </w:tcPr>
          <w:p w14:paraId="299D72F0">
            <w:pPr>
              <w:spacing w:line="400" w:lineRule="atLeast"/>
              <w:rPr>
                <w:rFonts w:hint="eastAsia" w:ascii="仿宋" w:hAnsi="仿宋" w:eastAsia="仿宋" w:cs="仿宋"/>
                <w:szCs w:val="21"/>
              </w:rPr>
            </w:pPr>
          </w:p>
        </w:tc>
        <w:tc>
          <w:tcPr>
            <w:tcW w:w="1168" w:type="dxa"/>
            <w:noWrap w:val="0"/>
            <w:vAlign w:val="top"/>
          </w:tcPr>
          <w:p w14:paraId="745ABF5B">
            <w:pPr>
              <w:spacing w:line="400" w:lineRule="atLeast"/>
              <w:rPr>
                <w:rFonts w:hint="eastAsia" w:ascii="仿宋" w:hAnsi="仿宋" w:eastAsia="仿宋" w:cs="仿宋"/>
                <w:szCs w:val="21"/>
              </w:rPr>
            </w:pPr>
          </w:p>
        </w:tc>
      </w:tr>
      <w:tr w14:paraId="5D329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748" w:type="dxa"/>
            <w:noWrap w:val="0"/>
            <w:vAlign w:val="top"/>
          </w:tcPr>
          <w:p w14:paraId="34C3E981">
            <w:pPr>
              <w:spacing w:line="400" w:lineRule="atLeast"/>
              <w:rPr>
                <w:rFonts w:hint="eastAsia" w:ascii="仿宋" w:hAnsi="仿宋" w:eastAsia="仿宋" w:cs="仿宋"/>
                <w:szCs w:val="21"/>
              </w:rPr>
            </w:pPr>
          </w:p>
        </w:tc>
        <w:tc>
          <w:tcPr>
            <w:tcW w:w="1635" w:type="dxa"/>
            <w:noWrap w:val="0"/>
            <w:vAlign w:val="top"/>
          </w:tcPr>
          <w:p w14:paraId="5C766101">
            <w:pPr>
              <w:spacing w:line="400" w:lineRule="atLeast"/>
              <w:rPr>
                <w:rFonts w:hint="eastAsia" w:ascii="仿宋" w:hAnsi="仿宋" w:eastAsia="仿宋" w:cs="仿宋"/>
                <w:szCs w:val="21"/>
              </w:rPr>
            </w:pPr>
          </w:p>
        </w:tc>
        <w:tc>
          <w:tcPr>
            <w:tcW w:w="2510" w:type="dxa"/>
            <w:noWrap w:val="0"/>
            <w:vAlign w:val="top"/>
          </w:tcPr>
          <w:p w14:paraId="05366E0E">
            <w:pPr>
              <w:spacing w:line="400" w:lineRule="atLeast"/>
              <w:rPr>
                <w:rFonts w:hint="eastAsia" w:ascii="仿宋" w:hAnsi="仿宋" w:eastAsia="仿宋" w:cs="仿宋"/>
                <w:szCs w:val="21"/>
              </w:rPr>
            </w:pPr>
          </w:p>
        </w:tc>
        <w:tc>
          <w:tcPr>
            <w:tcW w:w="1985" w:type="dxa"/>
            <w:noWrap w:val="0"/>
            <w:vAlign w:val="top"/>
          </w:tcPr>
          <w:p w14:paraId="181C6C5B">
            <w:pPr>
              <w:spacing w:line="400" w:lineRule="atLeast"/>
              <w:rPr>
                <w:rFonts w:hint="eastAsia" w:ascii="仿宋" w:hAnsi="仿宋" w:eastAsia="仿宋" w:cs="仿宋"/>
                <w:szCs w:val="21"/>
              </w:rPr>
            </w:pPr>
          </w:p>
        </w:tc>
        <w:tc>
          <w:tcPr>
            <w:tcW w:w="1168" w:type="dxa"/>
            <w:noWrap w:val="0"/>
            <w:vAlign w:val="top"/>
          </w:tcPr>
          <w:p w14:paraId="78D28F50">
            <w:pPr>
              <w:spacing w:line="400" w:lineRule="atLeast"/>
              <w:rPr>
                <w:rFonts w:hint="eastAsia" w:ascii="仿宋" w:hAnsi="仿宋" w:eastAsia="仿宋" w:cs="仿宋"/>
                <w:szCs w:val="21"/>
              </w:rPr>
            </w:pPr>
          </w:p>
        </w:tc>
        <w:tc>
          <w:tcPr>
            <w:tcW w:w="1168" w:type="dxa"/>
            <w:noWrap w:val="0"/>
            <w:vAlign w:val="top"/>
          </w:tcPr>
          <w:p w14:paraId="6137DE6A">
            <w:pPr>
              <w:spacing w:line="400" w:lineRule="atLeast"/>
              <w:rPr>
                <w:rFonts w:hint="eastAsia" w:ascii="仿宋" w:hAnsi="仿宋" w:eastAsia="仿宋" w:cs="仿宋"/>
                <w:szCs w:val="21"/>
              </w:rPr>
            </w:pPr>
          </w:p>
        </w:tc>
        <w:tc>
          <w:tcPr>
            <w:tcW w:w="1168" w:type="dxa"/>
            <w:noWrap w:val="0"/>
            <w:vAlign w:val="top"/>
          </w:tcPr>
          <w:p w14:paraId="205AF2A8">
            <w:pPr>
              <w:spacing w:line="400" w:lineRule="atLeast"/>
              <w:rPr>
                <w:rFonts w:hint="eastAsia" w:ascii="仿宋" w:hAnsi="仿宋" w:eastAsia="仿宋" w:cs="仿宋"/>
                <w:szCs w:val="21"/>
              </w:rPr>
            </w:pPr>
          </w:p>
        </w:tc>
      </w:tr>
      <w:tr w14:paraId="62648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748" w:type="dxa"/>
            <w:noWrap w:val="0"/>
            <w:vAlign w:val="top"/>
          </w:tcPr>
          <w:p w14:paraId="72D568FC">
            <w:pPr>
              <w:spacing w:line="400" w:lineRule="atLeast"/>
              <w:rPr>
                <w:rFonts w:hint="eastAsia" w:ascii="仿宋" w:hAnsi="仿宋" w:eastAsia="仿宋" w:cs="仿宋"/>
                <w:szCs w:val="21"/>
              </w:rPr>
            </w:pPr>
          </w:p>
        </w:tc>
        <w:tc>
          <w:tcPr>
            <w:tcW w:w="1635" w:type="dxa"/>
            <w:noWrap w:val="0"/>
            <w:vAlign w:val="top"/>
          </w:tcPr>
          <w:p w14:paraId="7C78A639">
            <w:pPr>
              <w:spacing w:line="400" w:lineRule="atLeast"/>
              <w:rPr>
                <w:rFonts w:hint="eastAsia" w:ascii="仿宋" w:hAnsi="仿宋" w:eastAsia="仿宋" w:cs="仿宋"/>
                <w:szCs w:val="21"/>
              </w:rPr>
            </w:pPr>
          </w:p>
        </w:tc>
        <w:tc>
          <w:tcPr>
            <w:tcW w:w="2510" w:type="dxa"/>
            <w:noWrap w:val="0"/>
            <w:vAlign w:val="top"/>
          </w:tcPr>
          <w:p w14:paraId="58663AB5">
            <w:pPr>
              <w:spacing w:line="400" w:lineRule="atLeast"/>
              <w:rPr>
                <w:rFonts w:hint="eastAsia" w:ascii="仿宋" w:hAnsi="仿宋" w:eastAsia="仿宋" w:cs="仿宋"/>
                <w:szCs w:val="21"/>
              </w:rPr>
            </w:pPr>
          </w:p>
        </w:tc>
        <w:tc>
          <w:tcPr>
            <w:tcW w:w="1985" w:type="dxa"/>
            <w:noWrap w:val="0"/>
            <w:vAlign w:val="top"/>
          </w:tcPr>
          <w:p w14:paraId="17BDB637">
            <w:pPr>
              <w:spacing w:line="400" w:lineRule="atLeast"/>
              <w:rPr>
                <w:rFonts w:hint="eastAsia" w:ascii="仿宋" w:hAnsi="仿宋" w:eastAsia="仿宋" w:cs="仿宋"/>
                <w:szCs w:val="21"/>
              </w:rPr>
            </w:pPr>
          </w:p>
        </w:tc>
        <w:tc>
          <w:tcPr>
            <w:tcW w:w="1168" w:type="dxa"/>
            <w:noWrap w:val="0"/>
            <w:vAlign w:val="top"/>
          </w:tcPr>
          <w:p w14:paraId="68FFC2FD">
            <w:pPr>
              <w:spacing w:line="400" w:lineRule="atLeast"/>
              <w:rPr>
                <w:rFonts w:hint="eastAsia" w:ascii="仿宋" w:hAnsi="仿宋" w:eastAsia="仿宋" w:cs="仿宋"/>
                <w:szCs w:val="21"/>
              </w:rPr>
            </w:pPr>
          </w:p>
        </w:tc>
        <w:tc>
          <w:tcPr>
            <w:tcW w:w="1168" w:type="dxa"/>
            <w:noWrap w:val="0"/>
            <w:vAlign w:val="top"/>
          </w:tcPr>
          <w:p w14:paraId="5FC2663D">
            <w:pPr>
              <w:spacing w:line="400" w:lineRule="atLeast"/>
              <w:rPr>
                <w:rFonts w:hint="eastAsia" w:ascii="仿宋" w:hAnsi="仿宋" w:eastAsia="仿宋" w:cs="仿宋"/>
                <w:szCs w:val="21"/>
              </w:rPr>
            </w:pPr>
          </w:p>
        </w:tc>
        <w:tc>
          <w:tcPr>
            <w:tcW w:w="1168" w:type="dxa"/>
            <w:noWrap w:val="0"/>
            <w:vAlign w:val="top"/>
          </w:tcPr>
          <w:p w14:paraId="007FB2CD">
            <w:pPr>
              <w:spacing w:line="400" w:lineRule="atLeast"/>
              <w:rPr>
                <w:rFonts w:hint="eastAsia" w:ascii="仿宋" w:hAnsi="仿宋" w:eastAsia="仿宋" w:cs="仿宋"/>
                <w:szCs w:val="21"/>
              </w:rPr>
            </w:pPr>
          </w:p>
        </w:tc>
      </w:tr>
      <w:tr w14:paraId="11EDD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748" w:type="dxa"/>
            <w:noWrap w:val="0"/>
            <w:vAlign w:val="top"/>
          </w:tcPr>
          <w:p w14:paraId="68503D47">
            <w:pPr>
              <w:spacing w:line="400" w:lineRule="atLeast"/>
              <w:rPr>
                <w:rFonts w:hint="eastAsia" w:ascii="仿宋" w:hAnsi="仿宋" w:eastAsia="仿宋" w:cs="仿宋"/>
                <w:szCs w:val="21"/>
              </w:rPr>
            </w:pPr>
          </w:p>
        </w:tc>
        <w:tc>
          <w:tcPr>
            <w:tcW w:w="1635" w:type="dxa"/>
            <w:noWrap w:val="0"/>
            <w:vAlign w:val="top"/>
          </w:tcPr>
          <w:p w14:paraId="6C91A5F4">
            <w:pPr>
              <w:spacing w:line="400" w:lineRule="atLeast"/>
              <w:rPr>
                <w:rFonts w:hint="eastAsia" w:ascii="仿宋" w:hAnsi="仿宋" w:eastAsia="仿宋" w:cs="仿宋"/>
                <w:szCs w:val="21"/>
              </w:rPr>
            </w:pPr>
          </w:p>
        </w:tc>
        <w:tc>
          <w:tcPr>
            <w:tcW w:w="2510" w:type="dxa"/>
            <w:noWrap w:val="0"/>
            <w:vAlign w:val="top"/>
          </w:tcPr>
          <w:p w14:paraId="734E0BAA">
            <w:pPr>
              <w:spacing w:line="400" w:lineRule="atLeast"/>
              <w:rPr>
                <w:rFonts w:hint="eastAsia" w:ascii="仿宋" w:hAnsi="仿宋" w:eastAsia="仿宋" w:cs="仿宋"/>
                <w:szCs w:val="21"/>
              </w:rPr>
            </w:pPr>
          </w:p>
        </w:tc>
        <w:tc>
          <w:tcPr>
            <w:tcW w:w="1985" w:type="dxa"/>
            <w:noWrap w:val="0"/>
            <w:vAlign w:val="top"/>
          </w:tcPr>
          <w:p w14:paraId="7021DA1C">
            <w:pPr>
              <w:spacing w:line="400" w:lineRule="atLeast"/>
              <w:rPr>
                <w:rFonts w:hint="eastAsia" w:ascii="仿宋" w:hAnsi="仿宋" w:eastAsia="仿宋" w:cs="仿宋"/>
                <w:szCs w:val="21"/>
              </w:rPr>
            </w:pPr>
          </w:p>
        </w:tc>
        <w:tc>
          <w:tcPr>
            <w:tcW w:w="1168" w:type="dxa"/>
            <w:noWrap w:val="0"/>
            <w:vAlign w:val="top"/>
          </w:tcPr>
          <w:p w14:paraId="4F983F31">
            <w:pPr>
              <w:spacing w:line="400" w:lineRule="atLeast"/>
              <w:rPr>
                <w:rFonts w:hint="eastAsia" w:ascii="仿宋" w:hAnsi="仿宋" w:eastAsia="仿宋" w:cs="仿宋"/>
                <w:szCs w:val="21"/>
              </w:rPr>
            </w:pPr>
          </w:p>
        </w:tc>
        <w:tc>
          <w:tcPr>
            <w:tcW w:w="1168" w:type="dxa"/>
            <w:noWrap w:val="0"/>
            <w:vAlign w:val="top"/>
          </w:tcPr>
          <w:p w14:paraId="46FCC74E">
            <w:pPr>
              <w:spacing w:line="400" w:lineRule="atLeast"/>
              <w:rPr>
                <w:rFonts w:hint="eastAsia" w:ascii="仿宋" w:hAnsi="仿宋" w:eastAsia="仿宋" w:cs="仿宋"/>
                <w:szCs w:val="21"/>
              </w:rPr>
            </w:pPr>
          </w:p>
        </w:tc>
        <w:tc>
          <w:tcPr>
            <w:tcW w:w="1168" w:type="dxa"/>
            <w:noWrap w:val="0"/>
            <w:vAlign w:val="top"/>
          </w:tcPr>
          <w:p w14:paraId="5E5792BF">
            <w:pPr>
              <w:spacing w:line="400" w:lineRule="atLeast"/>
              <w:rPr>
                <w:rFonts w:hint="eastAsia" w:ascii="仿宋" w:hAnsi="仿宋" w:eastAsia="仿宋" w:cs="仿宋"/>
                <w:szCs w:val="21"/>
              </w:rPr>
            </w:pPr>
          </w:p>
        </w:tc>
      </w:tr>
      <w:tr w14:paraId="55187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748" w:type="dxa"/>
            <w:noWrap w:val="0"/>
            <w:vAlign w:val="top"/>
          </w:tcPr>
          <w:p w14:paraId="4EADC1D5">
            <w:pPr>
              <w:spacing w:line="400" w:lineRule="atLeast"/>
              <w:rPr>
                <w:rFonts w:hint="eastAsia" w:ascii="仿宋" w:hAnsi="仿宋" w:eastAsia="仿宋" w:cs="仿宋"/>
                <w:szCs w:val="21"/>
              </w:rPr>
            </w:pPr>
          </w:p>
        </w:tc>
        <w:tc>
          <w:tcPr>
            <w:tcW w:w="1635" w:type="dxa"/>
            <w:noWrap w:val="0"/>
            <w:vAlign w:val="top"/>
          </w:tcPr>
          <w:p w14:paraId="3F04D9FF">
            <w:pPr>
              <w:spacing w:line="400" w:lineRule="atLeast"/>
              <w:rPr>
                <w:rFonts w:hint="eastAsia" w:ascii="仿宋" w:hAnsi="仿宋" w:eastAsia="仿宋" w:cs="仿宋"/>
                <w:szCs w:val="21"/>
              </w:rPr>
            </w:pPr>
          </w:p>
        </w:tc>
        <w:tc>
          <w:tcPr>
            <w:tcW w:w="2510" w:type="dxa"/>
            <w:noWrap w:val="0"/>
            <w:vAlign w:val="top"/>
          </w:tcPr>
          <w:p w14:paraId="30E1A31E">
            <w:pPr>
              <w:spacing w:line="400" w:lineRule="atLeast"/>
              <w:rPr>
                <w:rFonts w:hint="eastAsia" w:ascii="仿宋" w:hAnsi="仿宋" w:eastAsia="仿宋" w:cs="仿宋"/>
                <w:szCs w:val="21"/>
              </w:rPr>
            </w:pPr>
          </w:p>
        </w:tc>
        <w:tc>
          <w:tcPr>
            <w:tcW w:w="1985" w:type="dxa"/>
            <w:noWrap w:val="0"/>
            <w:vAlign w:val="top"/>
          </w:tcPr>
          <w:p w14:paraId="5D9644BD">
            <w:pPr>
              <w:spacing w:line="400" w:lineRule="atLeast"/>
              <w:rPr>
                <w:rFonts w:hint="eastAsia" w:ascii="仿宋" w:hAnsi="仿宋" w:eastAsia="仿宋" w:cs="仿宋"/>
                <w:szCs w:val="21"/>
              </w:rPr>
            </w:pPr>
          </w:p>
        </w:tc>
        <w:tc>
          <w:tcPr>
            <w:tcW w:w="1168" w:type="dxa"/>
            <w:noWrap w:val="0"/>
            <w:vAlign w:val="top"/>
          </w:tcPr>
          <w:p w14:paraId="6990E82A">
            <w:pPr>
              <w:spacing w:line="400" w:lineRule="atLeast"/>
              <w:rPr>
                <w:rFonts w:hint="eastAsia" w:ascii="仿宋" w:hAnsi="仿宋" w:eastAsia="仿宋" w:cs="仿宋"/>
                <w:szCs w:val="21"/>
              </w:rPr>
            </w:pPr>
          </w:p>
        </w:tc>
        <w:tc>
          <w:tcPr>
            <w:tcW w:w="1168" w:type="dxa"/>
            <w:noWrap w:val="0"/>
            <w:vAlign w:val="top"/>
          </w:tcPr>
          <w:p w14:paraId="46212CBA">
            <w:pPr>
              <w:spacing w:line="400" w:lineRule="atLeast"/>
              <w:rPr>
                <w:rFonts w:hint="eastAsia" w:ascii="仿宋" w:hAnsi="仿宋" w:eastAsia="仿宋" w:cs="仿宋"/>
                <w:szCs w:val="21"/>
              </w:rPr>
            </w:pPr>
          </w:p>
        </w:tc>
        <w:tc>
          <w:tcPr>
            <w:tcW w:w="1168" w:type="dxa"/>
            <w:noWrap w:val="0"/>
            <w:vAlign w:val="top"/>
          </w:tcPr>
          <w:p w14:paraId="54ECFE52">
            <w:pPr>
              <w:spacing w:line="400" w:lineRule="atLeast"/>
              <w:rPr>
                <w:rFonts w:hint="eastAsia" w:ascii="仿宋" w:hAnsi="仿宋" w:eastAsia="仿宋" w:cs="仿宋"/>
                <w:szCs w:val="21"/>
              </w:rPr>
            </w:pPr>
          </w:p>
        </w:tc>
      </w:tr>
      <w:tr w14:paraId="61985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00" w:hRule="atLeast"/>
          <w:jc w:val="center"/>
        </w:trPr>
        <w:tc>
          <w:tcPr>
            <w:tcW w:w="748" w:type="dxa"/>
            <w:noWrap w:val="0"/>
            <w:vAlign w:val="top"/>
          </w:tcPr>
          <w:p w14:paraId="1AAD6889">
            <w:pPr>
              <w:spacing w:line="400" w:lineRule="atLeast"/>
              <w:rPr>
                <w:rFonts w:hint="eastAsia" w:ascii="仿宋" w:hAnsi="仿宋" w:eastAsia="仿宋" w:cs="仿宋"/>
                <w:szCs w:val="21"/>
              </w:rPr>
            </w:pPr>
          </w:p>
        </w:tc>
        <w:tc>
          <w:tcPr>
            <w:tcW w:w="1635" w:type="dxa"/>
            <w:noWrap w:val="0"/>
            <w:vAlign w:val="top"/>
          </w:tcPr>
          <w:p w14:paraId="0FA89155">
            <w:pPr>
              <w:spacing w:line="400" w:lineRule="atLeast"/>
              <w:rPr>
                <w:rFonts w:hint="eastAsia" w:ascii="仿宋" w:hAnsi="仿宋" w:eastAsia="仿宋" w:cs="仿宋"/>
                <w:szCs w:val="21"/>
              </w:rPr>
            </w:pPr>
          </w:p>
        </w:tc>
        <w:tc>
          <w:tcPr>
            <w:tcW w:w="2510" w:type="dxa"/>
            <w:noWrap w:val="0"/>
            <w:vAlign w:val="top"/>
          </w:tcPr>
          <w:p w14:paraId="03285600">
            <w:pPr>
              <w:spacing w:line="400" w:lineRule="atLeast"/>
              <w:rPr>
                <w:rFonts w:hint="eastAsia" w:ascii="仿宋" w:hAnsi="仿宋" w:eastAsia="仿宋" w:cs="仿宋"/>
                <w:szCs w:val="21"/>
              </w:rPr>
            </w:pPr>
          </w:p>
        </w:tc>
        <w:tc>
          <w:tcPr>
            <w:tcW w:w="1985" w:type="dxa"/>
            <w:noWrap w:val="0"/>
            <w:vAlign w:val="top"/>
          </w:tcPr>
          <w:p w14:paraId="38F7AC01">
            <w:pPr>
              <w:spacing w:line="400" w:lineRule="atLeast"/>
              <w:rPr>
                <w:rFonts w:hint="eastAsia" w:ascii="仿宋" w:hAnsi="仿宋" w:eastAsia="仿宋" w:cs="仿宋"/>
                <w:szCs w:val="21"/>
              </w:rPr>
            </w:pPr>
          </w:p>
        </w:tc>
        <w:tc>
          <w:tcPr>
            <w:tcW w:w="1168" w:type="dxa"/>
            <w:noWrap w:val="0"/>
            <w:vAlign w:val="top"/>
          </w:tcPr>
          <w:p w14:paraId="74F928D4">
            <w:pPr>
              <w:spacing w:line="400" w:lineRule="atLeast"/>
              <w:rPr>
                <w:rFonts w:hint="eastAsia" w:ascii="仿宋" w:hAnsi="仿宋" w:eastAsia="仿宋" w:cs="仿宋"/>
                <w:szCs w:val="21"/>
              </w:rPr>
            </w:pPr>
          </w:p>
        </w:tc>
        <w:tc>
          <w:tcPr>
            <w:tcW w:w="1168" w:type="dxa"/>
            <w:noWrap w:val="0"/>
            <w:vAlign w:val="top"/>
          </w:tcPr>
          <w:p w14:paraId="7A6911A3">
            <w:pPr>
              <w:spacing w:line="400" w:lineRule="atLeast"/>
              <w:rPr>
                <w:rFonts w:hint="eastAsia" w:ascii="仿宋" w:hAnsi="仿宋" w:eastAsia="仿宋" w:cs="仿宋"/>
                <w:szCs w:val="21"/>
              </w:rPr>
            </w:pPr>
          </w:p>
        </w:tc>
        <w:tc>
          <w:tcPr>
            <w:tcW w:w="1168" w:type="dxa"/>
            <w:noWrap w:val="0"/>
            <w:vAlign w:val="top"/>
          </w:tcPr>
          <w:p w14:paraId="1A3C08DA">
            <w:pPr>
              <w:spacing w:line="400" w:lineRule="atLeast"/>
              <w:rPr>
                <w:rFonts w:hint="eastAsia" w:ascii="仿宋" w:hAnsi="仿宋" w:eastAsia="仿宋" w:cs="仿宋"/>
                <w:szCs w:val="21"/>
              </w:rPr>
            </w:pPr>
          </w:p>
        </w:tc>
      </w:tr>
    </w:tbl>
    <w:p w14:paraId="205B1523">
      <w:pPr>
        <w:pStyle w:val="7"/>
        <w:rPr>
          <w:rFonts w:hint="eastAsia" w:ascii="仿宋" w:hAnsi="仿宋" w:eastAsia="仿宋" w:cs="仿宋"/>
          <w:lang w:val="en-US" w:eastAsia="zh-CN"/>
        </w:rPr>
      </w:pPr>
    </w:p>
    <w:p w14:paraId="53D72611">
      <w:pPr>
        <w:spacing w:before="60" w:after="60" w:line="480" w:lineRule="auto"/>
        <w:rPr>
          <w:rFonts w:hint="eastAsia" w:ascii="仿宋" w:hAnsi="仿宋" w:eastAsia="仿宋" w:cs="仿宋"/>
          <w:szCs w:val="21"/>
        </w:rPr>
      </w:pPr>
      <w:r>
        <w:rPr>
          <w:rFonts w:hint="eastAsia" w:ascii="仿宋" w:hAnsi="仿宋" w:eastAsia="仿宋" w:cs="仿宋"/>
          <w:szCs w:val="21"/>
        </w:rPr>
        <w:t>投标人全称(加盖电子公章)：</w:t>
      </w:r>
      <w:r>
        <w:rPr>
          <w:rFonts w:hint="eastAsia" w:ascii="仿宋" w:hAnsi="仿宋" w:eastAsia="仿宋" w:cs="仿宋"/>
          <w:szCs w:val="21"/>
          <w:u w:val="single"/>
        </w:rPr>
        <w:t xml:space="preserve">                                 </w:t>
      </w:r>
    </w:p>
    <w:p w14:paraId="14977BBE">
      <w:pPr>
        <w:spacing w:before="60" w:after="60" w:line="480" w:lineRule="auto"/>
        <w:rPr>
          <w:rFonts w:hint="eastAsia" w:ascii="仿宋" w:hAnsi="仿宋" w:eastAsia="仿宋" w:cs="仿宋"/>
          <w:szCs w:val="21"/>
          <w:u w:val="single"/>
        </w:rPr>
      </w:pPr>
      <w:r>
        <w:rPr>
          <w:rFonts w:hint="eastAsia" w:ascii="仿宋" w:hAnsi="仿宋" w:eastAsia="仿宋" w:cs="仿宋"/>
          <w:szCs w:val="21"/>
        </w:rPr>
        <w:t>法定代表人或委托代理人（电子签名）：</w:t>
      </w:r>
      <w:r>
        <w:rPr>
          <w:rFonts w:hint="eastAsia" w:ascii="仿宋" w:hAnsi="仿宋" w:eastAsia="仿宋" w:cs="仿宋"/>
          <w:szCs w:val="21"/>
          <w:u w:val="single"/>
        </w:rPr>
        <w:t xml:space="preserve">                        </w:t>
      </w:r>
    </w:p>
    <w:p w14:paraId="52525A24">
      <w:pPr>
        <w:spacing w:before="60" w:after="60" w:line="480" w:lineRule="auto"/>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______</w:t>
      </w:r>
      <w:r>
        <w:rPr>
          <w:rFonts w:hint="eastAsia" w:ascii="仿宋" w:hAnsi="仿宋" w:eastAsia="仿宋" w:cs="仿宋"/>
          <w:szCs w:val="21"/>
        </w:rPr>
        <w:t>年</w:t>
      </w:r>
      <w:r>
        <w:rPr>
          <w:rFonts w:hint="eastAsia" w:ascii="仿宋" w:hAnsi="仿宋" w:eastAsia="仿宋" w:cs="仿宋"/>
          <w:szCs w:val="21"/>
          <w:u w:val="single"/>
        </w:rPr>
        <w:t>_____</w:t>
      </w:r>
      <w:r>
        <w:rPr>
          <w:rFonts w:hint="eastAsia" w:ascii="仿宋" w:hAnsi="仿宋" w:eastAsia="仿宋" w:cs="仿宋"/>
          <w:szCs w:val="21"/>
        </w:rPr>
        <w:t>月</w:t>
      </w:r>
      <w:r>
        <w:rPr>
          <w:rFonts w:hint="eastAsia" w:ascii="仿宋" w:hAnsi="仿宋" w:eastAsia="仿宋" w:cs="仿宋"/>
          <w:szCs w:val="21"/>
          <w:u w:val="single"/>
        </w:rPr>
        <w:t>_____</w:t>
      </w:r>
      <w:r>
        <w:rPr>
          <w:rFonts w:hint="eastAsia" w:ascii="仿宋" w:hAnsi="仿宋" w:eastAsia="仿宋" w:cs="仿宋"/>
          <w:szCs w:val="21"/>
        </w:rPr>
        <w:t>日</w:t>
      </w:r>
    </w:p>
    <w:p w14:paraId="4AE3D089">
      <w:pPr>
        <w:spacing w:line="360" w:lineRule="auto"/>
        <w:rPr>
          <w:rFonts w:hint="eastAsia" w:ascii="仿宋" w:hAnsi="仿宋" w:eastAsia="仿宋" w:cs="仿宋"/>
          <w:szCs w:val="21"/>
        </w:rPr>
      </w:pPr>
    </w:p>
    <w:p w14:paraId="2BF770D8">
      <w:pPr>
        <w:spacing w:line="276" w:lineRule="auto"/>
        <w:rPr>
          <w:rFonts w:hint="eastAsia" w:ascii="仿宋" w:hAnsi="仿宋" w:eastAsia="仿宋" w:cs="仿宋"/>
          <w:szCs w:val="21"/>
        </w:rPr>
      </w:pPr>
      <w:r>
        <w:rPr>
          <w:rFonts w:hint="eastAsia" w:ascii="仿宋" w:hAnsi="仿宋" w:eastAsia="仿宋" w:cs="仿宋"/>
          <w:szCs w:val="21"/>
        </w:rPr>
        <w:t>注：</w:t>
      </w:r>
    </w:p>
    <w:p w14:paraId="037131AE">
      <w:pPr>
        <w:spacing w:line="276" w:lineRule="auto"/>
        <w:rPr>
          <w:rFonts w:hint="eastAsia" w:ascii="仿宋" w:hAnsi="仿宋" w:eastAsia="仿宋" w:cs="仿宋"/>
          <w:szCs w:val="21"/>
        </w:rPr>
      </w:pPr>
      <w:r>
        <w:rPr>
          <w:rFonts w:hint="eastAsia" w:ascii="仿宋" w:hAnsi="仿宋" w:eastAsia="仿宋" w:cs="仿宋"/>
          <w:szCs w:val="21"/>
        </w:rPr>
        <w:t>1.如果不提供技术规格偏离表将视为非实质性响应招标文件。</w:t>
      </w:r>
    </w:p>
    <w:p w14:paraId="33CEFEB2">
      <w:pPr>
        <w:spacing w:line="276" w:lineRule="auto"/>
        <w:rPr>
          <w:rFonts w:hint="eastAsia" w:ascii="仿宋" w:hAnsi="仿宋" w:eastAsia="仿宋" w:cs="仿宋"/>
          <w:szCs w:val="21"/>
        </w:rPr>
      </w:pPr>
      <w:r>
        <w:rPr>
          <w:rFonts w:hint="eastAsia" w:ascii="仿宋" w:hAnsi="仿宋" w:eastAsia="仿宋" w:cs="仿宋"/>
          <w:szCs w:val="21"/>
        </w:rPr>
        <w:t>2.投标人应对照招标文件技术规格，逐条说明所提供货物和服务已对招标文件的技术规格做出了响应，并申明与技术规格条文的偏差和例外。特别对有具体参数要求的指标，投标人必须提供所投货物的具体参数值。</w:t>
      </w:r>
    </w:p>
    <w:p w14:paraId="34883DE9">
      <w:pPr>
        <w:spacing w:line="276" w:lineRule="auto"/>
        <w:rPr>
          <w:rFonts w:hint="eastAsia" w:ascii="仿宋" w:hAnsi="仿宋" w:eastAsia="仿宋" w:cs="仿宋"/>
          <w:szCs w:val="21"/>
        </w:rPr>
      </w:pPr>
      <w:r>
        <w:rPr>
          <w:rFonts w:hint="eastAsia" w:ascii="仿宋" w:hAnsi="仿宋" w:eastAsia="仿宋" w:cs="仿宋"/>
          <w:szCs w:val="21"/>
        </w:rPr>
        <w:t>3.投标人应如实填写本表，不得复制招标文件的参数填写。</w:t>
      </w:r>
    </w:p>
    <w:p w14:paraId="162107E6">
      <w:pPr>
        <w:spacing w:line="276" w:lineRule="auto"/>
        <w:rPr>
          <w:rFonts w:hint="default" w:ascii="仿宋" w:hAnsi="仿宋" w:eastAsia="仿宋" w:cs="仿宋"/>
          <w:szCs w:val="21"/>
          <w:lang w:val="en-US" w:eastAsia="zh-CN"/>
        </w:rPr>
      </w:pPr>
      <w:r>
        <w:rPr>
          <w:rFonts w:hint="eastAsia" w:ascii="仿宋" w:hAnsi="仿宋" w:eastAsia="仿宋" w:cs="仿宋"/>
          <w:szCs w:val="21"/>
          <w:lang w:val="en-US" w:eastAsia="zh-CN"/>
        </w:rPr>
        <w:t>4.本表可扩展。</w:t>
      </w:r>
    </w:p>
    <w:p w14:paraId="1A2D5280">
      <w:pPr>
        <w:rPr>
          <w:rFonts w:hint="eastAsia" w:ascii="仿宋" w:hAnsi="仿宋" w:eastAsia="仿宋" w:cs="仿宋"/>
          <w:b/>
          <w:i w:val="0"/>
          <w:kern w:val="0"/>
          <w:sz w:val="24"/>
          <w:szCs w:val="20"/>
          <w:lang w:val="en-US" w:eastAsia="zh-CN" w:bidi="ar-SA"/>
        </w:rPr>
      </w:pPr>
      <w:bookmarkStart w:id="165" w:name="_Toc457090336"/>
      <w:bookmarkStart w:id="166" w:name="_Toc509593412"/>
      <w:bookmarkStart w:id="167" w:name="_Toc111813259"/>
      <w:bookmarkStart w:id="168" w:name="_Toc166764629"/>
      <w:bookmarkStart w:id="169" w:name="_Toc10117053"/>
      <w:r>
        <w:rPr>
          <w:rFonts w:hint="eastAsia" w:ascii="仿宋" w:hAnsi="仿宋" w:eastAsia="仿宋" w:cs="仿宋"/>
          <w:b/>
          <w:i w:val="0"/>
          <w:kern w:val="0"/>
          <w:sz w:val="24"/>
          <w:szCs w:val="20"/>
          <w:lang w:val="en-US" w:eastAsia="zh-CN" w:bidi="ar-SA"/>
        </w:rPr>
        <w:br w:type="page"/>
      </w:r>
    </w:p>
    <w:p w14:paraId="492BA926">
      <w:pPr>
        <w:pStyle w:val="5"/>
        <w:numPr>
          <w:ilvl w:val="2"/>
          <w:numId w:val="0"/>
        </w:numPr>
        <w:tabs>
          <w:tab w:val="clear" w:pos="900"/>
        </w:tabs>
        <w:spacing w:before="0" w:after="0" w:line="360" w:lineRule="auto"/>
        <w:jc w:val="center"/>
        <w:rPr>
          <w:rFonts w:hint="eastAsia" w:ascii="仿宋" w:hAnsi="仿宋" w:eastAsia="仿宋" w:cs="仿宋"/>
        </w:rPr>
      </w:pPr>
      <w:r>
        <w:rPr>
          <w:rFonts w:hint="eastAsia" w:ascii="仿宋" w:hAnsi="仿宋" w:eastAsia="仿宋" w:cs="仿宋"/>
        </w:rPr>
        <w:t>（二）产品质量承诺及保证措施</w:t>
      </w:r>
      <w:bookmarkEnd w:id="165"/>
      <w:bookmarkEnd w:id="166"/>
      <w:bookmarkEnd w:id="167"/>
      <w:bookmarkEnd w:id="168"/>
      <w:bookmarkEnd w:id="169"/>
      <w:bookmarkStart w:id="170" w:name="_Toc321497545"/>
      <w:bookmarkStart w:id="171" w:name="_Toc4889"/>
    </w:p>
    <w:p w14:paraId="07D57B44">
      <w:pPr>
        <w:spacing w:line="360" w:lineRule="auto"/>
        <w:jc w:val="center"/>
        <w:rPr>
          <w:rFonts w:hint="eastAsia" w:ascii="仿宋" w:hAnsi="仿宋" w:eastAsia="仿宋" w:cs="仿宋"/>
          <w:szCs w:val="21"/>
        </w:rPr>
      </w:pPr>
      <w:r>
        <w:rPr>
          <w:rFonts w:hint="eastAsia" w:ascii="仿宋" w:hAnsi="仿宋" w:eastAsia="仿宋" w:cs="仿宋"/>
          <w:szCs w:val="21"/>
        </w:rPr>
        <w:t>投标人自行编写。</w:t>
      </w:r>
      <w:bookmarkEnd w:id="170"/>
      <w:bookmarkEnd w:id="171"/>
    </w:p>
    <w:p w14:paraId="41D2DCEC">
      <w:pPr>
        <w:spacing w:line="360" w:lineRule="auto"/>
        <w:jc w:val="center"/>
        <w:rPr>
          <w:rFonts w:hint="eastAsia" w:ascii="仿宋" w:hAnsi="仿宋" w:eastAsia="仿宋" w:cs="仿宋"/>
          <w:szCs w:val="21"/>
        </w:rPr>
      </w:pPr>
    </w:p>
    <w:p w14:paraId="715FEE70">
      <w:pPr>
        <w:pStyle w:val="5"/>
        <w:numPr>
          <w:ilvl w:val="2"/>
          <w:numId w:val="0"/>
        </w:numPr>
        <w:tabs>
          <w:tab w:val="clear" w:pos="900"/>
        </w:tabs>
        <w:spacing w:before="0" w:after="0" w:line="360" w:lineRule="auto"/>
        <w:jc w:val="center"/>
        <w:rPr>
          <w:rFonts w:hint="eastAsia" w:ascii="仿宋" w:hAnsi="仿宋" w:eastAsia="仿宋" w:cs="仿宋"/>
        </w:rPr>
      </w:pPr>
      <w:bookmarkStart w:id="172" w:name="_Toc111813262"/>
      <w:bookmarkStart w:id="173" w:name="_Toc17548"/>
      <w:bookmarkStart w:id="174" w:name="_Toc2047"/>
      <w:bookmarkStart w:id="175" w:name="_Toc32653"/>
      <w:bookmarkStart w:id="176" w:name="_Toc457090340"/>
      <w:bookmarkStart w:id="177" w:name="_Toc509593416"/>
      <w:bookmarkStart w:id="178" w:name="_Toc166764630"/>
      <w:bookmarkStart w:id="179" w:name="_Toc10117056"/>
      <w:bookmarkStart w:id="180" w:name="_Toc30475"/>
      <w:r>
        <w:rPr>
          <w:rFonts w:hint="eastAsia" w:ascii="仿宋" w:hAnsi="仿宋" w:eastAsia="仿宋" w:cs="仿宋"/>
        </w:rPr>
        <w:t>（三）投标人认为有必要提供的其他资料</w:t>
      </w:r>
      <w:bookmarkEnd w:id="123"/>
      <w:bookmarkEnd w:id="124"/>
      <w:bookmarkEnd w:id="125"/>
      <w:bookmarkEnd w:id="172"/>
      <w:bookmarkEnd w:id="173"/>
      <w:bookmarkEnd w:id="174"/>
      <w:bookmarkEnd w:id="175"/>
      <w:bookmarkEnd w:id="176"/>
      <w:bookmarkEnd w:id="177"/>
      <w:bookmarkEnd w:id="178"/>
      <w:bookmarkEnd w:id="179"/>
      <w:bookmarkEnd w:id="180"/>
    </w:p>
    <w:p w14:paraId="7860E345">
      <w:pPr>
        <w:ind w:firstLine="315" w:firstLineChars="150"/>
        <w:jc w:val="center"/>
        <w:rPr>
          <w:rFonts w:hint="eastAsia" w:ascii="仿宋" w:hAnsi="仿宋" w:eastAsia="仿宋" w:cs="仿宋"/>
          <w:szCs w:val="21"/>
        </w:rPr>
      </w:pPr>
      <w:r>
        <w:rPr>
          <w:rFonts w:hint="eastAsia" w:ascii="仿宋" w:hAnsi="仿宋" w:eastAsia="仿宋" w:cs="仿宋"/>
          <w:szCs w:val="21"/>
        </w:rPr>
        <w:t>投标人自行编写。</w:t>
      </w:r>
    </w:p>
    <w:p w14:paraId="59AC3157">
      <w:pPr>
        <w:rPr>
          <w:rFonts w:hint="eastAsia" w:ascii="仿宋" w:hAnsi="仿宋" w:eastAsia="仿宋" w:cs="仿宋"/>
          <w:b/>
          <w:color w:val="auto"/>
          <w:sz w:val="32"/>
          <w:szCs w:val="32"/>
        </w:rPr>
      </w:pPr>
    </w:p>
    <w:p w14:paraId="17754242">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3F52233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lang w:eastAsia="zh-CN"/>
        </w:rPr>
      </w:pPr>
      <w:bookmarkStart w:id="181" w:name="_Toc31552"/>
      <w:r>
        <w:rPr>
          <w:rFonts w:hint="eastAsia" w:ascii="仿宋" w:hAnsi="仿宋" w:eastAsia="仿宋" w:cs="仿宋"/>
          <w:b/>
          <w:color w:val="auto"/>
          <w:sz w:val="32"/>
          <w:szCs w:val="32"/>
        </w:rPr>
        <w:t xml:space="preserve">第五章  </w:t>
      </w:r>
      <w:bookmarkEnd w:id="53"/>
      <w:r>
        <w:rPr>
          <w:rFonts w:hint="eastAsia" w:ascii="仿宋" w:hAnsi="仿宋" w:eastAsia="仿宋" w:cs="仿宋"/>
          <w:b/>
          <w:color w:val="auto"/>
          <w:sz w:val="32"/>
          <w:szCs w:val="32"/>
          <w:lang w:eastAsia="zh-CN"/>
        </w:rPr>
        <w:t>采购需求及服务要求</w:t>
      </w:r>
      <w:bookmarkEnd w:id="181"/>
    </w:p>
    <w:p w14:paraId="704ED9B3">
      <w:pPr>
        <w:spacing w:line="360" w:lineRule="auto"/>
        <w:jc w:val="center"/>
        <w:outlineLvl w:val="1"/>
        <w:rPr>
          <w:rFonts w:hint="eastAsia" w:ascii="仿宋" w:hAnsi="仿宋" w:eastAsia="仿宋" w:cs="仿宋"/>
          <w:b/>
          <w:color w:val="auto"/>
          <w:sz w:val="32"/>
          <w:szCs w:val="32"/>
          <w:lang w:eastAsia="zh-CN"/>
        </w:rPr>
      </w:pPr>
      <w:r>
        <w:rPr>
          <w:rFonts w:hint="eastAsia" w:ascii="仿宋" w:hAnsi="仿宋" w:eastAsia="仿宋" w:cs="仿宋"/>
          <w:color w:val="auto"/>
          <w:sz w:val="32"/>
          <w:szCs w:val="32"/>
        </w:rPr>
        <w:t>一、</w:t>
      </w:r>
      <w:r>
        <w:rPr>
          <w:rFonts w:hint="eastAsia" w:ascii="仿宋" w:hAnsi="仿宋" w:eastAsia="仿宋" w:cs="仿宋"/>
          <w:b/>
          <w:color w:val="auto"/>
          <w:sz w:val="32"/>
          <w:szCs w:val="32"/>
          <w:lang w:eastAsia="zh-CN"/>
        </w:rPr>
        <w:t>采购需求</w:t>
      </w:r>
    </w:p>
    <w:p w14:paraId="15AE6049">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outlineLvl w:val="9"/>
        <w:rPr>
          <w:rFonts w:hint="eastAsia" w:ascii="仿宋" w:hAnsi="仿宋" w:eastAsia="仿宋" w:cs="仿宋"/>
          <w:b w:val="0"/>
          <w:bCs w:val="0"/>
          <w:color w:val="auto"/>
          <w:kern w:val="0"/>
          <w:sz w:val="24"/>
          <w:szCs w:val="24"/>
          <w:lang w:val="en-US" w:eastAsia="zh-CN"/>
        </w:rPr>
      </w:pPr>
    </w:p>
    <w:tbl>
      <w:tblPr>
        <w:tblStyle w:val="25"/>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37"/>
        <w:gridCol w:w="1815"/>
        <w:gridCol w:w="850"/>
        <w:gridCol w:w="784"/>
        <w:gridCol w:w="1774"/>
        <w:gridCol w:w="1860"/>
      </w:tblGrid>
      <w:tr w14:paraId="0B58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08" w:type="dxa"/>
            <w:vAlign w:val="center"/>
          </w:tcPr>
          <w:p w14:paraId="620F8130">
            <w:pPr>
              <w:widowControl w:val="0"/>
              <w:jc w:val="center"/>
              <w:rPr>
                <w:rFonts w:hint="eastAsia" w:ascii="宋体" w:hAnsi="宋体" w:eastAsia="宋体" w:cs="Times New Roman"/>
                <w:sz w:val="21"/>
                <w:szCs w:val="21"/>
                <w:lang w:eastAsia="en-US"/>
              </w:rPr>
            </w:pPr>
            <w:r>
              <w:rPr>
                <w:rFonts w:hint="eastAsia" w:ascii="宋体" w:hAnsi="宋体" w:eastAsia="宋体" w:cs="Times New Roman"/>
                <w:sz w:val="21"/>
                <w:szCs w:val="21"/>
              </w:rPr>
              <w:t>序号</w:t>
            </w:r>
          </w:p>
        </w:tc>
        <w:tc>
          <w:tcPr>
            <w:tcW w:w="937" w:type="dxa"/>
            <w:vAlign w:val="center"/>
          </w:tcPr>
          <w:p w14:paraId="13E80C39">
            <w:pPr>
              <w:widowControl w:val="0"/>
              <w:jc w:val="center"/>
              <w:rPr>
                <w:rFonts w:ascii="宋体" w:hAnsi="宋体" w:eastAsia="宋体" w:cs="Times New Roman"/>
                <w:sz w:val="21"/>
                <w:szCs w:val="21"/>
                <w:lang w:eastAsia="en-US"/>
              </w:rPr>
            </w:pPr>
            <w:r>
              <w:rPr>
                <w:rFonts w:hint="eastAsia" w:ascii="宋体" w:hAnsi="宋体" w:eastAsia="宋体" w:cs="Times New Roman"/>
                <w:sz w:val="21"/>
                <w:szCs w:val="21"/>
                <w:lang w:eastAsia="en-US"/>
              </w:rPr>
              <w:t>是否</w:t>
            </w:r>
          </w:p>
          <w:p w14:paraId="1E5FD6F1">
            <w:pPr>
              <w:widowControl w:val="0"/>
              <w:jc w:val="center"/>
              <w:rPr>
                <w:rFonts w:ascii="宋体" w:hAnsi="宋体" w:eastAsia="宋体" w:cs="Times New Roman"/>
                <w:sz w:val="21"/>
                <w:szCs w:val="21"/>
                <w:lang w:eastAsia="en-US"/>
              </w:rPr>
            </w:pPr>
            <w:r>
              <w:rPr>
                <w:rFonts w:hint="eastAsia" w:ascii="宋体" w:hAnsi="宋体" w:eastAsia="宋体" w:cs="Times New Roman"/>
                <w:sz w:val="21"/>
                <w:szCs w:val="21"/>
                <w:lang w:eastAsia="en-US"/>
              </w:rPr>
              <w:t>进口</w:t>
            </w:r>
          </w:p>
        </w:tc>
        <w:tc>
          <w:tcPr>
            <w:tcW w:w="1815" w:type="dxa"/>
            <w:vAlign w:val="center"/>
          </w:tcPr>
          <w:p w14:paraId="62C0133E">
            <w:pPr>
              <w:widowControl w:val="0"/>
              <w:jc w:val="center"/>
              <w:rPr>
                <w:rFonts w:ascii="宋体" w:hAnsi="宋体" w:eastAsia="宋体" w:cs="Times New Roman"/>
                <w:sz w:val="21"/>
                <w:szCs w:val="21"/>
                <w:lang w:eastAsia="en-US"/>
              </w:rPr>
            </w:pPr>
            <w:r>
              <w:rPr>
                <w:rFonts w:hint="eastAsia" w:ascii="宋体" w:hAnsi="宋体" w:eastAsia="宋体" w:cs="Times New Roman"/>
                <w:sz w:val="21"/>
                <w:szCs w:val="21"/>
              </w:rPr>
              <w:t>项目名称</w:t>
            </w:r>
          </w:p>
        </w:tc>
        <w:tc>
          <w:tcPr>
            <w:tcW w:w="850" w:type="dxa"/>
            <w:vAlign w:val="center"/>
          </w:tcPr>
          <w:p w14:paraId="51BCE724">
            <w:pPr>
              <w:widowControl w:val="0"/>
              <w:jc w:val="center"/>
              <w:rPr>
                <w:rFonts w:ascii="宋体" w:hAnsi="宋体" w:eastAsia="宋体" w:cs="Times New Roman"/>
                <w:sz w:val="21"/>
                <w:szCs w:val="21"/>
                <w:lang w:eastAsia="en-US"/>
              </w:rPr>
            </w:pPr>
            <w:r>
              <w:rPr>
                <w:rFonts w:hint="eastAsia" w:ascii="宋体" w:hAnsi="宋体" w:eastAsia="宋体" w:cs="Times New Roman"/>
                <w:sz w:val="21"/>
                <w:szCs w:val="21"/>
              </w:rPr>
              <w:t>数量</w:t>
            </w:r>
          </w:p>
        </w:tc>
        <w:tc>
          <w:tcPr>
            <w:tcW w:w="784" w:type="dxa"/>
            <w:vAlign w:val="center"/>
          </w:tcPr>
          <w:p w14:paraId="15570880">
            <w:pPr>
              <w:widowControl w:val="0"/>
              <w:jc w:val="center"/>
              <w:rPr>
                <w:rFonts w:ascii="宋体" w:hAnsi="宋体" w:eastAsia="宋体" w:cs="Times New Roman"/>
                <w:sz w:val="21"/>
                <w:szCs w:val="21"/>
                <w:lang w:eastAsia="en-US"/>
              </w:rPr>
            </w:pPr>
            <w:r>
              <w:rPr>
                <w:rFonts w:hint="eastAsia" w:ascii="宋体" w:hAnsi="宋体" w:eastAsia="宋体" w:cs="Times New Roman"/>
                <w:sz w:val="21"/>
                <w:szCs w:val="21"/>
              </w:rPr>
              <w:t>计量单位</w:t>
            </w:r>
          </w:p>
        </w:tc>
        <w:tc>
          <w:tcPr>
            <w:tcW w:w="1774" w:type="dxa"/>
            <w:vAlign w:val="center"/>
          </w:tcPr>
          <w:p w14:paraId="07F4D49C">
            <w:pPr>
              <w:widowControl w:val="0"/>
              <w:jc w:val="center"/>
              <w:rPr>
                <w:rFonts w:hint="eastAsia" w:ascii="宋体" w:hAnsi="宋体" w:eastAsia="宋体" w:cs="Times New Roman"/>
                <w:sz w:val="21"/>
                <w:szCs w:val="21"/>
                <w:lang w:eastAsia="en-US"/>
              </w:rPr>
            </w:pPr>
            <w:r>
              <w:rPr>
                <w:rFonts w:hint="eastAsia" w:ascii="宋体" w:hAnsi="宋体" w:eastAsia="宋体" w:cs="Times New Roman"/>
                <w:sz w:val="21"/>
                <w:szCs w:val="21"/>
              </w:rPr>
              <w:t>预算金额(元)</w:t>
            </w:r>
          </w:p>
        </w:tc>
        <w:tc>
          <w:tcPr>
            <w:tcW w:w="1860" w:type="dxa"/>
            <w:vAlign w:val="center"/>
          </w:tcPr>
          <w:p w14:paraId="1BB6CE2B">
            <w:pPr>
              <w:widowControl w:val="0"/>
              <w:jc w:val="center"/>
              <w:rPr>
                <w:rFonts w:hint="eastAsia" w:ascii="宋体" w:hAnsi="宋体" w:eastAsia="宋体" w:cs="Times New Roman"/>
                <w:sz w:val="21"/>
                <w:szCs w:val="21"/>
                <w:lang w:eastAsia="en-US"/>
              </w:rPr>
            </w:pPr>
            <w:r>
              <w:rPr>
                <w:rFonts w:hint="eastAsia" w:ascii="宋体" w:hAnsi="宋体" w:eastAsia="宋体" w:cs="Times New Roman"/>
                <w:sz w:val="21"/>
                <w:szCs w:val="21"/>
              </w:rPr>
              <w:t>最高限价(元)</w:t>
            </w:r>
          </w:p>
        </w:tc>
      </w:tr>
      <w:tr w14:paraId="4D15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8" w:type="dxa"/>
            <w:vAlign w:val="center"/>
          </w:tcPr>
          <w:p w14:paraId="6E680927">
            <w:pPr>
              <w:widowControl w:val="0"/>
              <w:jc w:val="center"/>
              <w:rPr>
                <w:rFonts w:ascii="宋体" w:hAnsi="宋体" w:eastAsia="宋体" w:cs="Times New Roman"/>
                <w:sz w:val="21"/>
                <w:szCs w:val="21"/>
              </w:rPr>
            </w:pPr>
            <w:r>
              <w:rPr>
                <w:rFonts w:ascii="宋体" w:hAnsi="宋体" w:eastAsia="宋体" w:cs="Times New Roman"/>
                <w:sz w:val="21"/>
                <w:szCs w:val="21"/>
              </w:rPr>
              <w:t>1</w:t>
            </w:r>
          </w:p>
        </w:tc>
        <w:tc>
          <w:tcPr>
            <w:tcW w:w="937" w:type="dxa"/>
            <w:vAlign w:val="center"/>
          </w:tcPr>
          <w:p w14:paraId="221D29BB">
            <w:pPr>
              <w:widowControl w:val="0"/>
              <w:jc w:val="center"/>
              <w:rPr>
                <w:rFonts w:hint="eastAsia" w:ascii="宋体" w:hAnsi="宋体" w:eastAsia="宋体" w:cs="Times New Roman"/>
                <w:sz w:val="21"/>
                <w:szCs w:val="21"/>
              </w:rPr>
            </w:pPr>
            <w:r>
              <w:rPr>
                <w:rFonts w:hint="eastAsia" w:ascii="宋体" w:hAnsi="宋体" w:eastAsia="宋体" w:cs="Times New Roman"/>
                <w:sz w:val="21"/>
                <w:szCs w:val="21"/>
              </w:rPr>
              <w:t>否</w:t>
            </w:r>
          </w:p>
        </w:tc>
        <w:tc>
          <w:tcPr>
            <w:tcW w:w="1815" w:type="dxa"/>
            <w:vAlign w:val="center"/>
          </w:tcPr>
          <w:p w14:paraId="7047C8B8">
            <w:pPr>
              <w:widowControl w:val="0"/>
              <w:jc w:val="center"/>
              <w:rPr>
                <w:rFonts w:hint="eastAsia" w:ascii="宋体" w:hAnsi="宋体" w:eastAsia="宋体" w:cs="Times New Roman"/>
                <w:sz w:val="21"/>
                <w:szCs w:val="21"/>
              </w:rPr>
            </w:pPr>
            <w:r>
              <w:rPr>
                <w:rFonts w:hint="eastAsia" w:ascii="宋体" w:hAnsi="宋体" w:eastAsia="宋体"/>
                <w:color w:val="000000"/>
                <w:sz w:val="21"/>
                <w:szCs w:val="21"/>
                <w:lang w:val="en-US" w:eastAsia="zh-CN"/>
              </w:rPr>
              <w:t>（64排CT)维护和保养服务项目</w:t>
            </w:r>
          </w:p>
        </w:tc>
        <w:tc>
          <w:tcPr>
            <w:tcW w:w="850" w:type="dxa"/>
            <w:vAlign w:val="center"/>
          </w:tcPr>
          <w:p w14:paraId="37992FA7">
            <w:pPr>
              <w:widowControl w:val="0"/>
              <w:jc w:val="center"/>
              <w:rPr>
                <w:rFonts w:hint="eastAsia" w:ascii="宋体" w:hAnsi="宋体" w:eastAsia="宋体" w:cs="Times New Roman"/>
                <w:sz w:val="21"/>
                <w:szCs w:val="21"/>
              </w:rPr>
            </w:pPr>
            <w:r>
              <w:rPr>
                <w:rFonts w:ascii="宋体" w:hAnsi="宋体" w:eastAsia="宋体"/>
                <w:color w:val="000000"/>
                <w:sz w:val="21"/>
                <w:szCs w:val="21"/>
              </w:rPr>
              <w:t>1</w:t>
            </w:r>
          </w:p>
        </w:tc>
        <w:tc>
          <w:tcPr>
            <w:tcW w:w="784" w:type="dxa"/>
            <w:vAlign w:val="center"/>
          </w:tcPr>
          <w:p w14:paraId="01460E7E">
            <w:pPr>
              <w:widowControl w:val="0"/>
              <w:jc w:val="center"/>
              <w:rPr>
                <w:rFonts w:hint="eastAsia" w:ascii="宋体" w:hAnsi="宋体" w:eastAsia="宋体" w:cs="Times New Roman"/>
                <w:sz w:val="21"/>
                <w:szCs w:val="21"/>
              </w:rPr>
            </w:pPr>
            <w:r>
              <w:rPr>
                <w:rFonts w:hint="eastAsia" w:ascii="宋体" w:hAnsi="宋体" w:eastAsia="宋体"/>
                <w:color w:val="000000"/>
                <w:sz w:val="21"/>
                <w:szCs w:val="21"/>
              </w:rPr>
              <w:t>项</w:t>
            </w:r>
          </w:p>
        </w:tc>
        <w:tc>
          <w:tcPr>
            <w:tcW w:w="1774" w:type="dxa"/>
            <w:vAlign w:val="center"/>
          </w:tcPr>
          <w:p w14:paraId="12EF505B">
            <w:pPr>
              <w:widowControl w:val="0"/>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95</w:t>
            </w:r>
            <w:r>
              <w:rPr>
                <w:rFonts w:ascii="宋体" w:hAnsi="宋体" w:eastAsia="宋体" w:cs="Times New Roman"/>
                <w:sz w:val="21"/>
                <w:szCs w:val="21"/>
              </w:rPr>
              <w:t>0,000.00</w:t>
            </w:r>
          </w:p>
        </w:tc>
        <w:tc>
          <w:tcPr>
            <w:tcW w:w="1860" w:type="dxa"/>
            <w:vAlign w:val="center"/>
          </w:tcPr>
          <w:p w14:paraId="06876C61">
            <w:pPr>
              <w:widowControl w:val="0"/>
              <w:jc w:val="center"/>
              <w:rPr>
                <w:rFonts w:hint="eastAsia" w:ascii="宋体" w:hAnsi="宋体" w:eastAsia="宋体" w:cs="Times New Roman"/>
                <w:sz w:val="21"/>
                <w:szCs w:val="21"/>
              </w:rPr>
            </w:pPr>
            <w:r>
              <w:rPr>
                <w:rFonts w:hint="eastAsia" w:ascii="宋体" w:hAnsi="宋体" w:eastAsia="宋体" w:cs="Times New Roman"/>
                <w:sz w:val="21"/>
                <w:szCs w:val="21"/>
                <w:lang w:val="en-US" w:eastAsia="zh-CN"/>
              </w:rPr>
              <w:t>95</w:t>
            </w:r>
            <w:r>
              <w:rPr>
                <w:rFonts w:ascii="宋体" w:hAnsi="宋体" w:eastAsia="宋体" w:cs="Times New Roman"/>
                <w:sz w:val="21"/>
                <w:szCs w:val="21"/>
              </w:rPr>
              <w:t>0,000.00</w:t>
            </w:r>
          </w:p>
        </w:tc>
      </w:tr>
    </w:tbl>
    <w:p w14:paraId="76B06CCE">
      <w:pPr>
        <w:rPr>
          <w:rFonts w:hint="eastAsia"/>
          <w:lang w:val="en-US" w:eastAsia="zh-CN"/>
        </w:rPr>
      </w:pPr>
    </w:p>
    <w:p w14:paraId="63D2E870">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outlineLvl w:val="9"/>
        <w:rPr>
          <w:rFonts w:hint="eastAsia" w:ascii="仿宋" w:hAnsi="仿宋" w:eastAsia="仿宋" w:cs="仿宋"/>
          <w:b w:val="0"/>
          <w:bCs w:val="0"/>
          <w:color w:val="auto"/>
          <w:kern w:val="2"/>
          <w:sz w:val="24"/>
          <w:szCs w:val="24"/>
          <w:lang w:val="en-US" w:eastAsia="zh-CN" w:bidi="ar-SA"/>
        </w:rPr>
      </w:pPr>
      <w:r>
        <w:rPr>
          <w:rFonts w:hint="eastAsia" w:ascii="宋体" w:hAnsi="宋体" w:eastAsia="宋体"/>
          <w:b/>
          <w:sz w:val="24"/>
        </w:rPr>
        <w:t>▲</w:t>
      </w:r>
      <w:r>
        <w:rPr>
          <w:rFonts w:hint="eastAsia" w:ascii="仿宋" w:hAnsi="仿宋" w:eastAsia="仿宋" w:cs="仿宋"/>
          <w:b w:val="0"/>
          <w:bCs w:val="0"/>
          <w:color w:val="auto"/>
          <w:kern w:val="0"/>
          <w:sz w:val="24"/>
          <w:szCs w:val="24"/>
          <w:lang w:val="en-US" w:eastAsia="zh-CN"/>
        </w:rPr>
        <w:t>注：投标人投标报价不得高于本次采购最高限价，否则按不实质性响应招标文件要求处理。</w:t>
      </w:r>
    </w:p>
    <w:p w14:paraId="2F4ACFC6">
      <w:pPr>
        <w:spacing w:line="240" w:lineRule="auto"/>
        <w:ind w:firstLine="482" w:firstLineChars="200"/>
        <w:rPr>
          <w:rFonts w:hint="eastAsia" w:ascii="仿宋" w:hAnsi="仿宋" w:eastAsia="仿宋" w:cs="仿宋"/>
          <w:b/>
          <w:color w:val="auto"/>
          <w:sz w:val="24"/>
          <w:szCs w:val="24"/>
        </w:rPr>
      </w:pPr>
    </w:p>
    <w:p w14:paraId="7912884E">
      <w:pPr>
        <w:rPr>
          <w:rFonts w:hint="eastAsia" w:ascii="仿宋" w:hAnsi="仿宋" w:eastAsia="仿宋" w:cs="仿宋"/>
          <w:b/>
          <w:color w:val="auto"/>
          <w:sz w:val="32"/>
          <w:szCs w:val="32"/>
        </w:rPr>
      </w:pPr>
      <w:bookmarkStart w:id="182" w:name="_Toc18297"/>
      <w:r>
        <w:rPr>
          <w:rFonts w:hint="eastAsia" w:ascii="仿宋" w:hAnsi="仿宋" w:eastAsia="仿宋" w:cs="仿宋"/>
          <w:b/>
          <w:color w:val="auto"/>
          <w:sz w:val="32"/>
          <w:szCs w:val="32"/>
        </w:rPr>
        <w:br w:type="page"/>
      </w:r>
    </w:p>
    <w:p w14:paraId="0895DEDB">
      <w:pPr>
        <w:numPr>
          <w:ilvl w:val="0"/>
          <w:numId w:val="0"/>
        </w:numPr>
        <w:jc w:val="center"/>
        <w:outlineLvl w:val="1"/>
        <w:rPr>
          <w:rFonts w:hint="eastAsia" w:ascii="仿宋" w:hAnsi="仿宋" w:eastAsia="仿宋" w:cs="仿宋"/>
          <w:b/>
          <w:color w:val="auto"/>
          <w:sz w:val="32"/>
          <w:szCs w:val="32"/>
        </w:rPr>
      </w:pPr>
      <w:r>
        <w:rPr>
          <w:rFonts w:hint="eastAsia" w:ascii="仿宋" w:hAnsi="仿宋" w:eastAsia="仿宋" w:cs="仿宋"/>
          <w:b/>
          <w:color w:val="auto"/>
          <w:kern w:val="2"/>
          <w:sz w:val="32"/>
          <w:szCs w:val="32"/>
          <w:lang w:val="en-US" w:eastAsia="zh-CN" w:bidi="ar-SA"/>
        </w:rPr>
        <w:t>二、</w:t>
      </w:r>
      <w:r>
        <w:rPr>
          <w:rFonts w:hint="eastAsia" w:ascii="仿宋" w:hAnsi="仿宋" w:eastAsia="仿宋" w:cs="仿宋"/>
          <w:b/>
          <w:color w:val="auto"/>
          <w:sz w:val="32"/>
          <w:szCs w:val="32"/>
        </w:rPr>
        <w:t>服务要求</w:t>
      </w:r>
    </w:p>
    <w:p w14:paraId="63A1E157">
      <w:pPr>
        <w:pStyle w:val="2"/>
        <w:spacing w:before="196" w:line="301" w:lineRule="auto"/>
        <w:ind w:left="39" w:right="723" w:firstLine="547"/>
        <w:rPr>
          <w:sz w:val="24"/>
          <w:szCs w:val="24"/>
        </w:rPr>
      </w:pPr>
      <w:r>
        <w:rPr>
          <w:spacing w:val="-4"/>
          <w:sz w:val="24"/>
          <w:szCs w:val="24"/>
        </w:rPr>
        <w:t>本项目采购服务内容：CT</w:t>
      </w:r>
      <w:r>
        <w:rPr>
          <w:rFonts w:hint="eastAsia"/>
          <w:spacing w:val="-4"/>
          <w:sz w:val="24"/>
          <w:szCs w:val="24"/>
          <w:lang w:val="en-US" w:eastAsia="zh-CN"/>
        </w:rPr>
        <w:t xml:space="preserve"> </w:t>
      </w:r>
      <w:r>
        <w:rPr>
          <w:spacing w:val="-4"/>
          <w:sz w:val="24"/>
          <w:szCs w:val="24"/>
        </w:rPr>
        <w:t>的三年全保维保服务，采购</w:t>
      </w:r>
      <w:r>
        <w:rPr>
          <w:spacing w:val="-3"/>
          <w:sz w:val="24"/>
          <w:szCs w:val="24"/>
        </w:rPr>
        <w:t>需求、技术参数如下：</w:t>
      </w:r>
    </w:p>
    <w:tbl>
      <w:tblPr>
        <w:tblStyle w:val="68"/>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93"/>
        <w:gridCol w:w="8651"/>
      </w:tblGrid>
      <w:tr w14:paraId="558D0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1" w:hRule="atLeast"/>
        </w:trPr>
        <w:tc>
          <w:tcPr>
            <w:tcW w:w="561" w:type="pct"/>
            <w:noWrap w:val="0"/>
            <w:vAlign w:val="center"/>
          </w:tcPr>
          <w:p w14:paraId="116E7C5F">
            <w:pPr>
              <w:pStyle w:val="58"/>
              <w:spacing w:before="78" w:line="185" w:lineRule="exact"/>
              <w:ind w:left="119"/>
              <w:jc w:val="center"/>
              <w:rPr>
                <w:rFonts w:hint="eastAsia" w:eastAsia="宋体"/>
                <w:sz w:val="24"/>
                <w:szCs w:val="24"/>
                <w:lang w:val="en-US" w:eastAsia="zh-CN"/>
              </w:rPr>
            </w:pPr>
            <w:r>
              <w:rPr>
                <w:rFonts w:hint="eastAsia"/>
                <w:sz w:val="24"/>
                <w:szCs w:val="24"/>
                <w:lang w:val="en-US" w:eastAsia="zh-CN"/>
              </w:rPr>
              <w:t>一</w:t>
            </w:r>
          </w:p>
        </w:tc>
        <w:tc>
          <w:tcPr>
            <w:tcW w:w="4438" w:type="pct"/>
            <w:noWrap w:val="0"/>
            <w:vAlign w:val="center"/>
          </w:tcPr>
          <w:p w14:paraId="47DD2F09">
            <w:pPr>
              <w:pStyle w:val="58"/>
              <w:spacing w:before="44" w:line="221" w:lineRule="auto"/>
              <w:ind w:left="113"/>
              <w:jc w:val="both"/>
              <w:rPr>
                <w:sz w:val="24"/>
                <w:szCs w:val="24"/>
              </w:rPr>
            </w:pPr>
            <w:r>
              <w:rPr>
                <w:b/>
                <w:bCs/>
                <w:spacing w:val="-5"/>
                <w:sz w:val="24"/>
                <w:szCs w:val="24"/>
              </w:rPr>
              <w:t>服务内容：</w:t>
            </w:r>
          </w:p>
          <w:p w14:paraId="64980DB7">
            <w:pPr>
              <w:pStyle w:val="58"/>
              <w:spacing w:before="29" w:line="233" w:lineRule="auto"/>
              <w:ind w:left="113" w:right="163" w:firstLine="2"/>
              <w:jc w:val="both"/>
              <w:rPr>
                <w:sz w:val="24"/>
                <w:szCs w:val="24"/>
              </w:rPr>
            </w:pPr>
            <w:r>
              <w:rPr>
                <w:spacing w:val="-3"/>
                <w:sz w:val="24"/>
                <w:szCs w:val="24"/>
              </w:rPr>
              <w:t>64</w:t>
            </w:r>
            <w:r>
              <w:rPr>
                <w:spacing w:val="-50"/>
                <w:sz w:val="24"/>
                <w:szCs w:val="24"/>
              </w:rPr>
              <w:t xml:space="preserve"> </w:t>
            </w:r>
            <w:r>
              <w:rPr>
                <w:spacing w:val="-3"/>
                <w:sz w:val="24"/>
                <w:szCs w:val="24"/>
              </w:rPr>
              <w:t>排</w:t>
            </w:r>
            <w:r>
              <w:rPr>
                <w:spacing w:val="-62"/>
                <w:sz w:val="24"/>
                <w:szCs w:val="24"/>
              </w:rPr>
              <w:t xml:space="preserve"> </w:t>
            </w:r>
            <w:r>
              <w:rPr>
                <w:spacing w:val="-3"/>
                <w:sz w:val="24"/>
                <w:szCs w:val="24"/>
              </w:rPr>
              <w:t>CT（包含主</w:t>
            </w:r>
            <w:r>
              <w:rPr>
                <w:spacing w:val="-1"/>
                <w:sz w:val="24"/>
                <w:szCs w:val="24"/>
              </w:rPr>
              <w:t>机部分全保（含球管及探测器</w:t>
            </w:r>
            <w:r>
              <w:rPr>
                <w:spacing w:val="8"/>
                <w:sz w:val="24"/>
                <w:szCs w:val="24"/>
              </w:rPr>
              <w:t>），</w:t>
            </w:r>
            <w:r>
              <w:rPr>
                <w:spacing w:val="-1"/>
                <w:sz w:val="24"/>
                <w:szCs w:val="24"/>
              </w:rPr>
              <w:t>不限次数的现场人工服务，定</w:t>
            </w:r>
            <w:r>
              <w:rPr>
                <w:sz w:val="24"/>
                <w:szCs w:val="24"/>
              </w:rPr>
              <w:t xml:space="preserve">  </w:t>
            </w:r>
            <w:r>
              <w:rPr>
                <w:spacing w:val="-1"/>
                <w:sz w:val="24"/>
                <w:szCs w:val="24"/>
              </w:rPr>
              <w:t>期的优质保养，常规零备件更换，原厂</w:t>
            </w:r>
            <w:r>
              <w:rPr>
                <w:spacing w:val="-63"/>
                <w:sz w:val="24"/>
                <w:szCs w:val="24"/>
              </w:rPr>
              <w:t xml:space="preserve"> </w:t>
            </w:r>
            <w:r>
              <w:rPr>
                <w:spacing w:val="-1"/>
                <w:sz w:val="24"/>
                <w:szCs w:val="24"/>
              </w:rPr>
              <w:t>FMI</w:t>
            </w:r>
            <w:r>
              <w:rPr>
                <w:rFonts w:hint="eastAsia"/>
                <w:spacing w:val="-1"/>
                <w:sz w:val="24"/>
                <w:szCs w:val="24"/>
                <w:lang w:val="en-US" w:eastAsia="zh-CN"/>
              </w:rPr>
              <w:t>:</w:t>
            </w:r>
            <w:r>
              <w:rPr>
                <w:spacing w:val="-1"/>
                <w:sz w:val="24"/>
                <w:szCs w:val="24"/>
              </w:rPr>
              <w:t>可显示全套原厂诊断软件，并保证能够解决所有需要原厂</w:t>
            </w:r>
            <w:r>
              <w:rPr>
                <w:spacing w:val="-47"/>
                <w:sz w:val="24"/>
                <w:szCs w:val="24"/>
              </w:rPr>
              <w:t xml:space="preserve"> </w:t>
            </w:r>
            <w:r>
              <w:rPr>
                <w:spacing w:val="-1"/>
                <w:sz w:val="24"/>
                <w:szCs w:val="24"/>
              </w:rPr>
              <w:t>serv</w:t>
            </w:r>
            <w:r>
              <w:rPr>
                <w:spacing w:val="-2"/>
                <w:sz w:val="24"/>
                <w:szCs w:val="24"/>
              </w:rPr>
              <w:t>ice key</w:t>
            </w:r>
            <w:r>
              <w:rPr>
                <w:spacing w:val="-62"/>
                <w:sz w:val="24"/>
                <w:szCs w:val="24"/>
              </w:rPr>
              <w:t xml:space="preserve"> </w:t>
            </w:r>
            <w:r>
              <w:rPr>
                <w:spacing w:val="-2"/>
                <w:sz w:val="24"/>
                <w:szCs w:val="24"/>
              </w:rPr>
              <w:t>才能解决的设</w:t>
            </w:r>
            <w:r>
              <w:rPr>
                <w:spacing w:val="-1"/>
                <w:sz w:val="24"/>
                <w:szCs w:val="24"/>
              </w:rPr>
              <w:t>备故障</w:t>
            </w:r>
            <w:r>
              <w:rPr>
                <w:rFonts w:hint="eastAsia"/>
                <w:spacing w:val="-1"/>
                <w:sz w:val="24"/>
                <w:szCs w:val="24"/>
                <w:lang w:val="en-US" w:eastAsia="zh-CN"/>
              </w:rPr>
              <w:t>;</w:t>
            </w:r>
            <w:r>
              <w:rPr>
                <w:spacing w:val="-1"/>
                <w:sz w:val="24"/>
                <w:szCs w:val="24"/>
              </w:rPr>
              <w:t>设备所有零部件不限次数免费更换:双方对于影像图</w:t>
            </w:r>
            <w:r>
              <w:rPr>
                <w:spacing w:val="18"/>
                <w:sz w:val="24"/>
                <w:szCs w:val="24"/>
              </w:rPr>
              <w:t xml:space="preserve"> </w:t>
            </w:r>
            <w:r>
              <w:rPr>
                <w:spacing w:val="-1"/>
                <w:sz w:val="24"/>
                <w:szCs w:val="24"/>
              </w:rPr>
              <w:t>像质量下降是否需要更换零部件(球管、探测器等)意见不一致时，由医院决定是否更换相关零部件，包括一些意外导致的设备</w:t>
            </w:r>
            <w:r>
              <w:rPr>
                <w:spacing w:val="-5"/>
                <w:sz w:val="24"/>
                <w:szCs w:val="24"/>
              </w:rPr>
              <w:t>故障。</w:t>
            </w:r>
          </w:p>
        </w:tc>
      </w:tr>
      <w:tr w14:paraId="207E9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61" w:type="pct"/>
            <w:noWrap w:val="0"/>
            <w:vAlign w:val="center"/>
          </w:tcPr>
          <w:p w14:paraId="3E2142A5">
            <w:pPr>
              <w:pStyle w:val="58"/>
              <w:spacing w:before="167" w:line="179" w:lineRule="auto"/>
              <w:ind w:left="122"/>
              <w:jc w:val="center"/>
              <w:rPr>
                <w:sz w:val="24"/>
                <w:szCs w:val="24"/>
              </w:rPr>
            </w:pPr>
            <w:r>
              <w:rPr>
                <w:b/>
                <w:bCs/>
                <w:spacing w:val="-3"/>
                <w:sz w:val="24"/>
                <w:szCs w:val="24"/>
              </w:rPr>
              <w:t>二</w:t>
            </w:r>
          </w:p>
        </w:tc>
        <w:tc>
          <w:tcPr>
            <w:tcW w:w="4438" w:type="pct"/>
            <w:noWrap w:val="0"/>
            <w:vAlign w:val="center"/>
          </w:tcPr>
          <w:p w14:paraId="25285855">
            <w:pPr>
              <w:pStyle w:val="58"/>
              <w:spacing w:before="115" w:line="221" w:lineRule="auto"/>
              <w:ind w:left="113"/>
              <w:jc w:val="both"/>
              <w:rPr>
                <w:sz w:val="24"/>
                <w:szCs w:val="24"/>
              </w:rPr>
            </w:pPr>
            <w:r>
              <w:rPr>
                <w:b/>
                <w:bCs/>
                <w:spacing w:val="-5"/>
                <w:sz w:val="24"/>
                <w:szCs w:val="24"/>
              </w:rPr>
              <w:t>服务要求</w:t>
            </w:r>
          </w:p>
        </w:tc>
      </w:tr>
      <w:tr w14:paraId="41F02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561" w:type="pct"/>
            <w:noWrap w:val="0"/>
            <w:vAlign w:val="center"/>
          </w:tcPr>
          <w:p w14:paraId="33F4276D">
            <w:pPr>
              <w:pStyle w:val="58"/>
              <w:spacing w:before="78" w:line="227" w:lineRule="auto"/>
              <w:ind w:left="118"/>
              <w:jc w:val="center"/>
              <w:rPr>
                <w:sz w:val="24"/>
                <w:szCs w:val="24"/>
              </w:rPr>
            </w:pPr>
            <w:r>
              <w:rPr>
                <w:spacing w:val="-4"/>
                <w:sz w:val="24"/>
                <w:szCs w:val="24"/>
              </w:rPr>
              <w:t>2.1★</w:t>
            </w:r>
          </w:p>
        </w:tc>
        <w:tc>
          <w:tcPr>
            <w:tcW w:w="4438" w:type="pct"/>
            <w:noWrap w:val="0"/>
            <w:vAlign w:val="center"/>
          </w:tcPr>
          <w:p w14:paraId="57628595">
            <w:pPr>
              <w:pStyle w:val="58"/>
              <w:spacing w:before="37" w:line="231" w:lineRule="auto"/>
              <w:ind w:left="115" w:right="115" w:hanging="3"/>
              <w:jc w:val="both"/>
              <w:rPr>
                <w:sz w:val="24"/>
                <w:szCs w:val="24"/>
              </w:rPr>
            </w:pPr>
            <w:r>
              <w:rPr>
                <w:spacing w:val="1"/>
                <w:sz w:val="24"/>
                <w:szCs w:val="24"/>
              </w:rPr>
              <w:t>提供服务期间保证保修设备开机率达到93%，即</w:t>
            </w:r>
            <w:r>
              <w:rPr>
                <w:sz w:val="24"/>
                <w:szCs w:val="24"/>
              </w:rPr>
              <w:t>每年停机不超过</w:t>
            </w:r>
            <w:r>
              <w:rPr>
                <w:spacing w:val="-48"/>
                <w:sz w:val="24"/>
                <w:szCs w:val="24"/>
              </w:rPr>
              <w:t xml:space="preserve"> </w:t>
            </w:r>
            <w:r>
              <w:rPr>
                <w:sz w:val="24"/>
                <w:szCs w:val="24"/>
              </w:rPr>
              <w:t>25</w:t>
            </w:r>
            <w:r>
              <w:rPr>
                <w:spacing w:val="-46"/>
                <w:sz w:val="24"/>
                <w:szCs w:val="24"/>
              </w:rPr>
              <w:t xml:space="preserve"> </w:t>
            </w:r>
            <w:r>
              <w:rPr>
                <w:sz w:val="24"/>
                <w:szCs w:val="24"/>
              </w:rPr>
              <w:t xml:space="preserve">天(以一年 </w:t>
            </w:r>
            <w:r>
              <w:rPr>
                <w:spacing w:val="-4"/>
                <w:sz w:val="24"/>
                <w:szCs w:val="24"/>
              </w:rPr>
              <w:t>365</w:t>
            </w:r>
            <w:r>
              <w:rPr>
                <w:spacing w:val="-28"/>
                <w:sz w:val="24"/>
                <w:szCs w:val="24"/>
              </w:rPr>
              <w:t xml:space="preserve"> </w:t>
            </w:r>
            <w:r>
              <w:rPr>
                <w:spacing w:val="-4"/>
                <w:sz w:val="24"/>
                <w:szCs w:val="24"/>
              </w:rPr>
              <w:t>天计算)，超过</w:t>
            </w:r>
            <w:r>
              <w:rPr>
                <w:spacing w:val="-47"/>
                <w:sz w:val="24"/>
                <w:szCs w:val="24"/>
              </w:rPr>
              <w:t xml:space="preserve"> </w:t>
            </w:r>
            <w:r>
              <w:rPr>
                <w:spacing w:val="-4"/>
                <w:sz w:val="24"/>
                <w:szCs w:val="24"/>
              </w:rPr>
              <w:t>25</w:t>
            </w:r>
            <w:r>
              <w:rPr>
                <w:spacing w:val="-46"/>
                <w:sz w:val="24"/>
                <w:szCs w:val="24"/>
              </w:rPr>
              <w:t xml:space="preserve"> </w:t>
            </w:r>
            <w:r>
              <w:rPr>
                <w:spacing w:val="-4"/>
                <w:sz w:val="24"/>
                <w:szCs w:val="24"/>
              </w:rPr>
              <w:t>天按照停机</w:t>
            </w:r>
            <w:r>
              <w:rPr>
                <w:spacing w:val="-33"/>
                <w:sz w:val="24"/>
                <w:szCs w:val="24"/>
              </w:rPr>
              <w:t xml:space="preserve"> </w:t>
            </w:r>
            <w:r>
              <w:rPr>
                <w:spacing w:val="-4"/>
                <w:sz w:val="24"/>
                <w:szCs w:val="24"/>
              </w:rPr>
              <w:t>1</w:t>
            </w:r>
            <w:r>
              <w:rPr>
                <w:spacing w:val="-46"/>
                <w:sz w:val="24"/>
                <w:szCs w:val="24"/>
              </w:rPr>
              <w:t xml:space="preserve"> </w:t>
            </w:r>
            <w:r>
              <w:rPr>
                <w:spacing w:val="-4"/>
                <w:sz w:val="24"/>
                <w:szCs w:val="24"/>
              </w:rPr>
              <w:t>天延期服务</w:t>
            </w:r>
            <w:r>
              <w:rPr>
                <w:spacing w:val="-46"/>
                <w:sz w:val="24"/>
                <w:szCs w:val="24"/>
              </w:rPr>
              <w:t xml:space="preserve"> </w:t>
            </w:r>
            <w:r>
              <w:rPr>
                <w:spacing w:val="-4"/>
                <w:sz w:val="24"/>
                <w:szCs w:val="24"/>
              </w:rPr>
              <w:t>3</w:t>
            </w:r>
            <w:r>
              <w:rPr>
                <w:spacing w:val="-46"/>
                <w:sz w:val="24"/>
                <w:szCs w:val="24"/>
              </w:rPr>
              <w:t xml:space="preserve"> </w:t>
            </w:r>
            <w:r>
              <w:rPr>
                <w:spacing w:val="-4"/>
                <w:sz w:val="24"/>
                <w:szCs w:val="24"/>
              </w:rPr>
              <w:t>天进行赔偿，不在承保范围</w:t>
            </w:r>
            <w:r>
              <w:rPr>
                <w:sz w:val="24"/>
                <w:szCs w:val="24"/>
              </w:rPr>
              <w:t xml:space="preserve"> </w:t>
            </w:r>
            <w:r>
              <w:rPr>
                <w:spacing w:val="-1"/>
                <w:sz w:val="24"/>
                <w:szCs w:val="24"/>
              </w:rPr>
              <w:t>内的配件所造成的延期情况除外；其他意外灾害等不可抗力和人为恶意以及</w:t>
            </w:r>
            <w:r>
              <w:rPr>
                <w:spacing w:val="8"/>
                <w:sz w:val="24"/>
                <w:szCs w:val="24"/>
              </w:rPr>
              <w:t xml:space="preserve">  </w:t>
            </w:r>
            <w:r>
              <w:rPr>
                <w:spacing w:val="-1"/>
                <w:sz w:val="24"/>
                <w:szCs w:val="24"/>
              </w:rPr>
              <w:t>由于航空管制等特殊情况下配件等待引起的时间不含在内。</w:t>
            </w:r>
          </w:p>
        </w:tc>
      </w:tr>
      <w:tr w14:paraId="2862A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561" w:type="pct"/>
            <w:noWrap w:val="0"/>
            <w:vAlign w:val="center"/>
          </w:tcPr>
          <w:p w14:paraId="2F3403AC">
            <w:pPr>
              <w:pStyle w:val="58"/>
              <w:spacing w:before="78" w:line="227" w:lineRule="auto"/>
              <w:ind w:left="118"/>
              <w:jc w:val="center"/>
              <w:rPr>
                <w:sz w:val="24"/>
                <w:szCs w:val="24"/>
              </w:rPr>
            </w:pPr>
            <w:r>
              <w:rPr>
                <w:spacing w:val="-4"/>
                <w:sz w:val="24"/>
                <w:szCs w:val="24"/>
              </w:rPr>
              <w:t>2.2★</w:t>
            </w:r>
          </w:p>
        </w:tc>
        <w:tc>
          <w:tcPr>
            <w:tcW w:w="4438" w:type="pct"/>
            <w:noWrap w:val="0"/>
            <w:vAlign w:val="center"/>
          </w:tcPr>
          <w:p w14:paraId="594A2074">
            <w:pPr>
              <w:pStyle w:val="58"/>
              <w:spacing w:before="38" w:line="228" w:lineRule="auto"/>
              <w:ind w:left="118" w:right="115" w:hanging="7"/>
              <w:jc w:val="both"/>
              <w:rPr>
                <w:sz w:val="24"/>
                <w:szCs w:val="24"/>
              </w:rPr>
            </w:pPr>
            <w:r>
              <w:rPr>
                <w:spacing w:val="-1"/>
                <w:sz w:val="24"/>
                <w:szCs w:val="24"/>
              </w:rPr>
              <w:t>服务期内，接到医院故障通知时随叫随到，全天候电话响应，响应时间&lt;24</w:t>
            </w:r>
            <w:r>
              <w:rPr>
                <w:spacing w:val="-36"/>
                <w:sz w:val="24"/>
                <w:szCs w:val="24"/>
              </w:rPr>
              <w:t xml:space="preserve"> </w:t>
            </w:r>
            <w:r>
              <w:rPr>
                <w:spacing w:val="-1"/>
                <w:sz w:val="24"/>
                <w:szCs w:val="24"/>
              </w:rPr>
              <w:t>小</w:t>
            </w:r>
            <w:r>
              <w:rPr>
                <w:sz w:val="24"/>
                <w:szCs w:val="24"/>
              </w:rPr>
              <w:t xml:space="preserve"> </w:t>
            </w:r>
            <w:r>
              <w:rPr>
                <w:spacing w:val="-2"/>
                <w:sz w:val="24"/>
                <w:szCs w:val="24"/>
              </w:rPr>
              <w:t>时，工程师应在</w:t>
            </w:r>
            <w:r>
              <w:rPr>
                <w:spacing w:val="-50"/>
                <w:sz w:val="24"/>
                <w:szCs w:val="24"/>
              </w:rPr>
              <w:t xml:space="preserve"> </w:t>
            </w:r>
            <w:r>
              <w:rPr>
                <w:spacing w:val="-2"/>
                <w:sz w:val="24"/>
                <w:szCs w:val="24"/>
              </w:rPr>
              <w:t>48</w:t>
            </w:r>
            <w:r>
              <w:rPr>
                <w:spacing w:val="-44"/>
                <w:sz w:val="24"/>
                <w:szCs w:val="24"/>
              </w:rPr>
              <w:t xml:space="preserve"> </w:t>
            </w:r>
            <w:r>
              <w:rPr>
                <w:spacing w:val="-2"/>
                <w:sz w:val="24"/>
                <w:szCs w:val="24"/>
              </w:rPr>
              <w:t>小时内到达现场（包括节假日</w:t>
            </w:r>
            <w:r>
              <w:rPr>
                <w:spacing w:val="10"/>
                <w:sz w:val="24"/>
                <w:szCs w:val="24"/>
              </w:rPr>
              <w:t>），</w:t>
            </w:r>
            <w:r>
              <w:rPr>
                <w:spacing w:val="-2"/>
                <w:sz w:val="24"/>
                <w:szCs w:val="24"/>
              </w:rPr>
              <w:t>须提供承诺书原件加盖</w:t>
            </w:r>
            <w:r>
              <w:rPr>
                <w:sz w:val="24"/>
                <w:szCs w:val="24"/>
              </w:rPr>
              <w:t xml:space="preserve"> </w:t>
            </w:r>
            <w:r>
              <w:rPr>
                <w:spacing w:val="-6"/>
                <w:sz w:val="24"/>
                <w:szCs w:val="24"/>
              </w:rPr>
              <w:t>公章。</w:t>
            </w:r>
          </w:p>
        </w:tc>
      </w:tr>
      <w:tr w14:paraId="27CD0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0" w:hRule="atLeast"/>
        </w:trPr>
        <w:tc>
          <w:tcPr>
            <w:tcW w:w="561" w:type="pct"/>
            <w:noWrap w:val="0"/>
            <w:vAlign w:val="center"/>
          </w:tcPr>
          <w:p w14:paraId="35B2AE2C">
            <w:pPr>
              <w:spacing w:line="254" w:lineRule="auto"/>
              <w:jc w:val="center"/>
              <w:rPr>
                <w:rFonts w:ascii="Arial"/>
                <w:sz w:val="24"/>
                <w:szCs w:val="24"/>
              </w:rPr>
            </w:pPr>
          </w:p>
          <w:p w14:paraId="0188A965">
            <w:pPr>
              <w:spacing w:line="254" w:lineRule="auto"/>
              <w:jc w:val="center"/>
              <w:rPr>
                <w:rFonts w:ascii="Arial"/>
                <w:sz w:val="24"/>
                <w:szCs w:val="24"/>
              </w:rPr>
            </w:pPr>
          </w:p>
          <w:p w14:paraId="186A088D">
            <w:pPr>
              <w:spacing w:line="254" w:lineRule="auto"/>
              <w:jc w:val="center"/>
              <w:rPr>
                <w:rFonts w:ascii="Arial"/>
                <w:sz w:val="24"/>
                <w:szCs w:val="24"/>
              </w:rPr>
            </w:pPr>
          </w:p>
          <w:p w14:paraId="3E922CB3">
            <w:pPr>
              <w:pStyle w:val="58"/>
              <w:spacing w:before="78" w:line="227" w:lineRule="auto"/>
              <w:ind w:left="118"/>
              <w:jc w:val="center"/>
              <w:rPr>
                <w:sz w:val="24"/>
                <w:szCs w:val="24"/>
              </w:rPr>
            </w:pPr>
            <w:r>
              <w:rPr>
                <w:spacing w:val="-4"/>
                <w:sz w:val="24"/>
                <w:szCs w:val="24"/>
              </w:rPr>
              <w:t>2.3★</w:t>
            </w:r>
          </w:p>
        </w:tc>
        <w:tc>
          <w:tcPr>
            <w:tcW w:w="4438" w:type="pct"/>
            <w:noWrap w:val="0"/>
            <w:vAlign w:val="center"/>
          </w:tcPr>
          <w:p w14:paraId="1F655DA3">
            <w:pPr>
              <w:pStyle w:val="58"/>
              <w:spacing w:before="36" w:line="233" w:lineRule="auto"/>
              <w:ind w:left="111" w:right="295"/>
              <w:jc w:val="both"/>
              <w:rPr>
                <w:sz w:val="24"/>
                <w:szCs w:val="24"/>
              </w:rPr>
            </w:pPr>
            <w:r>
              <w:rPr>
                <w:sz w:val="24"/>
                <w:szCs w:val="24"/>
              </w:rPr>
              <w:t>服务期内，对设备每年提供定期维护保养与能提供</w:t>
            </w:r>
            <w:r>
              <w:rPr>
                <w:spacing w:val="-1"/>
                <w:sz w:val="24"/>
                <w:szCs w:val="24"/>
              </w:rPr>
              <w:t>详细定期保养计划，计划</w:t>
            </w:r>
            <w:r>
              <w:rPr>
                <w:sz w:val="24"/>
                <w:szCs w:val="24"/>
              </w:rPr>
              <w:t>性定期的维护保养服务检测包括设备清洁、性能测</w:t>
            </w:r>
            <w:r>
              <w:rPr>
                <w:spacing w:val="-1"/>
                <w:sz w:val="24"/>
                <w:szCs w:val="24"/>
              </w:rPr>
              <w:t>试及校准、必要的机械或</w:t>
            </w:r>
            <w:r>
              <w:rPr>
                <w:sz w:val="24"/>
                <w:szCs w:val="24"/>
              </w:rPr>
              <w:t xml:space="preserve"> 电气的检查，以及非紧急性质的预防性维修，并</w:t>
            </w:r>
            <w:r>
              <w:rPr>
                <w:spacing w:val="-1"/>
                <w:sz w:val="24"/>
                <w:szCs w:val="24"/>
              </w:rPr>
              <w:t>定期对设备的数据进行备</w:t>
            </w:r>
            <w:r>
              <w:rPr>
                <w:sz w:val="24"/>
                <w:szCs w:val="24"/>
              </w:rPr>
              <w:t>份，以及确保系统能按照制造商的产品规格运行的</w:t>
            </w:r>
            <w:r>
              <w:rPr>
                <w:spacing w:val="-1"/>
                <w:sz w:val="24"/>
                <w:szCs w:val="24"/>
              </w:rPr>
              <w:t>其它维护。定期维护服务</w:t>
            </w:r>
            <w:r>
              <w:rPr>
                <w:spacing w:val="1"/>
                <w:sz w:val="24"/>
                <w:szCs w:val="24"/>
              </w:rPr>
              <w:t>应间隔进行，具体内容包括</w:t>
            </w:r>
            <w:r>
              <w:rPr>
                <w:spacing w:val="-18"/>
                <w:sz w:val="24"/>
                <w:szCs w:val="24"/>
              </w:rPr>
              <w:t>：（</w:t>
            </w:r>
            <w:r>
              <w:rPr>
                <w:spacing w:val="1"/>
                <w:sz w:val="24"/>
                <w:szCs w:val="24"/>
              </w:rPr>
              <w:t>1）系统基本情况检查</w:t>
            </w:r>
            <w:r>
              <w:rPr>
                <w:rFonts w:hint="eastAsia"/>
                <w:spacing w:val="1"/>
                <w:sz w:val="24"/>
                <w:szCs w:val="24"/>
                <w:lang w:eastAsia="zh-CN"/>
              </w:rPr>
              <w:t>；</w:t>
            </w:r>
            <w:r>
              <w:rPr>
                <w:spacing w:val="1"/>
                <w:sz w:val="24"/>
                <w:szCs w:val="24"/>
              </w:rPr>
              <w:t>（</w:t>
            </w:r>
            <w:r>
              <w:rPr>
                <w:sz w:val="24"/>
                <w:szCs w:val="24"/>
              </w:rPr>
              <w:t>2）图像质量检查</w:t>
            </w:r>
            <w:r>
              <w:rPr>
                <w:rFonts w:hint="eastAsia"/>
                <w:sz w:val="24"/>
                <w:szCs w:val="24"/>
                <w:lang w:eastAsia="zh-CN"/>
              </w:rPr>
              <w:t>；</w:t>
            </w:r>
            <w:r>
              <w:rPr>
                <w:sz w:val="24"/>
                <w:szCs w:val="24"/>
              </w:rPr>
              <w:t>（3）球管使用情况检查</w:t>
            </w:r>
            <w:r>
              <w:rPr>
                <w:rFonts w:hint="eastAsia"/>
                <w:sz w:val="24"/>
                <w:szCs w:val="24"/>
                <w:lang w:eastAsia="zh-CN"/>
              </w:rPr>
              <w:t>；</w:t>
            </w:r>
            <w:r>
              <w:rPr>
                <w:sz w:val="24"/>
                <w:szCs w:val="24"/>
              </w:rPr>
              <w:t>（4）重建系统检查</w:t>
            </w:r>
            <w:r>
              <w:rPr>
                <w:rFonts w:hint="eastAsia"/>
                <w:sz w:val="24"/>
                <w:szCs w:val="24"/>
                <w:lang w:eastAsia="zh-CN"/>
              </w:rPr>
              <w:t>；</w:t>
            </w:r>
            <w:r>
              <w:rPr>
                <w:sz w:val="24"/>
                <w:szCs w:val="24"/>
              </w:rPr>
              <w:t>（5）滑</w:t>
            </w:r>
            <w:r>
              <w:rPr>
                <w:spacing w:val="-1"/>
                <w:sz w:val="24"/>
                <w:szCs w:val="24"/>
              </w:rPr>
              <w:t>环通讯检查</w:t>
            </w:r>
            <w:r>
              <w:rPr>
                <w:rFonts w:hint="eastAsia"/>
                <w:spacing w:val="-1"/>
                <w:sz w:val="24"/>
                <w:szCs w:val="24"/>
                <w:lang w:eastAsia="zh-CN"/>
              </w:rPr>
              <w:t>；</w:t>
            </w:r>
            <w:r>
              <w:rPr>
                <w:spacing w:val="-1"/>
                <w:sz w:val="24"/>
                <w:szCs w:val="24"/>
              </w:rPr>
              <w:t>（6）软件等等。每年提供设备定期保养&gt;=4</w:t>
            </w:r>
            <w:r>
              <w:rPr>
                <w:spacing w:val="-45"/>
                <w:sz w:val="24"/>
                <w:szCs w:val="24"/>
              </w:rPr>
              <w:t xml:space="preserve"> </w:t>
            </w:r>
            <w:r>
              <w:rPr>
                <w:spacing w:val="-1"/>
                <w:sz w:val="24"/>
                <w:szCs w:val="24"/>
              </w:rPr>
              <w:t>次，使之保持原厂</w:t>
            </w:r>
            <w:r>
              <w:rPr>
                <w:spacing w:val="-52"/>
                <w:sz w:val="24"/>
                <w:szCs w:val="24"/>
              </w:rPr>
              <w:t xml:space="preserve"> </w:t>
            </w:r>
            <w:r>
              <w:rPr>
                <w:spacing w:val="-1"/>
                <w:sz w:val="24"/>
                <w:szCs w:val="24"/>
              </w:rPr>
              <w:t>QC</w:t>
            </w:r>
            <w:r>
              <w:rPr>
                <w:spacing w:val="-50"/>
                <w:sz w:val="24"/>
                <w:szCs w:val="24"/>
              </w:rPr>
              <w:t xml:space="preserve"> </w:t>
            </w:r>
            <w:r>
              <w:rPr>
                <w:spacing w:val="-2"/>
                <w:sz w:val="24"/>
                <w:szCs w:val="24"/>
              </w:rPr>
              <w:t>质量标准或国家权威</w:t>
            </w:r>
            <w:r>
              <w:rPr>
                <w:sz w:val="24"/>
                <w:szCs w:val="24"/>
              </w:rPr>
              <w:t>质量计监部门之标准，并能提供原厂技术组长或技</w:t>
            </w:r>
            <w:r>
              <w:rPr>
                <w:spacing w:val="-1"/>
                <w:sz w:val="24"/>
                <w:szCs w:val="24"/>
              </w:rPr>
              <w:t>术支持专家审核合格的定</w:t>
            </w:r>
            <w:r>
              <w:rPr>
                <w:spacing w:val="-2"/>
                <w:sz w:val="24"/>
                <w:szCs w:val="24"/>
              </w:rPr>
              <w:t>期保养报告。</w:t>
            </w:r>
            <w:r>
              <w:rPr>
                <w:sz w:val="24"/>
                <w:szCs w:val="24"/>
              </w:rPr>
              <w:t>保养结束后提供保养报告单到医学装备科维修室</w:t>
            </w:r>
            <w:r>
              <w:rPr>
                <w:spacing w:val="-1"/>
                <w:sz w:val="24"/>
                <w:szCs w:val="24"/>
              </w:rPr>
              <w:t>存档备查。具体记录内容包</w:t>
            </w:r>
            <w:r>
              <w:rPr>
                <w:spacing w:val="-2"/>
                <w:sz w:val="24"/>
                <w:szCs w:val="24"/>
              </w:rPr>
              <w:t>括：</w:t>
            </w:r>
            <w:r>
              <w:rPr>
                <w:spacing w:val="-60"/>
                <w:sz w:val="24"/>
                <w:szCs w:val="24"/>
              </w:rPr>
              <w:t xml:space="preserve"> </w:t>
            </w:r>
            <w:r>
              <w:rPr>
                <w:spacing w:val="-2"/>
                <w:sz w:val="24"/>
                <w:szCs w:val="24"/>
              </w:rPr>
              <w:t>(1)保养记录:在工程师依照原厂模式对每台设备制定了全面的保养计划</w:t>
            </w:r>
            <w:r>
              <w:rPr>
                <w:sz w:val="24"/>
                <w:szCs w:val="24"/>
              </w:rPr>
              <w:t>并进行保养后，根据维修保养情况记录表的内容，分</w:t>
            </w:r>
            <w:r>
              <w:rPr>
                <w:spacing w:val="-1"/>
                <w:sz w:val="24"/>
                <w:szCs w:val="24"/>
              </w:rPr>
              <w:t>析设备是由于主机故障</w:t>
            </w:r>
            <w:r>
              <w:rPr>
                <w:sz w:val="24"/>
                <w:szCs w:val="24"/>
              </w:rPr>
              <w:t>还是辅助设备故障，追踪设备的故障和维修情况，动</w:t>
            </w:r>
            <w:r>
              <w:rPr>
                <w:spacing w:val="-1"/>
                <w:sz w:val="24"/>
                <w:szCs w:val="24"/>
              </w:rPr>
              <w:t>态掌握和分析设备故障</w:t>
            </w:r>
            <w:r>
              <w:rPr>
                <w:sz w:val="24"/>
                <w:szCs w:val="24"/>
              </w:rPr>
              <w:t>的原因，了解配件的更换情况，并将保养报告单打印</w:t>
            </w:r>
            <w:r>
              <w:rPr>
                <w:spacing w:val="-1"/>
                <w:sz w:val="24"/>
                <w:szCs w:val="24"/>
              </w:rPr>
              <w:t>后与科室负责人及维修</w:t>
            </w:r>
            <w:r>
              <w:rPr>
                <w:sz w:val="24"/>
                <w:szCs w:val="24"/>
              </w:rPr>
              <w:t>组人员签字确认:在系统中详细填写保养报告信息，建</w:t>
            </w:r>
            <w:r>
              <w:rPr>
                <w:spacing w:val="-1"/>
                <w:sz w:val="24"/>
                <w:szCs w:val="24"/>
              </w:rPr>
              <w:t>立每一台设备的保养记</w:t>
            </w:r>
            <w:r>
              <w:rPr>
                <w:spacing w:val="-2"/>
                <w:sz w:val="24"/>
                <w:szCs w:val="24"/>
              </w:rPr>
              <w:t>录数据库。</w:t>
            </w:r>
            <w:r>
              <w:rPr>
                <w:spacing w:val="-60"/>
                <w:sz w:val="24"/>
                <w:szCs w:val="24"/>
              </w:rPr>
              <w:t xml:space="preserve"> </w:t>
            </w:r>
            <w:r>
              <w:rPr>
                <w:spacing w:val="-2"/>
                <w:sz w:val="24"/>
                <w:szCs w:val="24"/>
              </w:rPr>
              <w:t>(2)维修要求:维修必须提供原厂全新配件，所更换的备件为原设</w:t>
            </w:r>
            <w:r>
              <w:rPr>
                <w:sz w:val="24"/>
                <w:szCs w:val="24"/>
              </w:rPr>
              <w:t>备零配件同一生产厂家和同一型号规格的合格零配件</w:t>
            </w:r>
            <w:r>
              <w:rPr>
                <w:spacing w:val="-1"/>
                <w:sz w:val="24"/>
                <w:szCs w:val="24"/>
              </w:rPr>
              <w:t>，并提供零配件的相关</w:t>
            </w:r>
            <w:r>
              <w:rPr>
                <w:sz w:val="24"/>
                <w:szCs w:val="24"/>
              </w:rPr>
              <w:t>材料，包括但不限于:进口产品须提供报关单。（3）维</w:t>
            </w:r>
            <w:r>
              <w:rPr>
                <w:spacing w:val="-1"/>
                <w:sz w:val="24"/>
                <w:szCs w:val="24"/>
              </w:rPr>
              <w:t>修记录:每次维修服务</w:t>
            </w:r>
            <w:r>
              <w:rPr>
                <w:sz w:val="24"/>
                <w:szCs w:val="24"/>
              </w:rPr>
              <w:t>结束后，技术人员负责填写维修报告打印后由医院相关</w:t>
            </w:r>
            <w:r>
              <w:rPr>
                <w:spacing w:val="-1"/>
                <w:sz w:val="24"/>
                <w:szCs w:val="24"/>
              </w:rPr>
              <w:t>人员进行签字确认:在</w:t>
            </w:r>
            <w:r>
              <w:rPr>
                <w:sz w:val="24"/>
                <w:szCs w:val="24"/>
              </w:rPr>
              <w:t>系统中详细填写维修报告信息，建立每一台设备的维</w:t>
            </w:r>
            <w:r>
              <w:rPr>
                <w:spacing w:val="-1"/>
                <w:sz w:val="24"/>
                <w:szCs w:val="24"/>
              </w:rPr>
              <w:t>修记录数据库。以上保</w:t>
            </w:r>
            <w:r>
              <w:rPr>
                <w:sz w:val="24"/>
                <w:szCs w:val="24"/>
              </w:rPr>
              <w:t>养报告单和维修记录单每季度打印纸质版的留于医</w:t>
            </w:r>
            <w:r>
              <w:rPr>
                <w:spacing w:val="-1"/>
                <w:sz w:val="24"/>
                <w:szCs w:val="24"/>
              </w:rPr>
              <w:t>学装备科维修室备查。</w:t>
            </w:r>
          </w:p>
        </w:tc>
      </w:tr>
      <w:tr w14:paraId="2A0EB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5" w:hRule="atLeast"/>
        </w:trPr>
        <w:tc>
          <w:tcPr>
            <w:tcW w:w="561" w:type="pct"/>
            <w:noWrap w:val="0"/>
            <w:vAlign w:val="top"/>
          </w:tcPr>
          <w:p w14:paraId="4E556E51">
            <w:pPr>
              <w:spacing w:line="277" w:lineRule="auto"/>
              <w:jc w:val="center"/>
              <w:rPr>
                <w:rFonts w:ascii="Arial"/>
                <w:sz w:val="24"/>
                <w:szCs w:val="24"/>
              </w:rPr>
            </w:pPr>
          </w:p>
          <w:p w14:paraId="32B03E3D">
            <w:pPr>
              <w:spacing w:line="277" w:lineRule="auto"/>
              <w:jc w:val="center"/>
              <w:rPr>
                <w:rFonts w:ascii="Arial"/>
                <w:sz w:val="24"/>
                <w:szCs w:val="24"/>
              </w:rPr>
            </w:pPr>
          </w:p>
          <w:p w14:paraId="64F1242E">
            <w:pPr>
              <w:spacing w:line="277" w:lineRule="auto"/>
              <w:jc w:val="center"/>
              <w:rPr>
                <w:rFonts w:ascii="Arial"/>
                <w:sz w:val="24"/>
                <w:szCs w:val="24"/>
              </w:rPr>
            </w:pPr>
          </w:p>
          <w:p w14:paraId="77A81189">
            <w:pPr>
              <w:spacing w:line="277" w:lineRule="auto"/>
              <w:jc w:val="center"/>
              <w:rPr>
                <w:rFonts w:ascii="Arial"/>
                <w:sz w:val="24"/>
                <w:szCs w:val="24"/>
              </w:rPr>
            </w:pPr>
          </w:p>
          <w:p w14:paraId="50C06539">
            <w:pPr>
              <w:spacing w:line="277" w:lineRule="auto"/>
              <w:jc w:val="center"/>
              <w:rPr>
                <w:rFonts w:ascii="Arial"/>
                <w:sz w:val="24"/>
                <w:szCs w:val="24"/>
              </w:rPr>
            </w:pPr>
          </w:p>
          <w:p w14:paraId="1E25DC8C">
            <w:pPr>
              <w:spacing w:line="277" w:lineRule="auto"/>
              <w:jc w:val="center"/>
              <w:rPr>
                <w:rFonts w:ascii="Arial"/>
                <w:sz w:val="24"/>
                <w:szCs w:val="24"/>
              </w:rPr>
            </w:pPr>
          </w:p>
          <w:p w14:paraId="3DD0D327">
            <w:pPr>
              <w:pStyle w:val="58"/>
              <w:spacing w:before="78" w:line="227" w:lineRule="auto"/>
              <w:ind w:left="118"/>
              <w:jc w:val="center"/>
              <w:rPr>
                <w:sz w:val="24"/>
                <w:szCs w:val="24"/>
              </w:rPr>
            </w:pPr>
            <w:r>
              <w:rPr>
                <w:spacing w:val="-4"/>
                <w:sz w:val="24"/>
                <w:szCs w:val="24"/>
              </w:rPr>
              <w:t>2.4★</w:t>
            </w:r>
          </w:p>
        </w:tc>
        <w:tc>
          <w:tcPr>
            <w:tcW w:w="4438" w:type="pct"/>
            <w:noWrap w:val="0"/>
            <w:vAlign w:val="center"/>
          </w:tcPr>
          <w:p w14:paraId="5E024095">
            <w:pPr>
              <w:pStyle w:val="58"/>
              <w:spacing w:before="40" w:line="236" w:lineRule="auto"/>
              <w:ind w:left="111" w:right="175"/>
              <w:jc w:val="both"/>
              <w:rPr>
                <w:sz w:val="24"/>
                <w:szCs w:val="24"/>
              </w:rPr>
            </w:pPr>
            <w:r>
              <w:rPr>
                <w:spacing w:val="-2"/>
                <w:sz w:val="24"/>
                <w:szCs w:val="24"/>
              </w:rPr>
              <w:t>服务期内，设备日常维护及保养，具体要求：</w:t>
            </w:r>
            <w:r>
              <w:rPr>
                <w:spacing w:val="-61"/>
                <w:sz w:val="24"/>
                <w:szCs w:val="24"/>
              </w:rPr>
              <w:t xml:space="preserve"> </w:t>
            </w:r>
            <w:r>
              <w:rPr>
                <w:spacing w:val="-2"/>
                <w:sz w:val="24"/>
                <w:szCs w:val="24"/>
              </w:rPr>
              <w:t>(1)工程师根据设备类型对设备的临床使用人员进行日常保养的培训及指导，内容包括:</w:t>
            </w:r>
            <w:r>
              <w:rPr>
                <w:spacing w:val="57"/>
                <w:sz w:val="24"/>
                <w:szCs w:val="24"/>
              </w:rPr>
              <w:t xml:space="preserve"> </w:t>
            </w:r>
            <w:r>
              <w:rPr>
                <w:spacing w:val="-2"/>
                <w:sz w:val="24"/>
                <w:szCs w:val="24"/>
              </w:rPr>
              <w:t>( 保持仪器表面清</w:t>
            </w:r>
            <w:r>
              <w:rPr>
                <w:sz w:val="24"/>
                <w:szCs w:val="24"/>
              </w:rPr>
              <w:t>洁，电压、电源或稳压装置的检查，观察仪器的功</w:t>
            </w:r>
            <w:r>
              <w:rPr>
                <w:spacing w:val="-1"/>
                <w:sz w:val="24"/>
                <w:szCs w:val="24"/>
              </w:rPr>
              <w:t>能、性能是否正常并及时</w:t>
            </w:r>
            <w:r>
              <w:rPr>
                <w:sz w:val="24"/>
                <w:szCs w:val="24"/>
              </w:rPr>
              <w:t>填写使用记录，按要求加注润滑油或保养液，当仪</w:t>
            </w:r>
            <w:r>
              <w:rPr>
                <w:spacing w:val="-1"/>
                <w:sz w:val="24"/>
                <w:szCs w:val="24"/>
              </w:rPr>
              <w:t>器设备发生故障时，除做</w:t>
            </w:r>
            <w:r>
              <w:rPr>
                <w:spacing w:val="-2"/>
                <w:sz w:val="24"/>
                <w:szCs w:val="24"/>
              </w:rPr>
              <w:t>好必要的记录外，要及时通知维修人员，不得私自拆卸等)。</w:t>
            </w:r>
            <w:r>
              <w:rPr>
                <w:spacing w:val="-61"/>
                <w:sz w:val="24"/>
                <w:szCs w:val="24"/>
              </w:rPr>
              <w:t xml:space="preserve"> </w:t>
            </w:r>
            <w:r>
              <w:rPr>
                <w:spacing w:val="-2"/>
                <w:sz w:val="24"/>
                <w:szCs w:val="24"/>
              </w:rPr>
              <w:t>(2)制定设备的</w:t>
            </w:r>
            <w:r>
              <w:rPr>
                <w:sz w:val="24"/>
                <w:szCs w:val="24"/>
              </w:rPr>
              <w:t>定期保养计划，工程师根据厂家保养手册对设备</w:t>
            </w:r>
            <w:r>
              <w:rPr>
                <w:spacing w:val="-1"/>
                <w:sz w:val="24"/>
                <w:szCs w:val="24"/>
              </w:rPr>
              <w:t>进行制度化和规范化的维</w:t>
            </w:r>
            <w:r>
              <w:rPr>
                <w:sz w:val="24"/>
                <w:szCs w:val="24"/>
              </w:rPr>
              <w:t>护、保养，详细记录设备初始状态，做好外观检</w:t>
            </w:r>
            <w:r>
              <w:rPr>
                <w:spacing w:val="-1"/>
                <w:sz w:val="24"/>
                <w:szCs w:val="24"/>
              </w:rPr>
              <w:t>查，清洁保养，功能检查，</w:t>
            </w:r>
            <w:r>
              <w:rPr>
                <w:spacing w:val="-2"/>
                <w:sz w:val="24"/>
                <w:szCs w:val="24"/>
              </w:rPr>
              <w:t>安全检查等，内容包括:</w:t>
            </w:r>
            <w:r>
              <w:rPr>
                <w:rFonts w:hint="eastAsia"/>
                <w:spacing w:val="-2"/>
                <w:sz w:val="24"/>
                <w:szCs w:val="24"/>
                <w:lang w:eastAsia="zh-CN"/>
              </w:rPr>
              <w:t>（</w:t>
            </w:r>
            <w:r>
              <w:rPr>
                <w:spacing w:val="-2"/>
                <w:sz w:val="24"/>
                <w:szCs w:val="24"/>
              </w:rPr>
              <w:t>检查电源插头及电源线有无破损</w:t>
            </w:r>
            <w:r>
              <w:rPr>
                <w:rFonts w:hint="eastAsia"/>
                <w:spacing w:val="-2"/>
                <w:sz w:val="24"/>
                <w:szCs w:val="24"/>
                <w:lang w:eastAsia="zh-CN"/>
              </w:rPr>
              <w:t>；</w:t>
            </w:r>
            <w:r>
              <w:rPr>
                <w:spacing w:val="-2"/>
                <w:sz w:val="24"/>
                <w:szCs w:val="24"/>
              </w:rPr>
              <w:t>检查旋钮和按键</w:t>
            </w:r>
            <w:r>
              <w:rPr>
                <w:sz w:val="24"/>
                <w:szCs w:val="24"/>
              </w:rPr>
              <w:t>有无松动或破损</w:t>
            </w:r>
            <w:r>
              <w:rPr>
                <w:rFonts w:hint="eastAsia"/>
                <w:sz w:val="24"/>
                <w:szCs w:val="24"/>
                <w:lang w:eastAsia="zh-CN"/>
              </w:rPr>
              <w:t>；</w:t>
            </w:r>
            <w:r>
              <w:rPr>
                <w:sz w:val="24"/>
                <w:szCs w:val="24"/>
              </w:rPr>
              <w:t>检查电气、机械连接有无断线或松动</w:t>
            </w:r>
            <w:r>
              <w:rPr>
                <w:rFonts w:hint="eastAsia"/>
                <w:spacing w:val="-1"/>
                <w:sz w:val="24"/>
                <w:szCs w:val="24"/>
                <w:lang w:eastAsia="zh-CN"/>
              </w:rPr>
              <w:t>；</w:t>
            </w:r>
            <w:r>
              <w:rPr>
                <w:spacing w:val="-1"/>
                <w:sz w:val="24"/>
                <w:szCs w:val="24"/>
              </w:rPr>
              <w:t>外观是否整洁，附件</w:t>
            </w:r>
            <w:r>
              <w:rPr>
                <w:sz w:val="24"/>
                <w:szCs w:val="24"/>
              </w:rPr>
              <w:t>有无明显缺陷或异常</w:t>
            </w:r>
            <w:r>
              <w:rPr>
                <w:rFonts w:hint="eastAsia"/>
                <w:sz w:val="24"/>
                <w:szCs w:val="24"/>
                <w:lang w:eastAsia="zh-CN"/>
              </w:rPr>
              <w:t>；</w:t>
            </w:r>
            <w:r>
              <w:rPr>
                <w:sz w:val="24"/>
                <w:szCs w:val="24"/>
              </w:rPr>
              <w:t>设备是否有异音</w:t>
            </w:r>
            <w:r>
              <w:rPr>
                <w:rFonts w:hint="eastAsia"/>
                <w:sz w:val="24"/>
                <w:szCs w:val="24"/>
                <w:lang w:eastAsia="zh-CN"/>
              </w:rPr>
              <w:t>；</w:t>
            </w:r>
            <w:r>
              <w:rPr>
                <w:sz w:val="24"/>
                <w:szCs w:val="24"/>
              </w:rPr>
              <w:t>另外还要检查</w:t>
            </w:r>
            <w:r>
              <w:rPr>
                <w:spacing w:val="-1"/>
                <w:sz w:val="24"/>
                <w:szCs w:val="24"/>
              </w:rPr>
              <w:t>面板按键是否正常及光</w:t>
            </w:r>
            <w:r>
              <w:rPr>
                <w:spacing w:val="-2"/>
                <w:sz w:val="24"/>
                <w:szCs w:val="24"/>
              </w:rPr>
              <w:t>源灯泡亮度是否正常</w:t>
            </w:r>
            <w:r>
              <w:rPr>
                <w:rFonts w:hint="eastAsia"/>
                <w:spacing w:val="-2"/>
                <w:sz w:val="24"/>
                <w:szCs w:val="24"/>
                <w:lang w:eastAsia="zh-CN"/>
              </w:rPr>
              <w:t>）</w:t>
            </w:r>
            <w:r>
              <w:rPr>
                <w:spacing w:val="-2"/>
                <w:sz w:val="24"/>
                <w:szCs w:val="24"/>
              </w:rPr>
              <w:t>。</w:t>
            </w:r>
            <w:r>
              <w:rPr>
                <w:spacing w:val="-60"/>
                <w:sz w:val="24"/>
                <w:szCs w:val="24"/>
              </w:rPr>
              <w:t xml:space="preserve"> </w:t>
            </w:r>
            <w:r>
              <w:rPr>
                <w:spacing w:val="-2"/>
                <w:sz w:val="24"/>
                <w:szCs w:val="24"/>
              </w:rPr>
              <w:t>(3)对整台机器的清洁、调试、使用环境等做出风险</w:t>
            </w:r>
            <w:r>
              <w:rPr>
                <w:sz w:val="24"/>
                <w:szCs w:val="24"/>
              </w:rPr>
              <w:t>评估，详细记录配件更换情况，以维持和保护设备的</w:t>
            </w:r>
            <w:r>
              <w:rPr>
                <w:spacing w:val="-1"/>
                <w:sz w:val="24"/>
                <w:szCs w:val="24"/>
              </w:rPr>
              <w:t>性能和技术，并及时导</w:t>
            </w:r>
            <w:r>
              <w:rPr>
                <w:sz w:val="24"/>
                <w:szCs w:val="24"/>
              </w:rPr>
              <w:t>入系统，建立医疗设备、器械的维修保养记录，通</w:t>
            </w:r>
            <w:r>
              <w:rPr>
                <w:spacing w:val="-1"/>
                <w:sz w:val="24"/>
                <w:szCs w:val="24"/>
              </w:rPr>
              <w:t>过对设备的维护保养工</w:t>
            </w:r>
            <w:r>
              <w:rPr>
                <w:sz w:val="24"/>
                <w:szCs w:val="24"/>
              </w:rPr>
              <w:t>作，把一些故障排除在萌芽状态，保证仪器设备</w:t>
            </w:r>
            <w:r>
              <w:rPr>
                <w:spacing w:val="-1"/>
                <w:sz w:val="24"/>
                <w:szCs w:val="24"/>
              </w:rPr>
              <w:t>的安全、稳定运行，延长使</w:t>
            </w:r>
            <w:r>
              <w:rPr>
                <w:spacing w:val="-2"/>
                <w:sz w:val="24"/>
                <w:szCs w:val="24"/>
              </w:rPr>
              <w:t>用寿命。</w:t>
            </w:r>
            <w:r>
              <w:rPr>
                <w:spacing w:val="-63"/>
                <w:sz w:val="24"/>
                <w:szCs w:val="24"/>
              </w:rPr>
              <w:t xml:space="preserve"> </w:t>
            </w:r>
            <w:r>
              <w:rPr>
                <w:spacing w:val="-2"/>
                <w:sz w:val="24"/>
                <w:szCs w:val="24"/>
              </w:rPr>
              <w:t>(4)工程师在预期维护保养时间之前一周内通知医院相关人员保养时</w:t>
            </w:r>
            <w:r>
              <w:rPr>
                <w:spacing w:val="-6"/>
                <w:sz w:val="24"/>
                <w:szCs w:val="24"/>
              </w:rPr>
              <w:t>间。</w:t>
            </w:r>
          </w:p>
        </w:tc>
      </w:tr>
      <w:tr w14:paraId="401E9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61" w:type="pct"/>
            <w:noWrap w:val="0"/>
            <w:vAlign w:val="top"/>
          </w:tcPr>
          <w:p w14:paraId="390FD444">
            <w:pPr>
              <w:pStyle w:val="58"/>
              <w:spacing w:before="124" w:line="183" w:lineRule="auto"/>
              <w:ind w:left="118"/>
              <w:jc w:val="center"/>
              <w:rPr>
                <w:sz w:val="24"/>
                <w:szCs w:val="24"/>
              </w:rPr>
            </w:pPr>
            <w:r>
              <w:rPr>
                <w:spacing w:val="-5"/>
                <w:sz w:val="24"/>
                <w:szCs w:val="24"/>
              </w:rPr>
              <w:t>2.5</w:t>
            </w:r>
          </w:p>
        </w:tc>
        <w:tc>
          <w:tcPr>
            <w:tcW w:w="4438" w:type="pct"/>
            <w:noWrap w:val="0"/>
            <w:vAlign w:val="center"/>
          </w:tcPr>
          <w:p w14:paraId="0C3B5C76">
            <w:pPr>
              <w:pStyle w:val="58"/>
              <w:spacing w:before="86" w:line="220" w:lineRule="auto"/>
              <w:ind w:left="111"/>
              <w:jc w:val="both"/>
              <w:rPr>
                <w:sz w:val="24"/>
                <w:szCs w:val="24"/>
              </w:rPr>
            </w:pPr>
            <w:r>
              <w:rPr>
                <w:spacing w:val="-1"/>
                <w:sz w:val="24"/>
                <w:szCs w:val="24"/>
              </w:rPr>
              <w:t>服务期内，更换备件标准：</w:t>
            </w:r>
          </w:p>
        </w:tc>
      </w:tr>
      <w:tr w14:paraId="1D7D4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61" w:type="pct"/>
            <w:noWrap w:val="0"/>
            <w:vAlign w:val="top"/>
          </w:tcPr>
          <w:p w14:paraId="446CD1AF">
            <w:pPr>
              <w:pStyle w:val="58"/>
              <w:spacing w:before="151" w:line="184" w:lineRule="auto"/>
              <w:ind w:left="118"/>
              <w:jc w:val="center"/>
              <w:rPr>
                <w:sz w:val="24"/>
                <w:szCs w:val="24"/>
              </w:rPr>
            </w:pPr>
            <w:r>
              <w:rPr>
                <w:spacing w:val="-3"/>
                <w:sz w:val="24"/>
                <w:szCs w:val="24"/>
              </w:rPr>
              <w:t>2.5.1</w:t>
            </w:r>
          </w:p>
        </w:tc>
        <w:tc>
          <w:tcPr>
            <w:tcW w:w="4438" w:type="pct"/>
            <w:noWrap w:val="0"/>
            <w:vAlign w:val="center"/>
          </w:tcPr>
          <w:p w14:paraId="5F759677">
            <w:pPr>
              <w:pStyle w:val="58"/>
              <w:spacing w:before="115" w:line="220" w:lineRule="auto"/>
              <w:ind w:left="113"/>
              <w:jc w:val="both"/>
              <w:rPr>
                <w:sz w:val="24"/>
                <w:szCs w:val="24"/>
              </w:rPr>
            </w:pPr>
            <w:r>
              <w:rPr>
                <w:spacing w:val="-5"/>
                <w:sz w:val="24"/>
                <w:szCs w:val="24"/>
              </w:rPr>
              <w:t>64</w:t>
            </w:r>
            <w:r>
              <w:rPr>
                <w:spacing w:val="-45"/>
                <w:sz w:val="24"/>
                <w:szCs w:val="24"/>
              </w:rPr>
              <w:t xml:space="preserve"> </w:t>
            </w:r>
            <w:r>
              <w:rPr>
                <w:spacing w:val="-5"/>
                <w:sz w:val="24"/>
                <w:szCs w:val="24"/>
              </w:rPr>
              <w:t>排</w:t>
            </w:r>
            <w:r>
              <w:rPr>
                <w:spacing w:val="-52"/>
                <w:sz w:val="24"/>
                <w:szCs w:val="24"/>
              </w:rPr>
              <w:t xml:space="preserve"> </w:t>
            </w:r>
            <w:r>
              <w:rPr>
                <w:spacing w:val="-5"/>
                <w:sz w:val="24"/>
                <w:szCs w:val="24"/>
              </w:rPr>
              <w:t>CT</w:t>
            </w:r>
            <w:r>
              <w:rPr>
                <w:spacing w:val="-51"/>
                <w:sz w:val="24"/>
                <w:szCs w:val="24"/>
              </w:rPr>
              <w:t xml:space="preserve"> </w:t>
            </w:r>
            <w:r>
              <w:rPr>
                <w:spacing w:val="-5"/>
                <w:sz w:val="24"/>
                <w:szCs w:val="24"/>
              </w:rPr>
              <w:t>球管参数</w:t>
            </w:r>
          </w:p>
        </w:tc>
      </w:tr>
      <w:tr w14:paraId="2CD55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61" w:type="pct"/>
            <w:noWrap w:val="0"/>
            <w:vAlign w:val="top"/>
          </w:tcPr>
          <w:p w14:paraId="3DFDC350">
            <w:pPr>
              <w:pStyle w:val="58"/>
              <w:spacing w:before="116" w:line="227" w:lineRule="auto"/>
              <w:ind w:left="118"/>
              <w:jc w:val="center"/>
              <w:rPr>
                <w:sz w:val="24"/>
                <w:szCs w:val="24"/>
              </w:rPr>
            </w:pPr>
            <w:r>
              <w:rPr>
                <w:sz w:val="24"/>
                <w:szCs w:val="24"/>
              </w:rPr>
              <w:fldChar w:fldCharType="begin"/>
            </w:r>
            <w:r>
              <w:rPr>
                <w:sz w:val="24"/>
                <w:szCs w:val="24"/>
              </w:rPr>
              <w:instrText xml:space="preserve"> HYPERLINK "2.5.1.1" </w:instrText>
            </w:r>
            <w:r>
              <w:rPr>
                <w:sz w:val="24"/>
                <w:szCs w:val="24"/>
              </w:rPr>
              <w:fldChar w:fldCharType="separate"/>
            </w:r>
            <w:r>
              <w:rPr>
                <w:spacing w:val="-2"/>
                <w:sz w:val="24"/>
                <w:szCs w:val="24"/>
              </w:rPr>
              <w:t>2.5.1.1</w:t>
            </w:r>
            <w:r>
              <w:rPr>
                <w:spacing w:val="-2"/>
                <w:sz w:val="24"/>
                <w:szCs w:val="24"/>
              </w:rPr>
              <w:fldChar w:fldCharType="end"/>
            </w:r>
            <w:r>
              <w:rPr>
                <w:spacing w:val="-2"/>
                <w:sz w:val="24"/>
                <w:szCs w:val="24"/>
              </w:rPr>
              <w:t>★</w:t>
            </w:r>
          </w:p>
        </w:tc>
        <w:tc>
          <w:tcPr>
            <w:tcW w:w="4438" w:type="pct"/>
            <w:noWrap w:val="0"/>
            <w:vAlign w:val="center"/>
          </w:tcPr>
          <w:p w14:paraId="55D19F5B">
            <w:pPr>
              <w:pStyle w:val="58"/>
              <w:spacing w:before="115" w:line="219" w:lineRule="auto"/>
              <w:ind w:left="129"/>
              <w:jc w:val="both"/>
              <w:rPr>
                <w:sz w:val="24"/>
                <w:szCs w:val="24"/>
              </w:rPr>
            </w:pPr>
            <w:r>
              <w:rPr>
                <w:spacing w:val="-2"/>
                <w:sz w:val="24"/>
                <w:szCs w:val="24"/>
              </w:rPr>
              <w:t>阳极热容量：4.7MJ（6.3MHu)</w:t>
            </w:r>
          </w:p>
        </w:tc>
      </w:tr>
      <w:tr w14:paraId="42996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61" w:type="pct"/>
            <w:noWrap w:val="0"/>
            <w:vAlign w:val="top"/>
          </w:tcPr>
          <w:p w14:paraId="48A283E2">
            <w:pPr>
              <w:pStyle w:val="58"/>
              <w:spacing w:before="153" w:line="184" w:lineRule="auto"/>
              <w:ind w:left="118"/>
              <w:jc w:val="center"/>
              <w:rPr>
                <w:sz w:val="24"/>
                <w:szCs w:val="24"/>
              </w:rPr>
            </w:pPr>
            <w:r>
              <w:rPr>
                <w:sz w:val="24"/>
                <w:szCs w:val="24"/>
              </w:rPr>
              <w:fldChar w:fldCharType="begin"/>
            </w:r>
            <w:r>
              <w:rPr>
                <w:sz w:val="24"/>
                <w:szCs w:val="24"/>
              </w:rPr>
              <w:instrText xml:space="preserve"> HYPERLINK "2.5.1.2" </w:instrText>
            </w:r>
            <w:r>
              <w:rPr>
                <w:sz w:val="24"/>
                <w:szCs w:val="24"/>
              </w:rPr>
              <w:fldChar w:fldCharType="separate"/>
            </w:r>
            <w:r>
              <w:rPr>
                <w:spacing w:val="-2"/>
                <w:sz w:val="24"/>
                <w:szCs w:val="24"/>
              </w:rPr>
              <w:t>2.5.1.2</w:t>
            </w:r>
            <w:r>
              <w:rPr>
                <w:spacing w:val="-2"/>
                <w:sz w:val="24"/>
                <w:szCs w:val="24"/>
              </w:rPr>
              <w:fldChar w:fldCharType="end"/>
            </w:r>
          </w:p>
        </w:tc>
        <w:tc>
          <w:tcPr>
            <w:tcW w:w="4438" w:type="pct"/>
            <w:noWrap w:val="0"/>
            <w:vAlign w:val="center"/>
          </w:tcPr>
          <w:p w14:paraId="6C60CD17">
            <w:pPr>
              <w:pStyle w:val="58"/>
              <w:spacing w:before="116" w:line="219" w:lineRule="auto"/>
              <w:ind w:left="116"/>
              <w:jc w:val="both"/>
              <w:rPr>
                <w:sz w:val="24"/>
                <w:szCs w:val="24"/>
              </w:rPr>
            </w:pPr>
            <w:r>
              <w:rPr>
                <w:spacing w:val="-2"/>
                <w:sz w:val="24"/>
                <w:szCs w:val="24"/>
              </w:rPr>
              <w:t>管套热容量要求不小于</w:t>
            </w:r>
            <w:r>
              <w:rPr>
                <w:spacing w:val="-45"/>
                <w:sz w:val="24"/>
                <w:szCs w:val="24"/>
              </w:rPr>
              <w:t xml:space="preserve"> </w:t>
            </w:r>
            <w:r>
              <w:rPr>
                <w:spacing w:val="-2"/>
                <w:sz w:val="24"/>
                <w:szCs w:val="24"/>
              </w:rPr>
              <w:t>7.4MJ</w:t>
            </w:r>
          </w:p>
        </w:tc>
      </w:tr>
      <w:tr w14:paraId="0C113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532F662F">
            <w:pPr>
              <w:pStyle w:val="58"/>
              <w:spacing w:before="154" w:line="184" w:lineRule="auto"/>
              <w:ind w:left="118"/>
              <w:jc w:val="center"/>
              <w:rPr>
                <w:sz w:val="24"/>
                <w:szCs w:val="24"/>
              </w:rPr>
            </w:pPr>
            <w:r>
              <w:rPr>
                <w:sz w:val="24"/>
                <w:szCs w:val="24"/>
              </w:rPr>
              <w:fldChar w:fldCharType="begin"/>
            </w:r>
            <w:r>
              <w:rPr>
                <w:sz w:val="24"/>
                <w:szCs w:val="24"/>
              </w:rPr>
              <w:instrText xml:space="preserve"> HYPERLINK "2.5.1.3" </w:instrText>
            </w:r>
            <w:r>
              <w:rPr>
                <w:sz w:val="24"/>
                <w:szCs w:val="24"/>
              </w:rPr>
              <w:fldChar w:fldCharType="separate"/>
            </w:r>
            <w:r>
              <w:rPr>
                <w:spacing w:val="-2"/>
                <w:sz w:val="24"/>
                <w:szCs w:val="24"/>
              </w:rPr>
              <w:t>2.5.1.3</w:t>
            </w:r>
            <w:r>
              <w:rPr>
                <w:spacing w:val="-2"/>
                <w:sz w:val="24"/>
                <w:szCs w:val="24"/>
              </w:rPr>
              <w:fldChar w:fldCharType="end"/>
            </w:r>
          </w:p>
        </w:tc>
        <w:tc>
          <w:tcPr>
            <w:tcW w:w="4438" w:type="pct"/>
            <w:noWrap w:val="0"/>
            <w:vAlign w:val="center"/>
          </w:tcPr>
          <w:p w14:paraId="70548188">
            <w:pPr>
              <w:pStyle w:val="58"/>
              <w:spacing w:before="118" w:line="220" w:lineRule="auto"/>
              <w:ind w:left="111"/>
              <w:jc w:val="both"/>
              <w:rPr>
                <w:sz w:val="24"/>
                <w:szCs w:val="24"/>
              </w:rPr>
            </w:pPr>
            <w:r>
              <w:rPr>
                <w:spacing w:val="-6"/>
                <w:sz w:val="24"/>
                <w:szCs w:val="24"/>
              </w:rPr>
              <w:t>焦点数量：</w:t>
            </w:r>
            <w:r>
              <w:rPr>
                <w:spacing w:val="-83"/>
                <w:sz w:val="24"/>
                <w:szCs w:val="24"/>
              </w:rPr>
              <w:t xml:space="preserve"> </w:t>
            </w:r>
            <w:r>
              <w:rPr>
                <w:spacing w:val="-6"/>
                <w:sz w:val="24"/>
                <w:szCs w:val="24"/>
              </w:rPr>
              <w:t>≥两个</w:t>
            </w:r>
          </w:p>
        </w:tc>
      </w:tr>
      <w:tr w14:paraId="3A6C6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79967EE2">
            <w:pPr>
              <w:pStyle w:val="58"/>
              <w:spacing w:before="154" w:line="184" w:lineRule="auto"/>
              <w:ind w:left="118"/>
              <w:jc w:val="center"/>
              <w:rPr>
                <w:sz w:val="24"/>
                <w:szCs w:val="24"/>
              </w:rPr>
            </w:pPr>
            <w:r>
              <w:rPr>
                <w:sz w:val="24"/>
                <w:szCs w:val="24"/>
              </w:rPr>
              <w:fldChar w:fldCharType="begin"/>
            </w:r>
            <w:r>
              <w:rPr>
                <w:sz w:val="24"/>
                <w:szCs w:val="24"/>
              </w:rPr>
              <w:instrText xml:space="preserve"> HYPERLINK "2.5.1.4" </w:instrText>
            </w:r>
            <w:r>
              <w:rPr>
                <w:sz w:val="24"/>
                <w:szCs w:val="24"/>
              </w:rPr>
              <w:fldChar w:fldCharType="separate"/>
            </w:r>
            <w:r>
              <w:rPr>
                <w:spacing w:val="-2"/>
                <w:sz w:val="24"/>
                <w:szCs w:val="24"/>
              </w:rPr>
              <w:t>2.5.1.4</w:t>
            </w:r>
            <w:r>
              <w:rPr>
                <w:spacing w:val="-2"/>
                <w:sz w:val="24"/>
                <w:szCs w:val="24"/>
              </w:rPr>
              <w:fldChar w:fldCharType="end"/>
            </w:r>
          </w:p>
        </w:tc>
        <w:tc>
          <w:tcPr>
            <w:tcW w:w="4438" w:type="pct"/>
            <w:noWrap w:val="0"/>
            <w:vAlign w:val="center"/>
          </w:tcPr>
          <w:p w14:paraId="56A871FE">
            <w:pPr>
              <w:pStyle w:val="58"/>
              <w:spacing w:before="118" w:line="219" w:lineRule="auto"/>
              <w:ind w:left="111"/>
              <w:jc w:val="both"/>
              <w:rPr>
                <w:sz w:val="24"/>
                <w:szCs w:val="24"/>
              </w:rPr>
            </w:pPr>
            <w:r>
              <w:rPr>
                <w:sz w:val="24"/>
                <w:szCs w:val="24"/>
              </w:rPr>
              <w:t>焦点尺寸（IEC 336/2005</w:t>
            </w:r>
            <w:r>
              <w:rPr>
                <w:spacing w:val="8"/>
                <w:sz w:val="24"/>
                <w:szCs w:val="24"/>
              </w:rPr>
              <w:t>）：</w:t>
            </w:r>
            <w:r>
              <w:rPr>
                <w:sz w:val="24"/>
                <w:szCs w:val="24"/>
              </w:rPr>
              <w:t>小焦点≤</w:t>
            </w:r>
            <w:r>
              <w:rPr>
                <w:spacing w:val="-1"/>
                <w:sz w:val="24"/>
                <w:szCs w:val="24"/>
              </w:rPr>
              <w:t>0.9mm*0.7mm；大焦点≥1.2mm*1.1mm</w:t>
            </w:r>
          </w:p>
        </w:tc>
      </w:tr>
      <w:tr w14:paraId="17FD8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481504DA">
            <w:pPr>
              <w:pStyle w:val="58"/>
              <w:spacing w:before="154" w:line="184" w:lineRule="auto"/>
              <w:ind w:left="118"/>
              <w:jc w:val="center"/>
              <w:rPr>
                <w:sz w:val="24"/>
                <w:szCs w:val="24"/>
              </w:rPr>
            </w:pPr>
            <w:r>
              <w:rPr>
                <w:sz w:val="24"/>
                <w:szCs w:val="24"/>
              </w:rPr>
              <w:fldChar w:fldCharType="begin"/>
            </w:r>
            <w:r>
              <w:rPr>
                <w:sz w:val="24"/>
                <w:szCs w:val="24"/>
              </w:rPr>
              <w:instrText xml:space="preserve"> HYPERLINK "2.5.1.5" </w:instrText>
            </w:r>
            <w:r>
              <w:rPr>
                <w:sz w:val="24"/>
                <w:szCs w:val="24"/>
              </w:rPr>
              <w:fldChar w:fldCharType="separate"/>
            </w:r>
            <w:r>
              <w:rPr>
                <w:spacing w:val="-2"/>
                <w:sz w:val="24"/>
                <w:szCs w:val="24"/>
              </w:rPr>
              <w:t>2.5.1.5</w:t>
            </w:r>
            <w:r>
              <w:rPr>
                <w:spacing w:val="-2"/>
                <w:sz w:val="24"/>
                <w:szCs w:val="24"/>
              </w:rPr>
              <w:fldChar w:fldCharType="end"/>
            </w:r>
          </w:p>
        </w:tc>
        <w:tc>
          <w:tcPr>
            <w:tcW w:w="4438" w:type="pct"/>
            <w:noWrap w:val="0"/>
            <w:vAlign w:val="center"/>
          </w:tcPr>
          <w:p w14:paraId="53E49909">
            <w:pPr>
              <w:pStyle w:val="58"/>
              <w:spacing w:before="118" w:line="220" w:lineRule="auto"/>
              <w:ind w:left="111"/>
              <w:jc w:val="both"/>
              <w:rPr>
                <w:sz w:val="24"/>
                <w:szCs w:val="24"/>
              </w:rPr>
            </w:pPr>
            <w:r>
              <w:rPr>
                <w:spacing w:val="-1"/>
                <w:sz w:val="24"/>
                <w:szCs w:val="24"/>
              </w:rPr>
              <w:t>焦点功率要求最大≥72KW</w:t>
            </w:r>
          </w:p>
        </w:tc>
      </w:tr>
      <w:tr w14:paraId="7FA14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61F4BCD5">
            <w:pPr>
              <w:pStyle w:val="58"/>
              <w:spacing w:before="154" w:line="184" w:lineRule="auto"/>
              <w:ind w:left="118"/>
              <w:jc w:val="center"/>
              <w:rPr>
                <w:sz w:val="24"/>
                <w:szCs w:val="24"/>
              </w:rPr>
            </w:pPr>
            <w:r>
              <w:rPr>
                <w:sz w:val="24"/>
                <w:szCs w:val="24"/>
              </w:rPr>
              <w:fldChar w:fldCharType="begin"/>
            </w:r>
            <w:r>
              <w:rPr>
                <w:sz w:val="24"/>
                <w:szCs w:val="24"/>
              </w:rPr>
              <w:instrText xml:space="preserve"> HYPERLINK "2.5.1.6" </w:instrText>
            </w:r>
            <w:r>
              <w:rPr>
                <w:sz w:val="24"/>
                <w:szCs w:val="24"/>
              </w:rPr>
              <w:fldChar w:fldCharType="separate"/>
            </w:r>
            <w:r>
              <w:rPr>
                <w:spacing w:val="-2"/>
                <w:sz w:val="24"/>
                <w:szCs w:val="24"/>
              </w:rPr>
              <w:t>2.5.1.6</w:t>
            </w:r>
            <w:r>
              <w:rPr>
                <w:spacing w:val="-2"/>
                <w:sz w:val="24"/>
                <w:szCs w:val="24"/>
              </w:rPr>
              <w:fldChar w:fldCharType="end"/>
            </w:r>
          </w:p>
        </w:tc>
        <w:tc>
          <w:tcPr>
            <w:tcW w:w="4438" w:type="pct"/>
            <w:noWrap w:val="0"/>
            <w:vAlign w:val="center"/>
          </w:tcPr>
          <w:p w14:paraId="2505D27E">
            <w:pPr>
              <w:pStyle w:val="58"/>
              <w:spacing w:before="118" w:line="220" w:lineRule="auto"/>
              <w:ind w:left="129"/>
              <w:jc w:val="both"/>
              <w:rPr>
                <w:sz w:val="24"/>
                <w:szCs w:val="24"/>
              </w:rPr>
            </w:pPr>
            <w:r>
              <w:rPr>
                <w:spacing w:val="-3"/>
                <w:sz w:val="24"/>
                <w:szCs w:val="24"/>
              </w:rPr>
              <w:t>120KV</w:t>
            </w:r>
            <w:r>
              <w:rPr>
                <w:spacing w:val="-35"/>
                <w:sz w:val="24"/>
                <w:szCs w:val="24"/>
              </w:rPr>
              <w:t xml:space="preserve"> </w:t>
            </w:r>
            <w:r>
              <w:rPr>
                <w:spacing w:val="-3"/>
                <w:sz w:val="24"/>
                <w:szCs w:val="24"/>
              </w:rPr>
              <w:t>时最大毫安输出≥600mA</w:t>
            </w:r>
          </w:p>
        </w:tc>
      </w:tr>
      <w:tr w14:paraId="2695E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204CFA3F">
            <w:pPr>
              <w:pStyle w:val="58"/>
              <w:spacing w:before="154" w:line="184" w:lineRule="auto"/>
              <w:ind w:left="118"/>
              <w:jc w:val="center"/>
              <w:rPr>
                <w:sz w:val="24"/>
                <w:szCs w:val="24"/>
              </w:rPr>
            </w:pPr>
            <w:r>
              <w:rPr>
                <w:sz w:val="24"/>
                <w:szCs w:val="24"/>
              </w:rPr>
              <w:fldChar w:fldCharType="begin"/>
            </w:r>
            <w:r>
              <w:rPr>
                <w:sz w:val="24"/>
                <w:szCs w:val="24"/>
              </w:rPr>
              <w:instrText xml:space="preserve"> HYPERLINK "2.5.1.7" </w:instrText>
            </w:r>
            <w:r>
              <w:rPr>
                <w:sz w:val="24"/>
                <w:szCs w:val="24"/>
              </w:rPr>
              <w:fldChar w:fldCharType="separate"/>
            </w:r>
            <w:r>
              <w:rPr>
                <w:spacing w:val="-2"/>
                <w:sz w:val="24"/>
                <w:szCs w:val="24"/>
              </w:rPr>
              <w:t>2.5.1.7</w:t>
            </w:r>
            <w:r>
              <w:rPr>
                <w:spacing w:val="-2"/>
                <w:sz w:val="24"/>
                <w:szCs w:val="24"/>
              </w:rPr>
              <w:fldChar w:fldCharType="end"/>
            </w:r>
          </w:p>
        </w:tc>
        <w:tc>
          <w:tcPr>
            <w:tcW w:w="4438" w:type="pct"/>
            <w:noWrap w:val="0"/>
            <w:vAlign w:val="center"/>
          </w:tcPr>
          <w:p w14:paraId="79839E51">
            <w:pPr>
              <w:pStyle w:val="58"/>
              <w:spacing w:before="118" w:line="219" w:lineRule="auto"/>
              <w:ind w:left="116"/>
              <w:jc w:val="both"/>
              <w:rPr>
                <w:sz w:val="24"/>
                <w:szCs w:val="24"/>
              </w:rPr>
            </w:pPr>
            <w:r>
              <w:rPr>
                <w:spacing w:val="-1"/>
                <w:sz w:val="24"/>
                <w:szCs w:val="24"/>
              </w:rPr>
              <w:t>管套出线窗口</w:t>
            </w:r>
            <w:r>
              <w:rPr>
                <w:spacing w:val="-45"/>
                <w:sz w:val="24"/>
                <w:szCs w:val="24"/>
              </w:rPr>
              <w:t xml:space="preserve"> </w:t>
            </w:r>
            <w:r>
              <w:rPr>
                <w:spacing w:val="-1"/>
                <w:sz w:val="24"/>
                <w:szCs w:val="24"/>
              </w:rPr>
              <w:t>FOV（Field of View）尺寸：40mm</w:t>
            </w:r>
          </w:p>
        </w:tc>
      </w:tr>
      <w:tr w14:paraId="2E178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129C3E14">
            <w:pPr>
              <w:pStyle w:val="58"/>
              <w:spacing w:before="154" w:line="184" w:lineRule="auto"/>
              <w:ind w:left="118"/>
              <w:jc w:val="center"/>
              <w:rPr>
                <w:sz w:val="24"/>
                <w:szCs w:val="24"/>
              </w:rPr>
            </w:pPr>
            <w:r>
              <w:rPr>
                <w:sz w:val="24"/>
                <w:szCs w:val="24"/>
              </w:rPr>
              <w:fldChar w:fldCharType="begin"/>
            </w:r>
            <w:r>
              <w:rPr>
                <w:sz w:val="24"/>
                <w:szCs w:val="24"/>
              </w:rPr>
              <w:instrText xml:space="preserve"> HYPERLINK "2.5.1.8" </w:instrText>
            </w:r>
            <w:r>
              <w:rPr>
                <w:sz w:val="24"/>
                <w:szCs w:val="24"/>
              </w:rPr>
              <w:fldChar w:fldCharType="separate"/>
            </w:r>
            <w:r>
              <w:rPr>
                <w:spacing w:val="-2"/>
                <w:sz w:val="24"/>
                <w:szCs w:val="24"/>
              </w:rPr>
              <w:t>2.5.1.8</w:t>
            </w:r>
            <w:r>
              <w:rPr>
                <w:spacing w:val="-2"/>
                <w:sz w:val="24"/>
                <w:szCs w:val="24"/>
              </w:rPr>
              <w:fldChar w:fldCharType="end"/>
            </w:r>
          </w:p>
        </w:tc>
        <w:tc>
          <w:tcPr>
            <w:tcW w:w="4438" w:type="pct"/>
            <w:noWrap w:val="0"/>
            <w:vAlign w:val="center"/>
          </w:tcPr>
          <w:p w14:paraId="5F21F5B6">
            <w:pPr>
              <w:pStyle w:val="58"/>
              <w:spacing w:before="118" w:line="220" w:lineRule="auto"/>
              <w:ind w:left="112"/>
              <w:jc w:val="both"/>
              <w:rPr>
                <w:sz w:val="24"/>
                <w:szCs w:val="24"/>
              </w:rPr>
            </w:pPr>
            <w:r>
              <w:rPr>
                <w:spacing w:val="-3"/>
                <w:sz w:val="24"/>
                <w:szCs w:val="24"/>
              </w:rPr>
              <w:t>支持</w:t>
            </w:r>
            <w:r>
              <w:rPr>
                <w:spacing w:val="-38"/>
                <w:sz w:val="24"/>
                <w:szCs w:val="24"/>
              </w:rPr>
              <w:t xml:space="preserve"> </w:t>
            </w:r>
            <w:r>
              <w:rPr>
                <w:spacing w:val="-3"/>
                <w:sz w:val="24"/>
                <w:szCs w:val="24"/>
              </w:rPr>
              <w:t>0.35</w:t>
            </w:r>
            <w:r>
              <w:rPr>
                <w:spacing w:val="-52"/>
                <w:sz w:val="24"/>
                <w:szCs w:val="24"/>
              </w:rPr>
              <w:t xml:space="preserve"> </w:t>
            </w:r>
            <w:r>
              <w:rPr>
                <w:spacing w:val="-3"/>
                <w:sz w:val="24"/>
                <w:szCs w:val="24"/>
              </w:rPr>
              <w:t>秒每圈的高速旋转</w:t>
            </w:r>
          </w:p>
        </w:tc>
      </w:tr>
      <w:tr w14:paraId="439DB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41815C23">
            <w:pPr>
              <w:pStyle w:val="58"/>
              <w:spacing w:before="154" w:line="184" w:lineRule="auto"/>
              <w:ind w:left="118"/>
              <w:jc w:val="center"/>
              <w:rPr>
                <w:sz w:val="24"/>
                <w:szCs w:val="24"/>
              </w:rPr>
            </w:pPr>
            <w:r>
              <w:rPr>
                <w:sz w:val="24"/>
                <w:szCs w:val="24"/>
              </w:rPr>
              <w:fldChar w:fldCharType="begin"/>
            </w:r>
            <w:r>
              <w:rPr>
                <w:sz w:val="24"/>
                <w:szCs w:val="24"/>
              </w:rPr>
              <w:instrText xml:space="preserve"> HYPERLINK "2.5.1.9" </w:instrText>
            </w:r>
            <w:r>
              <w:rPr>
                <w:sz w:val="24"/>
                <w:szCs w:val="24"/>
              </w:rPr>
              <w:fldChar w:fldCharType="separate"/>
            </w:r>
            <w:r>
              <w:rPr>
                <w:spacing w:val="-2"/>
                <w:sz w:val="24"/>
                <w:szCs w:val="24"/>
              </w:rPr>
              <w:t>2.5.1.9</w:t>
            </w:r>
            <w:r>
              <w:rPr>
                <w:spacing w:val="-2"/>
                <w:sz w:val="24"/>
                <w:szCs w:val="24"/>
              </w:rPr>
              <w:fldChar w:fldCharType="end"/>
            </w:r>
          </w:p>
        </w:tc>
        <w:tc>
          <w:tcPr>
            <w:tcW w:w="4438" w:type="pct"/>
            <w:noWrap w:val="0"/>
            <w:vAlign w:val="center"/>
          </w:tcPr>
          <w:p w14:paraId="7073FC67">
            <w:pPr>
              <w:pStyle w:val="58"/>
              <w:spacing w:before="118" w:line="219" w:lineRule="auto"/>
              <w:ind w:left="111"/>
              <w:jc w:val="both"/>
              <w:rPr>
                <w:sz w:val="24"/>
                <w:szCs w:val="24"/>
              </w:rPr>
            </w:pPr>
            <w:r>
              <w:rPr>
                <w:spacing w:val="-2"/>
                <w:sz w:val="24"/>
                <w:szCs w:val="24"/>
              </w:rPr>
              <w:t>球管拥有</w:t>
            </w:r>
            <w:r>
              <w:rPr>
                <w:spacing w:val="-58"/>
                <w:sz w:val="24"/>
                <w:szCs w:val="24"/>
              </w:rPr>
              <w:t xml:space="preserve"> </w:t>
            </w:r>
            <w:r>
              <w:rPr>
                <w:spacing w:val="-2"/>
                <w:sz w:val="24"/>
                <w:szCs w:val="24"/>
              </w:rPr>
              <w:t>ASiR</w:t>
            </w:r>
            <w:r>
              <w:rPr>
                <w:spacing w:val="-46"/>
                <w:sz w:val="24"/>
                <w:szCs w:val="24"/>
              </w:rPr>
              <w:t xml:space="preserve"> </w:t>
            </w:r>
            <w:r>
              <w:rPr>
                <w:spacing w:val="-2"/>
                <w:sz w:val="24"/>
                <w:szCs w:val="24"/>
              </w:rPr>
              <w:t>芯片，并提供接口，以支持</w:t>
            </w:r>
            <w:r>
              <w:rPr>
                <w:spacing w:val="-3"/>
                <w:sz w:val="24"/>
                <w:szCs w:val="24"/>
              </w:rPr>
              <w:t>小宝石</w:t>
            </w:r>
            <w:r>
              <w:rPr>
                <w:spacing w:val="-52"/>
                <w:sz w:val="24"/>
                <w:szCs w:val="24"/>
              </w:rPr>
              <w:t xml:space="preserve"> </w:t>
            </w:r>
            <w:r>
              <w:rPr>
                <w:spacing w:val="-3"/>
                <w:sz w:val="24"/>
                <w:szCs w:val="24"/>
              </w:rPr>
              <w:t>CT</w:t>
            </w:r>
            <w:r>
              <w:rPr>
                <w:spacing w:val="-31"/>
                <w:sz w:val="24"/>
                <w:szCs w:val="24"/>
              </w:rPr>
              <w:t xml:space="preserve"> </w:t>
            </w:r>
            <w:r>
              <w:rPr>
                <w:spacing w:val="-3"/>
                <w:sz w:val="24"/>
                <w:szCs w:val="24"/>
              </w:rPr>
              <w:t>的</w:t>
            </w:r>
            <w:r>
              <w:rPr>
                <w:spacing w:val="-58"/>
                <w:sz w:val="24"/>
                <w:szCs w:val="24"/>
              </w:rPr>
              <w:t xml:space="preserve"> </w:t>
            </w:r>
            <w:r>
              <w:rPr>
                <w:spacing w:val="-3"/>
                <w:sz w:val="24"/>
                <w:szCs w:val="24"/>
              </w:rPr>
              <w:t>ASiR</w:t>
            </w:r>
            <w:r>
              <w:rPr>
                <w:spacing w:val="-50"/>
                <w:sz w:val="24"/>
                <w:szCs w:val="24"/>
              </w:rPr>
              <w:t xml:space="preserve"> </w:t>
            </w:r>
            <w:r>
              <w:rPr>
                <w:spacing w:val="-3"/>
                <w:sz w:val="24"/>
                <w:szCs w:val="24"/>
              </w:rPr>
              <w:t>技术</w:t>
            </w:r>
          </w:p>
        </w:tc>
      </w:tr>
      <w:tr w14:paraId="1FA58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4CE8EA80">
            <w:pPr>
              <w:pStyle w:val="58"/>
              <w:spacing w:before="154" w:line="184" w:lineRule="auto"/>
              <w:ind w:left="118"/>
              <w:jc w:val="center"/>
              <w:rPr>
                <w:sz w:val="24"/>
                <w:szCs w:val="24"/>
              </w:rPr>
            </w:pPr>
            <w:r>
              <w:rPr>
                <w:sz w:val="24"/>
                <w:szCs w:val="24"/>
              </w:rPr>
              <w:fldChar w:fldCharType="begin"/>
            </w:r>
            <w:r>
              <w:rPr>
                <w:sz w:val="24"/>
                <w:szCs w:val="24"/>
              </w:rPr>
              <w:instrText xml:space="preserve"> HYPERLINK "2.5.1.10" </w:instrText>
            </w:r>
            <w:r>
              <w:rPr>
                <w:sz w:val="24"/>
                <w:szCs w:val="24"/>
              </w:rPr>
              <w:fldChar w:fldCharType="separate"/>
            </w:r>
            <w:r>
              <w:rPr>
                <w:spacing w:val="-2"/>
                <w:sz w:val="24"/>
                <w:szCs w:val="24"/>
              </w:rPr>
              <w:t>2.5.1.10</w:t>
            </w:r>
            <w:r>
              <w:rPr>
                <w:spacing w:val="-2"/>
                <w:sz w:val="24"/>
                <w:szCs w:val="24"/>
              </w:rPr>
              <w:fldChar w:fldCharType="end"/>
            </w:r>
          </w:p>
        </w:tc>
        <w:tc>
          <w:tcPr>
            <w:tcW w:w="4438" w:type="pct"/>
            <w:noWrap w:val="0"/>
            <w:vAlign w:val="center"/>
          </w:tcPr>
          <w:p w14:paraId="6074E8E2">
            <w:pPr>
              <w:pStyle w:val="58"/>
              <w:spacing w:before="118" w:line="220" w:lineRule="auto"/>
              <w:ind w:left="111"/>
              <w:jc w:val="both"/>
              <w:rPr>
                <w:sz w:val="24"/>
                <w:szCs w:val="24"/>
              </w:rPr>
            </w:pPr>
            <w:r>
              <w:rPr>
                <w:spacing w:val="-1"/>
                <w:sz w:val="24"/>
                <w:szCs w:val="24"/>
              </w:rPr>
              <w:t>球管最大额定电压≥140KV</w:t>
            </w:r>
          </w:p>
        </w:tc>
      </w:tr>
      <w:tr w14:paraId="639A7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6927B7EF">
            <w:pPr>
              <w:pStyle w:val="58"/>
              <w:spacing w:before="154" w:line="184" w:lineRule="auto"/>
              <w:ind w:left="118"/>
              <w:jc w:val="center"/>
              <w:rPr>
                <w:sz w:val="24"/>
                <w:szCs w:val="24"/>
              </w:rPr>
            </w:pPr>
            <w:r>
              <w:rPr>
                <w:sz w:val="24"/>
                <w:szCs w:val="24"/>
              </w:rPr>
              <w:fldChar w:fldCharType="begin"/>
            </w:r>
            <w:r>
              <w:rPr>
                <w:sz w:val="24"/>
                <w:szCs w:val="24"/>
              </w:rPr>
              <w:instrText xml:space="preserve"> HYPERLINK "2.5.1.11" </w:instrText>
            </w:r>
            <w:r>
              <w:rPr>
                <w:sz w:val="24"/>
                <w:szCs w:val="24"/>
              </w:rPr>
              <w:fldChar w:fldCharType="separate"/>
            </w:r>
            <w:r>
              <w:rPr>
                <w:spacing w:val="-2"/>
                <w:sz w:val="24"/>
                <w:szCs w:val="24"/>
              </w:rPr>
              <w:t>2.5.1.11</w:t>
            </w:r>
            <w:r>
              <w:rPr>
                <w:spacing w:val="-2"/>
                <w:sz w:val="24"/>
                <w:szCs w:val="24"/>
              </w:rPr>
              <w:fldChar w:fldCharType="end"/>
            </w:r>
          </w:p>
        </w:tc>
        <w:tc>
          <w:tcPr>
            <w:tcW w:w="4438" w:type="pct"/>
            <w:noWrap w:val="0"/>
            <w:vAlign w:val="center"/>
          </w:tcPr>
          <w:p w14:paraId="7A2932A5">
            <w:pPr>
              <w:pStyle w:val="58"/>
              <w:spacing w:before="118" w:line="219" w:lineRule="auto"/>
              <w:ind w:left="129"/>
              <w:jc w:val="both"/>
              <w:rPr>
                <w:sz w:val="24"/>
                <w:szCs w:val="24"/>
              </w:rPr>
            </w:pPr>
            <w:r>
              <w:rPr>
                <w:spacing w:val="-4"/>
                <w:sz w:val="24"/>
                <w:szCs w:val="24"/>
              </w:rPr>
              <w:t>阳极靶面角度：7</w:t>
            </w:r>
            <w:r>
              <w:rPr>
                <w:spacing w:val="-44"/>
                <w:sz w:val="24"/>
                <w:szCs w:val="24"/>
              </w:rPr>
              <w:t xml:space="preserve"> </w:t>
            </w:r>
            <w:r>
              <w:rPr>
                <w:spacing w:val="-4"/>
                <w:sz w:val="24"/>
                <w:szCs w:val="24"/>
              </w:rPr>
              <w:t>度</w:t>
            </w:r>
          </w:p>
        </w:tc>
      </w:tr>
      <w:tr w14:paraId="5DA61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57093272">
            <w:pPr>
              <w:pStyle w:val="58"/>
              <w:spacing w:before="157" w:line="183" w:lineRule="auto"/>
              <w:ind w:left="118"/>
              <w:jc w:val="center"/>
              <w:rPr>
                <w:sz w:val="24"/>
                <w:szCs w:val="24"/>
              </w:rPr>
            </w:pPr>
            <w:r>
              <w:rPr>
                <w:sz w:val="24"/>
                <w:szCs w:val="24"/>
              </w:rPr>
              <w:fldChar w:fldCharType="begin"/>
            </w:r>
            <w:r>
              <w:rPr>
                <w:sz w:val="24"/>
                <w:szCs w:val="24"/>
              </w:rPr>
              <w:instrText xml:space="preserve"> HYPERLINK "2.5.2.8" </w:instrText>
            </w:r>
            <w:r>
              <w:rPr>
                <w:sz w:val="24"/>
                <w:szCs w:val="24"/>
              </w:rPr>
              <w:fldChar w:fldCharType="separate"/>
            </w:r>
            <w:r>
              <w:rPr>
                <w:spacing w:val="-2"/>
                <w:sz w:val="24"/>
                <w:szCs w:val="24"/>
              </w:rPr>
              <w:t>2.5.2.8</w:t>
            </w:r>
            <w:r>
              <w:rPr>
                <w:spacing w:val="-2"/>
                <w:sz w:val="24"/>
                <w:szCs w:val="24"/>
              </w:rPr>
              <w:fldChar w:fldCharType="end"/>
            </w:r>
          </w:p>
        </w:tc>
        <w:tc>
          <w:tcPr>
            <w:tcW w:w="4438" w:type="pct"/>
            <w:noWrap w:val="0"/>
            <w:vAlign w:val="center"/>
          </w:tcPr>
          <w:p w14:paraId="54B9DE41">
            <w:pPr>
              <w:pStyle w:val="58"/>
              <w:spacing w:before="119" w:line="220" w:lineRule="auto"/>
              <w:ind w:left="112"/>
              <w:jc w:val="both"/>
              <w:rPr>
                <w:sz w:val="24"/>
                <w:szCs w:val="24"/>
              </w:rPr>
            </w:pPr>
            <w:r>
              <w:rPr>
                <w:spacing w:val="-3"/>
                <w:sz w:val="24"/>
                <w:szCs w:val="24"/>
              </w:rPr>
              <w:t>支持</w:t>
            </w:r>
            <w:r>
              <w:rPr>
                <w:spacing w:val="-41"/>
                <w:sz w:val="24"/>
                <w:szCs w:val="24"/>
              </w:rPr>
              <w:t xml:space="preserve"> </w:t>
            </w:r>
            <w:r>
              <w:rPr>
                <w:spacing w:val="-3"/>
                <w:sz w:val="24"/>
                <w:szCs w:val="24"/>
              </w:rPr>
              <w:t>0.5</w:t>
            </w:r>
            <w:r>
              <w:rPr>
                <w:spacing w:val="-52"/>
                <w:sz w:val="24"/>
                <w:szCs w:val="24"/>
              </w:rPr>
              <w:t xml:space="preserve"> </w:t>
            </w:r>
            <w:r>
              <w:rPr>
                <w:spacing w:val="-3"/>
                <w:sz w:val="24"/>
                <w:szCs w:val="24"/>
              </w:rPr>
              <w:t>秒每圈的高速旋转</w:t>
            </w:r>
          </w:p>
        </w:tc>
      </w:tr>
      <w:tr w14:paraId="0C7FE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561" w:type="pct"/>
            <w:noWrap w:val="0"/>
            <w:vAlign w:val="top"/>
          </w:tcPr>
          <w:p w14:paraId="28D8B0A7">
            <w:pPr>
              <w:spacing w:line="270" w:lineRule="auto"/>
              <w:jc w:val="center"/>
              <w:rPr>
                <w:rFonts w:ascii="Arial"/>
                <w:sz w:val="24"/>
                <w:szCs w:val="24"/>
              </w:rPr>
            </w:pPr>
          </w:p>
          <w:p w14:paraId="5B2D080D">
            <w:pPr>
              <w:pStyle w:val="58"/>
              <w:spacing w:before="78" w:line="227" w:lineRule="auto"/>
              <w:ind w:left="118"/>
              <w:jc w:val="center"/>
              <w:rPr>
                <w:sz w:val="24"/>
                <w:szCs w:val="24"/>
              </w:rPr>
            </w:pPr>
            <w:r>
              <w:rPr>
                <w:spacing w:val="-3"/>
                <w:sz w:val="24"/>
                <w:szCs w:val="24"/>
              </w:rPr>
              <w:t>2.5.3★</w:t>
            </w:r>
          </w:p>
        </w:tc>
        <w:tc>
          <w:tcPr>
            <w:tcW w:w="4438" w:type="pct"/>
            <w:noWrap w:val="0"/>
            <w:vAlign w:val="center"/>
          </w:tcPr>
          <w:p w14:paraId="4A5B67B1">
            <w:pPr>
              <w:pStyle w:val="58"/>
              <w:spacing w:before="40" w:line="228" w:lineRule="auto"/>
              <w:ind w:left="111" w:right="295" w:firstLine="3"/>
              <w:jc w:val="both"/>
              <w:rPr>
                <w:sz w:val="24"/>
                <w:szCs w:val="24"/>
              </w:rPr>
            </w:pPr>
            <w:r>
              <w:rPr>
                <w:sz w:val="24"/>
                <w:szCs w:val="24"/>
              </w:rPr>
              <w:t>投标人须承诺所有更换的零部件应为原厂认</w:t>
            </w:r>
            <w:r>
              <w:rPr>
                <w:spacing w:val="-1"/>
                <w:sz w:val="24"/>
                <w:szCs w:val="24"/>
              </w:rPr>
              <w:t>证测试合格件,有追踪号码；梯</w:t>
            </w:r>
            <w:r>
              <w:rPr>
                <w:sz w:val="24"/>
                <w:szCs w:val="24"/>
              </w:rPr>
              <w:t xml:space="preserve">  度、射频、球管、探测器等重要部件，提供相应的合</w:t>
            </w:r>
            <w:r>
              <w:rPr>
                <w:spacing w:val="-1"/>
                <w:sz w:val="24"/>
                <w:szCs w:val="24"/>
              </w:rPr>
              <w:t>法原厂来源证明（如服</w:t>
            </w:r>
            <w:r>
              <w:rPr>
                <w:sz w:val="24"/>
                <w:szCs w:val="24"/>
              </w:rPr>
              <w:t xml:space="preserve"> </w:t>
            </w:r>
            <w:r>
              <w:rPr>
                <w:spacing w:val="-1"/>
                <w:sz w:val="24"/>
                <w:szCs w:val="24"/>
              </w:rPr>
              <w:t>务期内不按照承诺执行，采购人有权单方解除合同）。</w:t>
            </w:r>
          </w:p>
          <w:p w14:paraId="5DB61518">
            <w:pPr>
              <w:pStyle w:val="58"/>
              <w:spacing w:before="42" w:line="219" w:lineRule="auto"/>
              <w:ind w:left="114"/>
              <w:jc w:val="both"/>
              <w:rPr>
                <w:sz w:val="24"/>
                <w:szCs w:val="24"/>
              </w:rPr>
            </w:pPr>
            <w:r>
              <w:rPr>
                <w:spacing w:val="-1"/>
                <w:sz w:val="24"/>
                <w:szCs w:val="24"/>
              </w:rPr>
              <w:t>说明：必须书面承诺并加盖投标人公章。</w:t>
            </w:r>
          </w:p>
        </w:tc>
      </w:tr>
      <w:tr w14:paraId="12F78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561" w:type="pct"/>
            <w:noWrap w:val="0"/>
            <w:vAlign w:val="top"/>
          </w:tcPr>
          <w:p w14:paraId="5203CF60">
            <w:pPr>
              <w:spacing w:line="278" w:lineRule="auto"/>
              <w:jc w:val="center"/>
              <w:rPr>
                <w:rFonts w:ascii="Arial"/>
                <w:sz w:val="24"/>
                <w:szCs w:val="24"/>
              </w:rPr>
            </w:pPr>
          </w:p>
          <w:p w14:paraId="602B98A3">
            <w:pPr>
              <w:spacing w:line="278" w:lineRule="auto"/>
              <w:jc w:val="center"/>
              <w:rPr>
                <w:rFonts w:ascii="Arial"/>
                <w:sz w:val="24"/>
                <w:szCs w:val="24"/>
              </w:rPr>
            </w:pPr>
          </w:p>
          <w:p w14:paraId="3B207B8F">
            <w:pPr>
              <w:spacing w:line="278" w:lineRule="auto"/>
              <w:jc w:val="center"/>
              <w:rPr>
                <w:rFonts w:ascii="Arial"/>
                <w:sz w:val="24"/>
                <w:szCs w:val="24"/>
              </w:rPr>
            </w:pPr>
          </w:p>
          <w:p w14:paraId="38A45E74">
            <w:pPr>
              <w:spacing w:line="279" w:lineRule="auto"/>
              <w:jc w:val="center"/>
              <w:rPr>
                <w:rFonts w:ascii="Arial"/>
                <w:sz w:val="24"/>
                <w:szCs w:val="24"/>
              </w:rPr>
            </w:pPr>
          </w:p>
          <w:p w14:paraId="18180CA5">
            <w:pPr>
              <w:spacing w:line="279" w:lineRule="auto"/>
              <w:jc w:val="center"/>
              <w:rPr>
                <w:rFonts w:ascii="Arial"/>
                <w:sz w:val="24"/>
                <w:szCs w:val="24"/>
              </w:rPr>
            </w:pPr>
          </w:p>
          <w:p w14:paraId="11B990B0">
            <w:pPr>
              <w:pStyle w:val="58"/>
              <w:spacing w:before="78" w:line="183" w:lineRule="auto"/>
              <w:ind w:left="118"/>
              <w:jc w:val="center"/>
              <w:rPr>
                <w:rFonts w:hint="eastAsia" w:eastAsia="宋体"/>
                <w:sz w:val="24"/>
                <w:szCs w:val="24"/>
                <w:lang w:val="en-US" w:eastAsia="zh-CN"/>
              </w:rPr>
            </w:pPr>
            <w:r>
              <w:rPr>
                <w:spacing w:val="-5"/>
                <w:sz w:val="24"/>
                <w:szCs w:val="24"/>
              </w:rPr>
              <w:t>2.</w:t>
            </w:r>
            <w:r>
              <w:rPr>
                <w:rFonts w:hint="eastAsia"/>
                <w:spacing w:val="-5"/>
                <w:sz w:val="24"/>
                <w:szCs w:val="24"/>
                <w:lang w:val="en-US" w:eastAsia="zh-CN"/>
              </w:rPr>
              <w:t>6</w:t>
            </w:r>
          </w:p>
        </w:tc>
        <w:tc>
          <w:tcPr>
            <w:tcW w:w="4438" w:type="pct"/>
            <w:noWrap w:val="0"/>
            <w:vAlign w:val="center"/>
          </w:tcPr>
          <w:p w14:paraId="3241AA41">
            <w:pPr>
              <w:pStyle w:val="58"/>
              <w:spacing w:before="35" w:line="237" w:lineRule="auto"/>
              <w:ind w:left="111" w:right="115"/>
              <w:jc w:val="both"/>
              <w:rPr>
                <w:sz w:val="24"/>
                <w:szCs w:val="24"/>
              </w:rPr>
            </w:pPr>
            <w:r>
              <w:rPr>
                <w:sz w:val="24"/>
                <w:szCs w:val="24"/>
              </w:rPr>
              <w:t>服务机构提供数字化远程诊断与维修服务，基于专</w:t>
            </w:r>
            <w:r>
              <w:rPr>
                <w:spacing w:val="-1"/>
                <w:sz w:val="24"/>
                <w:szCs w:val="24"/>
              </w:rPr>
              <w:t>用路由器，宽带接入式的</w:t>
            </w:r>
            <w:r>
              <w:rPr>
                <w:sz w:val="24"/>
                <w:szCs w:val="24"/>
              </w:rPr>
              <w:t xml:space="preserve">  </w:t>
            </w:r>
            <w:r>
              <w:rPr>
                <w:spacing w:val="-1"/>
                <w:sz w:val="24"/>
                <w:szCs w:val="24"/>
              </w:rPr>
              <w:t>远端服务器实时自动监测，On Watch</w:t>
            </w:r>
            <w:r>
              <w:rPr>
                <w:spacing w:val="-32"/>
                <w:sz w:val="24"/>
                <w:szCs w:val="24"/>
              </w:rPr>
              <w:t xml:space="preserve"> </w:t>
            </w:r>
            <w:r>
              <w:rPr>
                <w:spacing w:val="-1"/>
                <w:sz w:val="24"/>
                <w:szCs w:val="24"/>
              </w:rPr>
              <w:t>前瞻性预警服务,在线支持工程师每天会</w:t>
            </w:r>
            <w:r>
              <w:rPr>
                <w:sz w:val="24"/>
                <w:szCs w:val="24"/>
              </w:rPr>
              <w:t xml:space="preserve"> </w:t>
            </w:r>
            <w:r>
              <w:rPr>
                <w:spacing w:val="-1"/>
                <w:sz w:val="24"/>
                <w:szCs w:val="24"/>
              </w:rPr>
              <w:t>人工登录在保设备协助发现设备潜在故障。服务机构提供基于宽带接入的</w:t>
            </w:r>
            <w:r>
              <w:rPr>
                <w:spacing w:val="-36"/>
                <w:sz w:val="24"/>
                <w:szCs w:val="24"/>
              </w:rPr>
              <w:t xml:space="preserve"> </w:t>
            </w:r>
            <w:r>
              <w:rPr>
                <w:spacing w:val="-1"/>
                <w:sz w:val="24"/>
                <w:szCs w:val="24"/>
              </w:rPr>
              <w:t>CT</w:t>
            </w:r>
            <w:r>
              <w:rPr>
                <w:sz w:val="24"/>
                <w:szCs w:val="24"/>
              </w:rPr>
              <w:t xml:space="preserve">  原厂的 InSiteTM 数字化远程故障筛排系统，提前预知</w:t>
            </w:r>
            <w:r>
              <w:rPr>
                <w:spacing w:val="-1"/>
                <w:sz w:val="24"/>
                <w:szCs w:val="24"/>
              </w:rPr>
              <w:t>球管打火/预热失败/</w:t>
            </w:r>
            <w:r>
              <w:rPr>
                <w:sz w:val="24"/>
                <w:szCs w:val="24"/>
              </w:rPr>
              <w:t xml:space="preserve">  阳极旋转失效/灯丝断路，球管使用量；数据采集系统（Detec</w:t>
            </w:r>
            <w:r>
              <w:rPr>
                <w:spacing w:val="-1"/>
                <w:sz w:val="24"/>
                <w:szCs w:val="24"/>
              </w:rPr>
              <w:t>tor/DAS）短路</w:t>
            </w:r>
            <w:r>
              <w:rPr>
                <w:sz w:val="24"/>
                <w:szCs w:val="24"/>
              </w:rPr>
              <w:t xml:space="preserve"> /断路，工作温度超标，编码器失效；图像重建（Reco</w:t>
            </w:r>
            <w:r>
              <w:rPr>
                <w:spacing w:val="-1"/>
                <w:sz w:val="24"/>
                <w:szCs w:val="24"/>
              </w:rPr>
              <w:t>n）重建速度变慢，重</w:t>
            </w:r>
            <w:r>
              <w:rPr>
                <w:sz w:val="24"/>
                <w:szCs w:val="24"/>
              </w:rPr>
              <w:t xml:space="preserve">  建失败；硬盘(Hard disk)磁盘阵列损坏；帮医院提</w:t>
            </w:r>
            <w:r>
              <w:rPr>
                <w:spacing w:val="-1"/>
                <w:sz w:val="24"/>
                <w:szCs w:val="24"/>
              </w:rPr>
              <w:t>早做计划，无计划外停</w:t>
            </w:r>
          </w:p>
          <w:p w14:paraId="1D2FBDFC">
            <w:pPr>
              <w:pStyle w:val="58"/>
              <w:spacing w:before="25" w:line="228" w:lineRule="auto"/>
              <w:ind w:left="112" w:right="295" w:hanging="1"/>
              <w:jc w:val="both"/>
              <w:rPr>
                <w:sz w:val="24"/>
                <w:szCs w:val="24"/>
              </w:rPr>
            </w:pPr>
            <w:r>
              <w:rPr>
                <w:sz w:val="24"/>
                <w:szCs w:val="24"/>
              </w:rPr>
              <w:t>机。服务机构提供基于专用路由器，宽带接入式的远</w:t>
            </w:r>
            <w:r>
              <w:rPr>
                <w:spacing w:val="-1"/>
                <w:sz w:val="24"/>
                <w:szCs w:val="24"/>
              </w:rPr>
              <w:t>端服务器实时自动监测</w:t>
            </w:r>
            <w:r>
              <w:rPr>
                <w:sz w:val="24"/>
                <w:szCs w:val="24"/>
              </w:rPr>
              <w:t xml:space="preserve"> </w:t>
            </w:r>
            <w:r>
              <w:rPr>
                <w:spacing w:val="-1"/>
                <w:sz w:val="24"/>
                <w:szCs w:val="24"/>
              </w:rPr>
              <w:t>标的设备温湿度实时曲线的软件及硬件,具备对标的设备的电气环境进行</w:t>
            </w:r>
            <w:r>
              <w:rPr>
                <w:spacing w:val="-38"/>
                <w:sz w:val="24"/>
                <w:szCs w:val="24"/>
              </w:rPr>
              <w:t xml:space="preserve"> </w:t>
            </w:r>
            <w:r>
              <w:rPr>
                <w:spacing w:val="-1"/>
                <w:sz w:val="24"/>
                <w:szCs w:val="24"/>
              </w:rPr>
              <w:t>24</w:t>
            </w:r>
            <w:r>
              <w:rPr>
                <w:sz w:val="24"/>
                <w:szCs w:val="24"/>
              </w:rPr>
              <w:t xml:space="preserve"> </w:t>
            </w:r>
            <w:r>
              <w:rPr>
                <w:spacing w:val="-2"/>
                <w:sz w:val="24"/>
                <w:szCs w:val="24"/>
              </w:rPr>
              <w:t>小时实时监测能力。</w:t>
            </w:r>
          </w:p>
        </w:tc>
      </w:tr>
      <w:tr w14:paraId="12C03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61" w:type="pct"/>
            <w:noWrap w:val="0"/>
            <w:vAlign w:val="top"/>
          </w:tcPr>
          <w:p w14:paraId="78D4AB4F">
            <w:pPr>
              <w:spacing w:line="307" w:lineRule="auto"/>
              <w:jc w:val="center"/>
              <w:rPr>
                <w:rFonts w:ascii="Arial"/>
                <w:sz w:val="24"/>
                <w:szCs w:val="24"/>
              </w:rPr>
            </w:pPr>
          </w:p>
          <w:p w14:paraId="79952C29">
            <w:pPr>
              <w:pStyle w:val="58"/>
              <w:spacing w:before="78" w:line="183" w:lineRule="auto"/>
              <w:ind w:left="118"/>
              <w:jc w:val="center"/>
              <w:rPr>
                <w:rFonts w:hint="eastAsia" w:eastAsia="宋体"/>
                <w:sz w:val="24"/>
                <w:szCs w:val="24"/>
                <w:lang w:val="en-US" w:eastAsia="zh-CN"/>
              </w:rPr>
            </w:pPr>
            <w:r>
              <w:rPr>
                <w:spacing w:val="-5"/>
                <w:sz w:val="24"/>
                <w:szCs w:val="24"/>
              </w:rPr>
              <w:t>2.</w:t>
            </w:r>
            <w:r>
              <w:rPr>
                <w:rFonts w:hint="eastAsia"/>
                <w:spacing w:val="-5"/>
                <w:sz w:val="24"/>
                <w:szCs w:val="24"/>
                <w:lang w:val="en-US" w:eastAsia="zh-CN"/>
              </w:rPr>
              <w:t>7</w:t>
            </w:r>
          </w:p>
        </w:tc>
        <w:tc>
          <w:tcPr>
            <w:tcW w:w="4438" w:type="pct"/>
            <w:noWrap w:val="0"/>
            <w:vAlign w:val="center"/>
          </w:tcPr>
          <w:p w14:paraId="63A017E8">
            <w:pPr>
              <w:pStyle w:val="58"/>
              <w:spacing w:before="40" w:line="229" w:lineRule="auto"/>
              <w:ind w:left="111" w:right="295" w:firstLine="2"/>
              <w:jc w:val="both"/>
              <w:rPr>
                <w:sz w:val="24"/>
                <w:szCs w:val="24"/>
              </w:rPr>
            </w:pPr>
            <w:r>
              <w:rPr>
                <w:sz w:val="24"/>
                <w:szCs w:val="24"/>
              </w:rPr>
              <w:t>投标人提供设备维修保养需使用的特殊精密</w:t>
            </w:r>
            <w:r>
              <w:rPr>
                <w:spacing w:val="-1"/>
                <w:sz w:val="24"/>
                <w:szCs w:val="24"/>
              </w:rPr>
              <w:t>专业工具列表，并承诺中标后提</w:t>
            </w:r>
            <w:r>
              <w:rPr>
                <w:sz w:val="24"/>
                <w:szCs w:val="24"/>
              </w:rPr>
              <w:t xml:space="preserve"> </w:t>
            </w:r>
            <w:r>
              <w:rPr>
                <w:spacing w:val="-1"/>
                <w:sz w:val="24"/>
                <w:szCs w:val="24"/>
              </w:rPr>
              <w:t>供年度国家级校正认证机构或其授权单位出具的有效检测报告。</w:t>
            </w:r>
          </w:p>
          <w:p w14:paraId="298406C2">
            <w:pPr>
              <w:pStyle w:val="58"/>
              <w:spacing w:before="25" w:line="206" w:lineRule="auto"/>
              <w:ind w:left="114"/>
              <w:jc w:val="both"/>
              <w:rPr>
                <w:sz w:val="24"/>
                <w:szCs w:val="24"/>
              </w:rPr>
            </w:pPr>
            <w:r>
              <w:rPr>
                <w:spacing w:val="-1"/>
                <w:sz w:val="24"/>
                <w:szCs w:val="24"/>
              </w:rPr>
              <w:t>说明：必须书面承诺并加盖投标人公章。</w:t>
            </w:r>
          </w:p>
        </w:tc>
      </w:tr>
      <w:tr w14:paraId="4D52D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61" w:type="pct"/>
            <w:noWrap w:val="0"/>
            <w:vAlign w:val="top"/>
          </w:tcPr>
          <w:p w14:paraId="6F71E11A">
            <w:pPr>
              <w:spacing w:line="308" w:lineRule="auto"/>
              <w:jc w:val="center"/>
              <w:rPr>
                <w:rFonts w:ascii="Arial"/>
                <w:sz w:val="24"/>
                <w:szCs w:val="24"/>
              </w:rPr>
            </w:pPr>
          </w:p>
          <w:p w14:paraId="488ECCDB">
            <w:pPr>
              <w:pStyle w:val="58"/>
              <w:spacing w:before="78" w:line="183" w:lineRule="auto"/>
              <w:ind w:left="118"/>
              <w:jc w:val="center"/>
              <w:rPr>
                <w:rFonts w:hint="eastAsia" w:eastAsia="宋体"/>
                <w:sz w:val="24"/>
                <w:szCs w:val="24"/>
                <w:lang w:val="en-US" w:eastAsia="zh-CN"/>
              </w:rPr>
            </w:pPr>
            <w:r>
              <w:rPr>
                <w:spacing w:val="-5"/>
                <w:sz w:val="24"/>
                <w:szCs w:val="24"/>
              </w:rPr>
              <w:t>2.</w:t>
            </w:r>
            <w:r>
              <w:rPr>
                <w:rFonts w:hint="eastAsia"/>
                <w:spacing w:val="-5"/>
                <w:sz w:val="24"/>
                <w:szCs w:val="24"/>
                <w:lang w:val="en-US" w:eastAsia="zh-CN"/>
              </w:rPr>
              <w:t>8</w:t>
            </w:r>
          </w:p>
        </w:tc>
        <w:tc>
          <w:tcPr>
            <w:tcW w:w="4438" w:type="pct"/>
            <w:noWrap w:val="0"/>
            <w:vAlign w:val="center"/>
          </w:tcPr>
          <w:p w14:paraId="560BEE56">
            <w:pPr>
              <w:pStyle w:val="58"/>
              <w:spacing w:before="38" w:line="228" w:lineRule="auto"/>
              <w:ind w:left="112" w:right="295"/>
              <w:jc w:val="both"/>
              <w:rPr>
                <w:sz w:val="24"/>
                <w:szCs w:val="24"/>
              </w:rPr>
            </w:pPr>
            <w:r>
              <w:rPr>
                <w:sz w:val="24"/>
                <w:szCs w:val="24"/>
              </w:rPr>
              <w:t>保修期内免费提供设备（含独立工作站）的系统</w:t>
            </w:r>
            <w:r>
              <w:rPr>
                <w:spacing w:val="-1"/>
                <w:sz w:val="24"/>
                <w:szCs w:val="24"/>
              </w:rPr>
              <w:t>软件升级补丁和技术支持，</w:t>
            </w:r>
            <w:r>
              <w:rPr>
                <w:sz w:val="24"/>
                <w:szCs w:val="24"/>
              </w:rPr>
              <w:t xml:space="preserve"> 保证所有系统软件为最新版本，且相关费用包含</w:t>
            </w:r>
            <w:r>
              <w:rPr>
                <w:spacing w:val="-1"/>
                <w:sz w:val="24"/>
                <w:szCs w:val="24"/>
              </w:rPr>
              <w:t>在投标报价内，采购人不再</w:t>
            </w:r>
            <w:r>
              <w:rPr>
                <w:sz w:val="24"/>
                <w:szCs w:val="24"/>
              </w:rPr>
              <w:t xml:space="preserve"> </w:t>
            </w:r>
            <w:r>
              <w:rPr>
                <w:spacing w:val="-3"/>
                <w:sz w:val="24"/>
                <w:szCs w:val="24"/>
              </w:rPr>
              <w:t>另行支付</w:t>
            </w:r>
          </w:p>
        </w:tc>
      </w:tr>
      <w:tr w14:paraId="5645E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696CB10F">
            <w:pPr>
              <w:pStyle w:val="58"/>
              <w:spacing w:before="157" w:line="184" w:lineRule="auto"/>
              <w:ind w:left="118"/>
              <w:jc w:val="center"/>
              <w:rPr>
                <w:rFonts w:hint="eastAsia" w:eastAsia="宋体"/>
                <w:sz w:val="24"/>
                <w:szCs w:val="24"/>
                <w:lang w:val="en-US" w:eastAsia="zh-CN"/>
              </w:rPr>
            </w:pPr>
            <w:r>
              <w:rPr>
                <w:spacing w:val="-4"/>
                <w:sz w:val="24"/>
                <w:szCs w:val="24"/>
              </w:rPr>
              <w:t>2.</w:t>
            </w:r>
            <w:r>
              <w:rPr>
                <w:rFonts w:hint="eastAsia"/>
                <w:spacing w:val="-4"/>
                <w:sz w:val="24"/>
                <w:szCs w:val="24"/>
                <w:lang w:val="en-US" w:eastAsia="zh-CN"/>
              </w:rPr>
              <w:t>9</w:t>
            </w:r>
          </w:p>
        </w:tc>
        <w:tc>
          <w:tcPr>
            <w:tcW w:w="4438" w:type="pct"/>
            <w:noWrap w:val="0"/>
            <w:vAlign w:val="center"/>
          </w:tcPr>
          <w:p w14:paraId="20BD586F">
            <w:pPr>
              <w:pStyle w:val="58"/>
              <w:spacing w:before="120" w:line="221" w:lineRule="auto"/>
              <w:ind w:left="112"/>
              <w:jc w:val="both"/>
              <w:rPr>
                <w:sz w:val="24"/>
                <w:szCs w:val="24"/>
              </w:rPr>
            </w:pPr>
            <w:r>
              <w:rPr>
                <w:spacing w:val="-3"/>
                <w:sz w:val="24"/>
                <w:szCs w:val="24"/>
              </w:rPr>
              <w:t>其他要求</w:t>
            </w:r>
          </w:p>
        </w:tc>
      </w:tr>
      <w:tr w14:paraId="5E82C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7354EFBC">
            <w:pPr>
              <w:pStyle w:val="58"/>
              <w:spacing w:before="157" w:line="184" w:lineRule="auto"/>
              <w:ind w:left="118"/>
              <w:jc w:val="center"/>
              <w:rPr>
                <w:sz w:val="24"/>
                <w:szCs w:val="24"/>
              </w:rPr>
            </w:pPr>
            <w:r>
              <w:rPr>
                <w:spacing w:val="-3"/>
                <w:sz w:val="24"/>
                <w:szCs w:val="24"/>
              </w:rPr>
              <w:t>2.</w:t>
            </w:r>
            <w:r>
              <w:rPr>
                <w:rFonts w:hint="eastAsia"/>
                <w:spacing w:val="-3"/>
                <w:sz w:val="24"/>
                <w:szCs w:val="24"/>
                <w:lang w:val="en-US" w:eastAsia="zh-CN"/>
              </w:rPr>
              <w:t>9</w:t>
            </w:r>
            <w:r>
              <w:rPr>
                <w:spacing w:val="-3"/>
                <w:sz w:val="24"/>
                <w:szCs w:val="24"/>
              </w:rPr>
              <w:t>.1</w:t>
            </w:r>
          </w:p>
        </w:tc>
        <w:tc>
          <w:tcPr>
            <w:tcW w:w="4438" w:type="pct"/>
            <w:noWrap w:val="0"/>
            <w:vAlign w:val="center"/>
          </w:tcPr>
          <w:p w14:paraId="5829AF33">
            <w:pPr>
              <w:pStyle w:val="58"/>
              <w:spacing w:before="120" w:line="221" w:lineRule="auto"/>
              <w:ind w:left="115"/>
              <w:jc w:val="both"/>
              <w:rPr>
                <w:sz w:val="24"/>
                <w:szCs w:val="24"/>
              </w:rPr>
            </w:pPr>
            <w:r>
              <w:rPr>
                <w:spacing w:val="-1"/>
                <w:sz w:val="24"/>
                <w:szCs w:val="24"/>
              </w:rPr>
              <w:t>设备运行环境监控 如温度，湿度</w:t>
            </w:r>
          </w:p>
        </w:tc>
      </w:tr>
      <w:tr w14:paraId="07F76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41DC21CF">
            <w:pPr>
              <w:pStyle w:val="58"/>
              <w:spacing w:before="157" w:line="184" w:lineRule="auto"/>
              <w:ind w:left="118"/>
              <w:jc w:val="center"/>
              <w:rPr>
                <w:sz w:val="24"/>
                <w:szCs w:val="24"/>
              </w:rPr>
            </w:pPr>
            <w:r>
              <w:rPr>
                <w:spacing w:val="-3"/>
                <w:sz w:val="24"/>
                <w:szCs w:val="24"/>
              </w:rPr>
              <w:t>2.</w:t>
            </w:r>
            <w:r>
              <w:rPr>
                <w:rFonts w:hint="eastAsia"/>
                <w:spacing w:val="-3"/>
                <w:sz w:val="24"/>
                <w:szCs w:val="24"/>
                <w:lang w:val="en-US" w:eastAsia="zh-CN"/>
              </w:rPr>
              <w:t>9</w:t>
            </w:r>
            <w:r>
              <w:rPr>
                <w:spacing w:val="-3"/>
                <w:sz w:val="24"/>
                <w:szCs w:val="24"/>
              </w:rPr>
              <w:t>.2</w:t>
            </w:r>
          </w:p>
        </w:tc>
        <w:tc>
          <w:tcPr>
            <w:tcW w:w="4438" w:type="pct"/>
            <w:noWrap w:val="0"/>
            <w:vAlign w:val="center"/>
          </w:tcPr>
          <w:p w14:paraId="45088642">
            <w:pPr>
              <w:pStyle w:val="58"/>
              <w:spacing w:before="121" w:line="219" w:lineRule="auto"/>
              <w:ind w:left="112"/>
              <w:jc w:val="both"/>
              <w:rPr>
                <w:sz w:val="24"/>
                <w:szCs w:val="24"/>
              </w:rPr>
            </w:pPr>
            <w:r>
              <w:rPr>
                <w:spacing w:val="-1"/>
                <w:sz w:val="24"/>
                <w:szCs w:val="24"/>
              </w:rPr>
              <w:t>提供设备运行分析管理平台</w:t>
            </w:r>
          </w:p>
        </w:tc>
      </w:tr>
      <w:tr w14:paraId="2C06E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61" w:type="pct"/>
            <w:noWrap w:val="0"/>
            <w:vAlign w:val="top"/>
          </w:tcPr>
          <w:p w14:paraId="56D0A502">
            <w:pPr>
              <w:spacing w:line="307" w:lineRule="auto"/>
              <w:jc w:val="center"/>
              <w:rPr>
                <w:rFonts w:ascii="Arial"/>
                <w:sz w:val="24"/>
                <w:szCs w:val="24"/>
              </w:rPr>
            </w:pPr>
          </w:p>
          <w:p w14:paraId="3C214789">
            <w:pPr>
              <w:pStyle w:val="58"/>
              <w:spacing w:before="78" w:line="184" w:lineRule="auto"/>
              <w:ind w:left="118"/>
              <w:jc w:val="center"/>
              <w:rPr>
                <w:sz w:val="24"/>
                <w:szCs w:val="24"/>
              </w:rPr>
            </w:pPr>
            <w:r>
              <w:rPr>
                <w:spacing w:val="-3"/>
                <w:sz w:val="24"/>
                <w:szCs w:val="24"/>
              </w:rPr>
              <w:t>2.</w:t>
            </w:r>
            <w:r>
              <w:rPr>
                <w:rFonts w:hint="eastAsia"/>
                <w:spacing w:val="-3"/>
                <w:sz w:val="24"/>
                <w:szCs w:val="24"/>
                <w:lang w:val="en-US" w:eastAsia="zh-CN"/>
              </w:rPr>
              <w:t>9</w:t>
            </w:r>
            <w:r>
              <w:rPr>
                <w:spacing w:val="-3"/>
                <w:sz w:val="24"/>
                <w:szCs w:val="24"/>
              </w:rPr>
              <w:t>.3</w:t>
            </w:r>
          </w:p>
        </w:tc>
        <w:tc>
          <w:tcPr>
            <w:tcW w:w="4438" w:type="pct"/>
            <w:noWrap w:val="0"/>
            <w:vAlign w:val="center"/>
          </w:tcPr>
          <w:p w14:paraId="3DC79CB9">
            <w:pPr>
              <w:pStyle w:val="58"/>
              <w:spacing w:before="42" w:line="227" w:lineRule="auto"/>
              <w:ind w:left="111" w:right="175"/>
              <w:jc w:val="both"/>
              <w:rPr>
                <w:sz w:val="24"/>
                <w:szCs w:val="24"/>
              </w:rPr>
            </w:pPr>
            <w:r>
              <w:rPr>
                <w:spacing w:val="-1"/>
                <w:sz w:val="24"/>
                <w:szCs w:val="24"/>
              </w:rPr>
              <w:t>对</w:t>
            </w:r>
            <w:r>
              <w:rPr>
                <w:spacing w:val="-54"/>
                <w:sz w:val="24"/>
                <w:szCs w:val="24"/>
              </w:rPr>
              <w:t xml:space="preserve"> </w:t>
            </w:r>
            <w:r>
              <w:rPr>
                <w:spacing w:val="-1"/>
                <w:sz w:val="24"/>
                <w:szCs w:val="24"/>
              </w:rPr>
              <w:t>GE</w:t>
            </w:r>
            <w:r>
              <w:rPr>
                <w:spacing w:val="-31"/>
                <w:sz w:val="24"/>
                <w:szCs w:val="24"/>
              </w:rPr>
              <w:t xml:space="preserve"> </w:t>
            </w:r>
            <w:r>
              <w:rPr>
                <w:spacing w:val="-1"/>
                <w:sz w:val="24"/>
                <w:szCs w:val="24"/>
              </w:rPr>
              <w:t>品牌设备关键部件的监控，电子计算机断层扫描设备(</w:t>
            </w:r>
            <w:r>
              <w:rPr>
                <w:spacing w:val="-2"/>
                <w:sz w:val="24"/>
                <w:szCs w:val="24"/>
              </w:rPr>
              <w:t>CT)， 关注磁盘</w:t>
            </w:r>
            <w:r>
              <w:rPr>
                <w:sz w:val="24"/>
                <w:szCs w:val="24"/>
              </w:rPr>
              <w:t xml:space="preserve">  </w:t>
            </w:r>
            <w:r>
              <w:rPr>
                <w:spacing w:val="-1"/>
                <w:sz w:val="24"/>
                <w:szCs w:val="24"/>
              </w:rPr>
              <w:t>空间，重建系统，显示设备</w:t>
            </w:r>
            <w:r>
              <w:rPr>
                <w:spacing w:val="-48"/>
                <w:sz w:val="24"/>
                <w:szCs w:val="24"/>
              </w:rPr>
              <w:t xml:space="preserve"> </w:t>
            </w:r>
            <w:r>
              <w:rPr>
                <w:spacing w:val="-1"/>
                <w:sz w:val="24"/>
                <w:szCs w:val="24"/>
              </w:rPr>
              <w:t>24</w:t>
            </w:r>
            <w:r>
              <w:rPr>
                <w:spacing w:val="-44"/>
                <w:sz w:val="24"/>
                <w:szCs w:val="24"/>
              </w:rPr>
              <w:t xml:space="preserve"> </w:t>
            </w:r>
            <w:r>
              <w:rPr>
                <w:spacing w:val="-1"/>
                <w:sz w:val="24"/>
                <w:szCs w:val="24"/>
              </w:rPr>
              <w:t>小时实时动态的球管异常打火次数</w:t>
            </w:r>
            <w:r>
              <w:rPr>
                <w:spacing w:val="-2"/>
                <w:sz w:val="24"/>
                <w:szCs w:val="24"/>
              </w:rPr>
              <w:t>，球管使用</w:t>
            </w:r>
            <w:r>
              <w:rPr>
                <w:sz w:val="24"/>
                <w:szCs w:val="24"/>
              </w:rPr>
              <w:t xml:space="preserve"> </w:t>
            </w:r>
            <w:r>
              <w:rPr>
                <w:spacing w:val="-1"/>
                <w:sz w:val="24"/>
                <w:szCs w:val="24"/>
              </w:rPr>
              <w:t>量等，需提供相关证明</w:t>
            </w:r>
          </w:p>
        </w:tc>
      </w:tr>
      <w:tr w14:paraId="729D8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14ED44B0">
            <w:pPr>
              <w:pStyle w:val="58"/>
              <w:spacing w:before="157" w:line="184" w:lineRule="auto"/>
              <w:ind w:left="118"/>
              <w:jc w:val="center"/>
              <w:rPr>
                <w:sz w:val="24"/>
                <w:szCs w:val="24"/>
              </w:rPr>
            </w:pPr>
            <w:r>
              <w:rPr>
                <w:spacing w:val="-3"/>
                <w:sz w:val="24"/>
                <w:szCs w:val="24"/>
              </w:rPr>
              <w:t>2.</w:t>
            </w:r>
            <w:r>
              <w:rPr>
                <w:rFonts w:hint="eastAsia"/>
                <w:spacing w:val="-3"/>
                <w:sz w:val="24"/>
                <w:szCs w:val="24"/>
                <w:lang w:val="en-US" w:eastAsia="zh-CN"/>
              </w:rPr>
              <w:t>9</w:t>
            </w:r>
            <w:r>
              <w:rPr>
                <w:spacing w:val="-3"/>
                <w:sz w:val="24"/>
                <w:szCs w:val="24"/>
              </w:rPr>
              <w:t>.4</w:t>
            </w:r>
          </w:p>
        </w:tc>
        <w:tc>
          <w:tcPr>
            <w:tcW w:w="4438" w:type="pct"/>
            <w:noWrap w:val="0"/>
            <w:vAlign w:val="center"/>
          </w:tcPr>
          <w:p w14:paraId="15F42DB2">
            <w:pPr>
              <w:pStyle w:val="58"/>
              <w:spacing w:before="120" w:line="220" w:lineRule="auto"/>
              <w:ind w:left="112"/>
              <w:jc w:val="both"/>
              <w:rPr>
                <w:sz w:val="24"/>
                <w:szCs w:val="24"/>
              </w:rPr>
            </w:pPr>
            <w:r>
              <w:rPr>
                <w:spacing w:val="-1"/>
                <w:sz w:val="24"/>
                <w:szCs w:val="24"/>
              </w:rPr>
              <w:t>支持记录设备使用量统计，如扫描部位等</w:t>
            </w:r>
          </w:p>
        </w:tc>
      </w:tr>
      <w:tr w14:paraId="4D496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561" w:type="pct"/>
            <w:noWrap w:val="0"/>
            <w:vAlign w:val="top"/>
          </w:tcPr>
          <w:p w14:paraId="6CE7C203">
            <w:pPr>
              <w:pStyle w:val="58"/>
              <w:spacing w:before="157" w:line="184" w:lineRule="auto"/>
              <w:ind w:left="118"/>
              <w:jc w:val="center"/>
              <w:rPr>
                <w:sz w:val="24"/>
                <w:szCs w:val="24"/>
              </w:rPr>
            </w:pPr>
            <w:r>
              <w:rPr>
                <w:spacing w:val="-3"/>
                <w:sz w:val="24"/>
                <w:szCs w:val="24"/>
              </w:rPr>
              <w:t>2.</w:t>
            </w:r>
            <w:r>
              <w:rPr>
                <w:rFonts w:hint="eastAsia"/>
                <w:spacing w:val="-3"/>
                <w:sz w:val="24"/>
                <w:szCs w:val="24"/>
                <w:lang w:val="en-US" w:eastAsia="zh-CN"/>
              </w:rPr>
              <w:t>9</w:t>
            </w:r>
            <w:r>
              <w:rPr>
                <w:spacing w:val="-3"/>
                <w:sz w:val="24"/>
                <w:szCs w:val="24"/>
              </w:rPr>
              <w:t>.5</w:t>
            </w:r>
          </w:p>
        </w:tc>
        <w:tc>
          <w:tcPr>
            <w:tcW w:w="4438" w:type="pct"/>
            <w:noWrap w:val="0"/>
            <w:vAlign w:val="center"/>
          </w:tcPr>
          <w:p w14:paraId="33075034">
            <w:pPr>
              <w:pStyle w:val="58"/>
              <w:spacing w:before="121" w:line="219" w:lineRule="auto"/>
              <w:ind w:left="111"/>
              <w:jc w:val="both"/>
              <w:rPr>
                <w:sz w:val="24"/>
                <w:szCs w:val="24"/>
              </w:rPr>
            </w:pPr>
            <w:r>
              <w:rPr>
                <w:spacing w:val="-2"/>
                <w:sz w:val="24"/>
                <w:szCs w:val="24"/>
              </w:rPr>
              <w:t>应用服务可适配</w:t>
            </w:r>
            <w:r>
              <w:rPr>
                <w:spacing w:val="-41"/>
                <w:sz w:val="24"/>
                <w:szCs w:val="24"/>
              </w:rPr>
              <w:t xml:space="preserve"> </w:t>
            </w:r>
            <w:r>
              <w:rPr>
                <w:spacing w:val="-2"/>
                <w:sz w:val="24"/>
                <w:szCs w:val="24"/>
              </w:rPr>
              <w:t>PC</w:t>
            </w:r>
            <w:r>
              <w:rPr>
                <w:spacing w:val="-52"/>
                <w:sz w:val="24"/>
                <w:szCs w:val="24"/>
              </w:rPr>
              <w:t xml:space="preserve"> </w:t>
            </w:r>
            <w:r>
              <w:rPr>
                <w:spacing w:val="-2"/>
                <w:sz w:val="24"/>
                <w:szCs w:val="24"/>
              </w:rPr>
              <w:t>机和手持移动终端设备</w:t>
            </w:r>
          </w:p>
        </w:tc>
      </w:tr>
      <w:tr w14:paraId="299A6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61" w:type="pct"/>
            <w:noWrap w:val="0"/>
            <w:vAlign w:val="top"/>
          </w:tcPr>
          <w:p w14:paraId="5773F753">
            <w:pPr>
              <w:pStyle w:val="58"/>
              <w:spacing w:before="78" w:line="177" w:lineRule="auto"/>
              <w:ind w:left="118"/>
              <w:jc w:val="center"/>
              <w:rPr>
                <w:sz w:val="24"/>
                <w:szCs w:val="24"/>
              </w:rPr>
            </w:pPr>
            <w:r>
              <w:rPr>
                <w:spacing w:val="-3"/>
                <w:sz w:val="24"/>
                <w:szCs w:val="24"/>
              </w:rPr>
              <w:t>2.</w:t>
            </w:r>
            <w:r>
              <w:rPr>
                <w:rFonts w:hint="eastAsia"/>
                <w:spacing w:val="-3"/>
                <w:sz w:val="24"/>
                <w:szCs w:val="24"/>
                <w:lang w:val="en-US" w:eastAsia="zh-CN"/>
              </w:rPr>
              <w:t>9</w:t>
            </w:r>
            <w:r>
              <w:rPr>
                <w:spacing w:val="-3"/>
                <w:sz w:val="24"/>
                <w:szCs w:val="24"/>
              </w:rPr>
              <w:t>.6</w:t>
            </w:r>
          </w:p>
        </w:tc>
        <w:tc>
          <w:tcPr>
            <w:tcW w:w="4438" w:type="pct"/>
            <w:noWrap w:val="0"/>
            <w:vAlign w:val="center"/>
          </w:tcPr>
          <w:p w14:paraId="20B6CFE2">
            <w:pPr>
              <w:pStyle w:val="58"/>
              <w:spacing w:before="41" w:line="206" w:lineRule="auto"/>
              <w:ind w:left="115"/>
              <w:jc w:val="both"/>
              <w:rPr>
                <w:sz w:val="24"/>
                <w:szCs w:val="24"/>
              </w:rPr>
            </w:pPr>
            <w:r>
              <w:rPr>
                <w:spacing w:val="-2"/>
                <w:sz w:val="24"/>
                <w:szCs w:val="24"/>
              </w:rPr>
              <w:t>设备维保记录与提醒</w:t>
            </w:r>
          </w:p>
        </w:tc>
      </w:tr>
      <w:tr w14:paraId="67644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61" w:type="pct"/>
            <w:noWrap w:val="0"/>
            <w:vAlign w:val="top"/>
          </w:tcPr>
          <w:p w14:paraId="7D84D0B7">
            <w:pPr>
              <w:pStyle w:val="58"/>
              <w:spacing w:before="155" w:line="184" w:lineRule="auto"/>
              <w:ind w:left="118" w:leftChars="0"/>
              <w:jc w:val="center"/>
              <w:rPr>
                <w:spacing w:val="-3"/>
                <w:sz w:val="24"/>
                <w:szCs w:val="24"/>
              </w:rPr>
            </w:pPr>
            <w:r>
              <w:rPr>
                <w:spacing w:val="-3"/>
                <w:sz w:val="24"/>
                <w:szCs w:val="24"/>
              </w:rPr>
              <w:t>2.10.7</w:t>
            </w:r>
          </w:p>
        </w:tc>
        <w:tc>
          <w:tcPr>
            <w:tcW w:w="4438" w:type="pct"/>
            <w:noWrap w:val="0"/>
            <w:vAlign w:val="center"/>
          </w:tcPr>
          <w:p w14:paraId="28C9C17E">
            <w:pPr>
              <w:pStyle w:val="58"/>
              <w:spacing w:before="119" w:line="219" w:lineRule="auto"/>
              <w:ind w:left="110" w:leftChars="0"/>
              <w:jc w:val="both"/>
              <w:rPr>
                <w:spacing w:val="-2"/>
                <w:sz w:val="24"/>
                <w:szCs w:val="24"/>
              </w:rPr>
            </w:pPr>
            <w:r>
              <w:rPr>
                <w:spacing w:val="-1"/>
                <w:sz w:val="24"/>
                <w:szCs w:val="24"/>
              </w:rPr>
              <w:t>报修状态提醒 （适用于</w:t>
            </w:r>
            <w:r>
              <w:rPr>
                <w:spacing w:val="-53"/>
                <w:sz w:val="24"/>
                <w:szCs w:val="24"/>
              </w:rPr>
              <w:t xml:space="preserve"> </w:t>
            </w:r>
            <w:r>
              <w:rPr>
                <w:spacing w:val="-1"/>
                <w:sz w:val="24"/>
                <w:szCs w:val="24"/>
              </w:rPr>
              <w:t>PC</w:t>
            </w:r>
            <w:r>
              <w:rPr>
                <w:spacing w:val="-52"/>
                <w:sz w:val="24"/>
                <w:szCs w:val="24"/>
              </w:rPr>
              <w:t xml:space="preserve"> </w:t>
            </w:r>
            <w:r>
              <w:rPr>
                <w:spacing w:val="-1"/>
                <w:sz w:val="24"/>
                <w:szCs w:val="24"/>
              </w:rPr>
              <w:t>机和手持移动终端设备）</w:t>
            </w:r>
          </w:p>
        </w:tc>
      </w:tr>
      <w:tr w14:paraId="68D43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61" w:type="pct"/>
            <w:noWrap w:val="0"/>
            <w:vAlign w:val="top"/>
          </w:tcPr>
          <w:p w14:paraId="004A6C12">
            <w:pPr>
              <w:pStyle w:val="58"/>
              <w:spacing w:before="152" w:line="184" w:lineRule="auto"/>
              <w:ind w:left="118" w:leftChars="0"/>
              <w:jc w:val="center"/>
              <w:rPr>
                <w:spacing w:val="-3"/>
                <w:sz w:val="24"/>
                <w:szCs w:val="24"/>
              </w:rPr>
            </w:pPr>
            <w:r>
              <w:rPr>
                <w:spacing w:val="-3"/>
                <w:sz w:val="24"/>
                <w:szCs w:val="24"/>
              </w:rPr>
              <w:t>2.10.8</w:t>
            </w:r>
          </w:p>
        </w:tc>
        <w:tc>
          <w:tcPr>
            <w:tcW w:w="4438" w:type="pct"/>
            <w:noWrap w:val="0"/>
            <w:vAlign w:val="center"/>
          </w:tcPr>
          <w:p w14:paraId="463B1AF5">
            <w:pPr>
              <w:pStyle w:val="58"/>
              <w:spacing w:before="115" w:line="220" w:lineRule="auto"/>
              <w:ind w:left="115" w:leftChars="0"/>
              <w:jc w:val="both"/>
              <w:rPr>
                <w:spacing w:val="-2"/>
                <w:sz w:val="24"/>
                <w:szCs w:val="24"/>
              </w:rPr>
            </w:pPr>
            <w:r>
              <w:rPr>
                <w:spacing w:val="-1"/>
                <w:sz w:val="24"/>
                <w:szCs w:val="24"/>
              </w:rPr>
              <w:t>设备保养预约提示以及历史纪录</w:t>
            </w:r>
          </w:p>
        </w:tc>
      </w:tr>
      <w:tr w14:paraId="43B9B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61" w:type="pct"/>
            <w:noWrap w:val="0"/>
            <w:vAlign w:val="top"/>
          </w:tcPr>
          <w:p w14:paraId="61C44D99">
            <w:pPr>
              <w:pStyle w:val="58"/>
              <w:spacing w:before="153" w:line="184" w:lineRule="auto"/>
              <w:ind w:left="118" w:leftChars="0"/>
              <w:jc w:val="center"/>
              <w:rPr>
                <w:spacing w:val="-3"/>
                <w:sz w:val="24"/>
                <w:szCs w:val="24"/>
              </w:rPr>
            </w:pPr>
            <w:r>
              <w:rPr>
                <w:spacing w:val="-3"/>
                <w:sz w:val="24"/>
                <w:szCs w:val="24"/>
              </w:rPr>
              <w:t>2.10.9</w:t>
            </w:r>
          </w:p>
        </w:tc>
        <w:tc>
          <w:tcPr>
            <w:tcW w:w="4438" w:type="pct"/>
            <w:noWrap w:val="0"/>
            <w:vAlign w:val="center"/>
          </w:tcPr>
          <w:p w14:paraId="4285927A">
            <w:pPr>
              <w:pStyle w:val="58"/>
              <w:spacing w:before="116" w:line="220" w:lineRule="auto"/>
              <w:ind w:left="112" w:leftChars="0"/>
              <w:jc w:val="both"/>
              <w:rPr>
                <w:spacing w:val="-2"/>
                <w:sz w:val="24"/>
                <w:szCs w:val="24"/>
              </w:rPr>
            </w:pPr>
            <w:r>
              <w:rPr>
                <w:spacing w:val="-1"/>
                <w:sz w:val="24"/>
                <w:szCs w:val="24"/>
              </w:rPr>
              <w:t>支持二维码资产管理以及扫码报修</w:t>
            </w:r>
          </w:p>
        </w:tc>
      </w:tr>
      <w:tr w14:paraId="37C23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61" w:type="pct"/>
            <w:noWrap w:val="0"/>
            <w:vAlign w:val="top"/>
          </w:tcPr>
          <w:p w14:paraId="3C513AC9">
            <w:pPr>
              <w:pStyle w:val="58"/>
              <w:spacing w:before="168" w:line="184" w:lineRule="auto"/>
              <w:ind w:left="118" w:leftChars="0"/>
              <w:jc w:val="center"/>
              <w:rPr>
                <w:spacing w:val="-3"/>
                <w:sz w:val="24"/>
                <w:szCs w:val="24"/>
              </w:rPr>
            </w:pPr>
            <w:r>
              <w:rPr>
                <w:spacing w:val="-2"/>
                <w:sz w:val="24"/>
                <w:szCs w:val="24"/>
              </w:rPr>
              <w:t>2.10.10</w:t>
            </w:r>
          </w:p>
        </w:tc>
        <w:tc>
          <w:tcPr>
            <w:tcW w:w="4438" w:type="pct"/>
            <w:noWrap w:val="0"/>
            <w:vAlign w:val="center"/>
          </w:tcPr>
          <w:p w14:paraId="6657874A">
            <w:pPr>
              <w:pStyle w:val="58"/>
              <w:spacing w:before="132" w:line="220" w:lineRule="auto"/>
              <w:ind w:left="115" w:leftChars="0"/>
              <w:jc w:val="both"/>
              <w:rPr>
                <w:spacing w:val="-2"/>
                <w:sz w:val="24"/>
                <w:szCs w:val="24"/>
              </w:rPr>
            </w:pPr>
            <w:r>
              <w:rPr>
                <w:spacing w:val="-2"/>
                <w:sz w:val="24"/>
                <w:szCs w:val="24"/>
              </w:rPr>
              <w:t>设备合同状态查询</w:t>
            </w:r>
          </w:p>
        </w:tc>
      </w:tr>
    </w:tbl>
    <w:p w14:paraId="7912F10A">
      <w:pPr>
        <w:rPr>
          <w:rFonts w:ascii="Arial"/>
          <w:sz w:val="21"/>
        </w:rPr>
      </w:pPr>
    </w:p>
    <w:p w14:paraId="1498B4B6">
      <w:pPr>
        <w:rPr>
          <w:rFonts w:hint="eastAsia" w:eastAsia="宋体"/>
          <w:sz w:val="24"/>
          <w:szCs w:val="24"/>
          <w:lang w:eastAsia="zh-CN"/>
        </w:rPr>
      </w:pPr>
      <w:r>
        <w:rPr>
          <w:spacing w:val="-2"/>
          <w:sz w:val="24"/>
          <w:szCs w:val="24"/>
        </w:rPr>
        <w:t>说明：服务要求内带“★</w:t>
      </w:r>
      <w:r>
        <w:rPr>
          <w:spacing w:val="-96"/>
          <w:sz w:val="24"/>
          <w:szCs w:val="24"/>
        </w:rPr>
        <w:t xml:space="preserve"> </w:t>
      </w:r>
      <w:r>
        <w:rPr>
          <w:spacing w:val="-2"/>
          <w:sz w:val="24"/>
          <w:szCs w:val="24"/>
        </w:rPr>
        <w:t>”项不允许有负偏离，否则投标文件作无效标处理，符合性审查不通过</w:t>
      </w:r>
      <w:r>
        <w:rPr>
          <w:rFonts w:hint="eastAsia" w:ascii="Arial"/>
          <w:sz w:val="24"/>
          <w:szCs w:val="24"/>
          <w:lang w:eastAsia="zh-CN"/>
        </w:rPr>
        <w:t>。</w:t>
      </w:r>
    </w:p>
    <w:p w14:paraId="69093CFC">
      <w:pPr>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br w:type="page"/>
      </w:r>
    </w:p>
    <w:p w14:paraId="67D0FF26">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仿宋" w:hAnsi="仿宋" w:eastAsia="仿宋" w:cs="仿宋"/>
          <w:bCs/>
          <w:color w:val="auto"/>
          <w:sz w:val="36"/>
        </w:rPr>
      </w:pPr>
      <w:r>
        <w:rPr>
          <w:rFonts w:hint="eastAsia" w:ascii="仿宋" w:hAnsi="仿宋" w:eastAsia="仿宋" w:cs="仿宋"/>
          <w:b/>
          <w:bCs w:val="0"/>
          <w:color w:val="auto"/>
          <w:sz w:val="36"/>
          <w:lang w:val="en-US" w:eastAsia="zh-CN"/>
        </w:rPr>
        <w:t xml:space="preserve"> </w:t>
      </w:r>
      <w:bookmarkStart w:id="183" w:name="_Toc6569"/>
      <w:r>
        <w:rPr>
          <w:rFonts w:hint="eastAsia" w:ascii="仿宋" w:hAnsi="仿宋" w:eastAsia="仿宋" w:cs="仿宋"/>
          <w:b/>
          <w:bCs w:val="0"/>
          <w:color w:val="auto"/>
          <w:sz w:val="36"/>
        </w:rPr>
        <w:t xml:space="preserve">第六章 </w:t>
      </w:r>
      <w:r>
        <w:rPr>
          <w:rFonts w:hint="eastAsia" w:ascii="仿宋" w:hAnsi="仿宋" w:eastAsia="仿宋" w:cs="仿宋"/>
          <w:b/>
          <w:bCs w:val="0"/>
          <w:color w:val="auto"/>
          <w:sz w:val="36"/>
          <w:lang w:val="en-US" w:eastAsia="zh-CN"/>
        </w:rPr>
        <w:t xml:space="preserve"> </w:t>
      </w:r>
      <w:r>
        <w:rPr>
          <w:rFonts w:hint="eastAsia" w:ascii="仿宋" w:hAnsi="仿宋" w:eastAsia="仿宋" w:cs="仿宋"/>
          <w:b/>
          <w:bCs w:val="0"/>
          <w:color w:val="auto"/>
          <w:sz w:val="36"/>
        </w:rPr>
        <w:t>评标方法（综合评分法）</w:t>
      </w:r>
      <w:bookmarkEnd w:id="182"/>
      <w:bookmarkEnd w:id="183"/>
    </w:p>
    <w:p w14:paraId="23D4C24E">
      <w:pPr>
        <w:pStyle w:val="4"/>
        <w:keepNext/>
        <w:keepLines w:val="0"/>
        <w:pageBreakBefore w:val="0"/>
        <w:widowControl w:val="0"/>
        <w:numPr>
          <w:ilvl w:val="0"/>
          <w:numId w:val="0"/>
        </w:numPr>
        <w:kinsoku/>
        <w:wordWrap/>
        <w:overflowPunct/>
        <w:topLinePunct w:val="0"/>
        <w:autoSpaceDE/>
        <w:autoSpaceDN/>
        <w:bidi w:val="0"/>
        <w:adjustRightInd w:val="0"/>
        <w:snapToGrid/>
        <w:spacing w:before="0" w:line="240" w:lineRule="auto"/>
        <w:jc w:val="center"/>
        <w:textAlignment w:val="baseline"/>
        <w:outlineLvl w:val="1"/>
        <w:rPr>
          <w:rFonts w:hint="eastAsia" w:ascii="仿宋" w:hAnsi="仿宋" w:eastAsia="仿宋" w:cs="仿宋"/>
          <w:color w:val="auto"/>
        </w:rPr>
      </w:pPr>
      <w:bookmarkStart w:id="184" w:name="_Toc439766946"/>
      <w:bookmarkStart w:id="185" w:name="_Toc21470"/>
      <w:bookmarkStart w:id="186" w:name="_Toc326218110"/>
      <w:r>
        <w:rPr>
          <w:rFonts w:hint="eastAsia" w:ascii="仿宋" w:hAnsi="仿宋" w:eastAsia="仿宋" w:cs="仿宋"/>
          <w:color w:val="auto"/>
        </w:rPr>
        <w:t>评标办法前附表</w:t>
      </w:r>
      <w:bookmarkEnd w:id="184"/>
      <w:bookmarkEnd w:id="185"/>
      <w:bookmarkEnd w:id="186"/>
    </w:p>
    <w:tbl>
      <w:tblPr>
        <w:tblStyle w:val="25"/>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082"/>
        <w:gridCol w:w="1859"/>
        <w:gridCol w:w="6084"/>
      </w:tblGrid>
      <w:tr w14:paraId="6969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6" w:type="dxa"/>
            <w:gridSpan w:val="2"/>
            <w:tcBorders>
              <w:tl2br w:val="nil"/>
              <w:tr2bl w:val="nil"/>
            </w:tcBorders>
            <w:noWrap w:val="0"/>
            <w:vAlign w:val="center"/>
          </w:tcPr>
          <w:p w14:paraId="2F9355B2">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条款号</w:t>
            </w:r>
          </w:p>
        </w:tc>
        <w:tc>
          <w:tcPr>
            <w:tcW w:w="1859" w:type="dxa"/>
            <w:tcBorders>
              <w:tl2br w:val="nil"/>
              <w:tr2bl w:val="nil"/>
            </w:tcBorders>
            <w:noWrap w:val="0"/>
            <w:vAlign w:val="center"/>
          </w:tcPr>
          <w:p w14:paraId="1F73BFEF">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评 审 内 容</w:t>
            </w:r>
          </w:p>
        </w:tc>
        <w:tc>
          <w:tcPr>
            <w:tcW w:w="6084" w:type="dxa"/>
            <w:tcBorders>
              <w:tl2br w:val="nil"/>
              <w:tr2bl w:val="nil"/>
            </w:tcBorders>
            <w:noWrap w:val="0"/>
            <w:vAlign w:val="center"/>
          </w:tcPr>
          <w:p w14:paraId="3CBBD57A">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评 审 标 准</w:t>
            </w:r>
          </w:p>
        </w:tc>
      </w:tr>
      <w:tr w14:paraId="2878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restart"/>
            <w:tcBorders>
              <w:tl2br w:val="nil"/>
              <w:tr2bl w:val="nil"/>
            </w:tcBorders>
            <w:noWrap w:val="0"/>
            <w:vAlign w:val="center"/>
          </w:tcPr>
          <w:p w14:paraId="23039866">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2.1.1</w:t>
            </w:r>
          </w:p>
        </w:tc>
        <w:tc>
          <w:tcPr>
            <w:tcW w:w="1082" w:type="dxa"/>
            <w:vMerge w:val="restart"/>
            <w:tcBorders>
              <w:tl2br w:val="nil"/>
              <w:tr2bl w:val="nil"/>
            </w:tcBorders>
            <w:noWrap w:val="0"/>
            <w:vAlign w:val="center"/>
          </w:tcPr>
          <w:p w14:paraId="027B2F75">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资格评审标准</w:t>
            </w:r>
          </w:p>
        </w:tc>
        <w:tc>
          <w:tcPr>
            <w:tcW w:w="1859" w:type="dxa"/>
            <w:tcBorders>
              <w:tl2br w:val="nil"/>
              <w:tr2bl w:val="nil"/>
            </w:tcBorders>
            <w:noWrap w:val="0"/>
            <w:vAlign w:val="center"/>
          </w:tcPr>
          <w:p w14:paraId="527054C4">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资格条件</w:t>
            </w:r>
          </w:p>
        </w:tc>
        <w:tc>
          <w:tcPr>
            <w:tcW w:w="6084" w:type="dxa"/>
            <w:tcBorders>
              <w:tl2br w:val="nil"/>
              <w:tr2bl w:val="nil"/>
            </w:tcBorders>
            <w:noWrap w:val="0"/>
            <w:vAlign w:val="center"/>
          </w:tcPr>
          <w:p w14:paraId="1853325C">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符合第二章“投标人须知”第4.1项规定</w:t>
            </w:r>
          </w:p>
        </w:tc>
      </w:tr>
      <w:tr w14:paraId="1BE7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tcBorders>
              <w:tl2br w:val="nil"/>
              <w:tr2bl w:val="nil"/>
            </w:tcBorders>
            <w:noWrap w:val="0"/>
            <w:vAlign w:val="center"/>
          </w:tcPr>
          <w:p w14:paraId="00D7A182">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112D3CCC">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p>
        </w:tc>
        <w:tc>
          <w:tcPr>
            <w:tcW w:w="1859" w:type="dxa"/>
            <w:tcBorders>
              <w:tl2br w:val="nil"/>
              <w:tr2bl w:val="nil"/>
            </w:tcBorders>
            <w:noWrap w:val="0"/>
            <w:vAlign w:val="center"/>
          </w:tcPr>
          <w:p w14:paraId="37A707D1">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投标保证金</w:t>
            </w:r>
          </w:p>
        </w:tc>
        <w:tc>
          <w:tcPr>
            <w:tcW w:w="6084" w:type="dxa"/>
            <w:tcBorders>
              <w:tl2br w:val="nil"/>
              <w:tr2bl w:val="nil"/>
            </w:tcBorders>
            <w:noWrap w:val="0"/>
            <w:vAlign w:val="center"/>
          </w:tcPr>
          <w:p w14:paraId="72D11545">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符合第二章“投标人须知”第19项规定</w:t>
            </w:r>
          </w:p>
        </w:tc>
      </w:tr>
      <w:tr w14:paraId="6DE3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restart"/>
            <w:tcBorders>
              <w:tl2br w:val="nil"/>
              <w:tr2bl w:val="nil"/>
            </w:tcBorders>
            <w:noWrap w:val="0"/>
            <w:vAlign w:val="center"/>
          </w:tcPr>
          <w:p w14:paraId="6E93C309">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2.1.2</w:t>
            </w:r>
          </w:p>
        </w:tc>
        <w:tc>
          <w:tcPr>
            <w:tcW w:w="1082" w:type="dxa"/>
            <w:vMerge w:val="restart"/>
            <w:tcBorders>
              <w:tl2br w:val="nil"/>
              <w:tr2bl w:val="nil"/>
            </w:tcBorders>
            <w:noWrap w:val="0"/>
            <w:vAlign w:val="center"/>
          </w:tcPr>
          <w:p w14:paraId="3C92440A">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符合性评审标准</w:t>
            </w:r>
          </w:p>
        </w:tc>
        <w:tc>
          <w:tcPr>
            <w:tcW w:w="1859" w:type="dxa"/>
            <w:tcBorders>
              <w:tl2br w:val="nil"/>
              <w:tr2bl w:val="nil"/>
            </w:tcBorders>
            <w:noWrap w:val="0"/>
            <w:vAlign w:val="center"/>
          </w:tcPr>
          <w:p w14:paraId="0633F29D">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p>
        </w:tc>
        <w:tc>
          <w:tcPr>
            <w:tcW w:w="6084" w:type="dxa"/>
            <w:tcBorders>
              <w:tl2br w:val="nil"/>
              <w:tr2bl w:val="nil"/>
            </w:tcBorders>
            <w:noWrap w:val="0"/>
            <w:vAlign w:val="center"/>
          </w:tcPr>
          <w:p w14:paraId="7AD59C75">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与营业执照</w:t>
            </w:r>
            <w:r>
              <w:rPr>
                <w:rFonts w:hint="eastAsia" w:ascii="仿宋" w:hAnsi="仿宋" w:eastAsia="仿宋" w:cs="仿宋"/>
                <w:color w:val="auto"/>
                <w:sz w:val="21"/>
                <w:szCs w:val="21"/>
                <w:lang w:eastAsia="zh-CN"/>
              </w:rPr>
              <w:t>等证件名称</w:t>
            </w:r>
            <w:r>
              <w:rPr>
                <w:rFonts w:hint="eastAsia" w:ascii="仿宋" w:hAnsi="仿宋" w:eastAsia="仿宋" w:cs="仿宋"/>
                <w:color w:val="auto"/>
                <w:sz w:val="21"/>
                <w:szCs w:val="21"/>
              </w:rPr>
              <w:t>一致</w:t>
            </w:r>
          </w:p>
        </w:tc>
      </w:tr>
      <w:tr w14:paraId="1F85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tcBorders>
              <w:tl2br w:val="nil"/>
              <w:tr2bl w:val="nil"/>
            </w:tcBorders>
            <w:noWrap w:val="0"/>
            <w:vAlign w:val="center"/>
          </w:tcPr>
          <w:p w14:paraId="40714DC9">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1A3A5045">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p>
        </w:tc>
        <w:tc>
          <w:tcPr>
            <w:tcW w:w="1859" w:type="dxa"/>
            <w:tcBorders>
              <w:tl2br w:val="nil"/>
              <w:tr2bl w:val="nil"/>
            </w:tcBorders>
            <w:noWrap w:val="0"/>
            <w:vAlign w:val="center"/>
          </w:tcPr>
          <w:p w14:paraId="6BFA020A">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报价</w:t>
            </w:r>
            <w:r>
              <w:rPr>
                <w:rFonts w:hint="eastAsia" w:ascii="仿宋" w:hAnsi="仿宋" w:eastAsia="仿宋" w:cs="仿宋"/>
                <w:color w:val="auto"/>
                <w:sz w:val="24"/>
                <w:szCs w:val="24"/>
                <w:lang w:val="en-US" w:eastAsia="zh-CN"/>
              </w:rPr>
              <w:t>一览</w:t>
            </w:r>
            <w:r>
              <w:rPr>
                <w:rFonts w:hint="eastAsia" w:ascii="仿宋" w:hAnsi="仿宋" w:eastAsia="仿宋" w:cs="仿宋"/>
                <w:color w:val="auto"/>
                <w:sz w:val="24"/>
                <w:szCs w:val="24"/>
              </w:rPr>
              <w:t>表</w:t>
            </w:r>
          </w:p>
        </w:tc>
        <w:tc>
          <w:tcPr>
            <w:tcW w:w="6084" w:type="dxa"/>
            <w:tcBorders>
              <w:tl2br w:val="nil"/>
              <w:tr2bl w:val="nil"/>
            </w:tcBorders>
            <w:noWrap w:val="0"/>
            <w:vAlign w:val="center"/>
          </w:tcPr>
          <w:p w14:paraId="6514348E">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按第二章“投标人须知”第13.1项的要求提供开标一览表</w:t>
            </w:r>
          </w:p>
        </w:tc>
      </w:tr>
      <w:tr w14:paraId="4B2B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tcBorders>
              <w:tl2br w:val="nil"/>
              <w:tr2bl w:val="nil"/>
            </w:tcBorders>
            <w:noWrap w:val="0"/>
            <w:vAlign w:val="center"/>
          </w:tcPr>
          <w:p w14:paraId="06429CF4">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39585C08">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859" w:type="dxa"/>
            <w:tcBorders>
              <w:tl2br w:val="nil"/>
              <w:tr2bl w:val="nil"/>
            </w:tcBorders>
            <w:noWrap w:val="0"/>
            <w:vAlign w:val="center"/>
          </w:tcPr>
          <w:p w14:paraId="681F47E2">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投标函</w:t>
            </w:r>
          </w:p>
        </w:tc>
        <w:tc>
          <w:tcPr>
            <w:tcW w:w="6084" w:type="dxa"/>
            <w:tcBorders>
              <w:tl2br w:val="nil"/>
              <w:tr2bl w:val="nil"/>
            </w:tcBorders>
            <w:noWrap w:val="0"/>
            <w:vAlign w:val="center"/>
          </w:tcPr>
          <w:p w14:paraId="106A0A72">
            <w:pPr>
              <w:keepNext w:val="0"/>
              <w:keepLines w:val="0"/>
              <w:pageBreakBefore w:val="0"/>
              <w:widowControl/>
              <w:kinsoku/>
              <w:wordWrap w:val="0"/>
              <w:overflowPunct/>
              <w:topLinePunct/>
              <w:autoSpaceDE/>
              <w:autoSpaceDN/>
              <w:bidi w:val="0"/>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有法定代表人或其委托代理人签字，并盖单位章；</w:t>
            </w:r>
          </w:p>
          <w:p w14:paraId="3E82F430">
            <w:pPr>
              <w:keepNext w:val="0"/>
              <w:keepLines w:val="0"/>
              <w:pageBreakBefore w:val="0"/>
              <w:widowControl/>
              <w:kinsoku/>
              <w:wordWrap w:val="0"/>
              <w:overflowPunct/>
              <w:topLinePunct/>
              <w:autoSpaceDE/>
              <w:autoSpaceDN/>
              <w:bidi w:val="0"/>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符合第四章“投标文件格式”中规定的格式及内容。</w:t>
            </w:r>
          </w:p>
        </w:tc>
      </w:tr>
      <w:tr w14:paraId="04C9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tcBorders>
              <w:tl2br w:val="nil"/>
              <w:tr2bl w:val="nil"/>
            </w:tcBorders>
            <w:noWrap w:val="0"/>
            <w:vAlign w:val="center"/>
          </w:tcPr>
          <w:p w14:paraId="526D17A2">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452825E5">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859" w:type="dxa"/>
            <w:tcBorders>
              <w:tl2br w:val="nil"/>
              <w:tr2bl w:val="nil"/>
            </w:tcBorders>
            <w:noWrap w:val="0"/>
            <w:vAlign w:val="center"/>
          </w:tcPr>
          <w:p w14:paraId="5836379A">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法定代表人身份证明书</w:t>
            </w:r>
          </w:p>
        </w:tc>
        <w:tc>
          <w:tcPr>
            <w:tcW w:w="6084" w:type="dxa"/>
            <w:tcBorders>
              <w:tl2br w:val="nil"/>
              <w:tr2bl w:val="nil"/>
            </w:tcBorders>
            <w:noWrap w:val="0"/>
            <w:vAlign w:val="center"/>
          </w:tcPr>
          <w:p w14:paraId="4FA27116">
            <w:pPr>
              <w:keepNext w:val="0"/>
              <w:keepLines w:val="0"/>
              <w:pageBreakBefore w:val="0"/>
              <w:widowControl/>
              <w:kinsoku/>
              <w:wordWrap w:val="0"/>
              <w:overflowPunct/>
              <w:topLinePunct/>
              <w:autoSpaceDE/>
              <w:autoSpaceDN/>
              <w:bidi w:val="0"/>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符合招标文件规定的格式及内容，并盖单位章；</w:t>
            </w:r>
          </w:p>
        </w:tc>
      </w:tr>
      <w:tr w14:paraId="7385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tcBorders>
              <w:tl2br w:val="nil"/>
              <w:tr2bl w:val="nil"/>
            </w:tcBorders>
            <w:noWrap w:val="0"/>
            <w:vAlign w:val="center"/>
          </w:tcPr>
          <w:p w14:paraId="52C37CE7">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693CA59D">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859" w:type="dxa"/>
            <w:tcBorders>
              <w:tl2br w:val="nil"/>
              <w:tr2bl w:val="nil"/>
            </w:tcBorders>
            <w:noWrap w:val="0"/>
            <w:vAlign w:val="center"/>
          </w:tcPr>
          <w:p w14:paraId="2E58295A">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法定代表人授权委托书</w:t>
            </w:r>
          </w:p>
        </w:tc>
        <w:tc>
          <w:tcPr>
            <w:tcW w:w="6084" w:type="dxa"/>
            <w:tcBorders>
              <w:tl2br w:val="nil"/>
              <w:tr2bl w:val="nil"/>
            </w:tcBorders>
            <w:noWrap w:val="0"/>
            <w:vAlign w:val="center"/>
          </w:tcPr>
          <w:p w14:paraId="1EF67A86">
            <w:pPr>
              <w:keepNext w:val="0"/>
              <w:keepLines w:val="0"/>
              <w:pageBreakBefore w:val="0"/>
              <w:widowControl/>
              <w:kinsoku/>
              <w:wordWrap w:val="0"/>
              <w:overflowPunct/>
              <w:topLinePunct/>
              <w:autoSpaceDE/>
              <w:autoSpaceDN/>
              <w:bidi w:val="0"/>
              <w:snapToGrid/>
              <w:spacing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有法定代表人及其委托代理人签字，并盖单位章；符合招标文件规定的格式及内容；</w:t>
            </w:r>
          </w:p>
        </w:tc>
      </w:tr>
      <w:tr w14:paraId="357D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tcBorders>
              <w:tl2br w:val="nil"/>
              <w:tr2bl w:val="nil"/>
            </w:tcBorders>
            <w:noWrap w:val="0"/>
            <w:vAlign w:val="center"/>
          </w:tcPr>
          <w:p w14:paraId="518B5ED5">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100F36F8">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859" w:type="dxa"/>
            <w:tcBorders>
              <w:tl2br w:val="nil"/>
              <w:tr2bl w:val="nil"/>
            </w:tcBorders>
            <w:noWrap w:val="0"/>
            <w:vAlign w:val="center"/>
          </w:tcPr>
          <w:p w14:paraId="7EF678BF">
            <w:pPr>
              <w:wordWrap w:val="0"/>
              <w:spacing w:line="360" w:lineRule="exact"/>
              <w:jc w:val="center"/>
              <w:rPr>
                <w:rFonts w:hint="eastAsia" w:ascii="仿宋" w:hAnsi="仿宋" w:eastAsia="仿宋" w:cs="仿宋"/>
                <w:color w:val="auto"/>
                <w:sz w:val="24"/>
                <w:szCs w:val="24"/>
              </w:rPr>
            </w:pPr>
            <w:r>
              <w:rPr>
                <w:rFonts w:hint="eastAsia" w:ascii="仿宋" w:hAnsi="仿宋" w:eastAsia="仿宋" w:cs="仿宋"/>
                <w:sz w:val="24"/>
              </w:rPr>
              <w:t>投标文件签字或盖章</w:t>
            </w:r>
          </w:p>
        </w:tc>
        <w:tc>
          <w:tcPr>
            <w:tcW w:w="6084" w:type="dxa"/>
            <w:tcBorders>
              <w:tl2br w:val="nil"/>
              <w:tr2bl w:val="nil"/>
            </w:tcBorders>
            <w:noWrap w:val="0"/>
            <w:vAlign w:val="center"/>
          </w:tcPr>
          <w:p w14:paraId="13E7B24E">
            <w:pPr>
              <w:wordWrap w:val="0"/>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符合第四章“投标文件格式”中规定的格式及内容</w:t>
            </w:r>
            <w:r>
              <w:rPr>
                <w:rFonts w:hint="eastAsia" w:ascii="仿宋" w:hAnsi="仿宋" w:eastAsia="仿宋" w:cs="仿宋"/>
                <w:color w:val="auto"/>
                <w:sz w:val="21"/>
                <w:szCs w:val="21"/>
                <w:lang w:eastAsia="zh-CN"/>
              </w:rPr>
              <w:t>；</w:t>
            </w:r>
          </w:p>
        </w:tc>
      </w:tr>
      <w:tr w14:paraId="0530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tcBorders>
              <w:tl2br w:val="nil"/>
              <w:tr2bl w:val="nil"/>
            </w:tcBorders>
            <w:noWrap w:val="0"/>
            <w:vAlign w:val="center"/>
          </w:tcPr>
          <w:p w14:paraId="4B1DF3FD">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2108362F">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859" w:type="dxa"/>
            <w:tcBorders>
              <w:tl2br w:val="nil"/>
              <w:tr2bl w:val="nil"/>
            </w:tcBorders>
            <w:noWrap w:val="0"/>
            <w:vAlign w:val="center"/>
          </w:tcPr>
          <w:p w14:paraId="2A45E5FC">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tc>
        <w:tc>
          <w:tcPr>
            <w:tcW w:w="6084" w:type="dxa"/>
            <w:tcBorders>
              <w:tl2br w:val="nil"/>
              <w:tr2bl w:val="nil"/>
            </w:tcBorders>
            <w:noWrap w:val="0"/>
            <w:vAlign w:val="center"/>
          </w:tcPr>
          <w:p w14:paraId="77ACF349">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left"/>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报价完整仅有一个报价方案</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若投标人投标报价超最高限价，则该投标人以不实质性响应招标文件要求处理；</w:t>
            </w:r>
          </w:p>
        </w:tc>
      </w:tr>
      <w:tr w14:paraId="40EC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tcBorders>
              <w:tl2br w:val="nil"/>
              <w:tr2bl w:val="nil"/>
            </w:tcBorders>
            <w:noWrap w:val="0"/>
            <w:vAlign w:val="center"/>
          </w:tcPr>
          <w:p w14:paraId="24C3EF46">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7190D597">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859" w:type="dxa"/>
            <w:tcBorders>
              <w:tl2br w:val="nil"/>
              <w:tr2bl w:val="nil"/>
            </w:tcBorders>
            <w:noWrap w:val="0"/>
            <w:vAlign w:val="center"/>
          </w:tcPr>
          <w:p w14:paraId="687914B2">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投标有效期</w:t>
            </w:r>
          </w:p>
        </w:tc>
        <w:tc>
          <w:tcPr>
            <w:tcW w:w="6084" w:type="dxa"/>
            <w:tcBorders>
              <w:tl2br w:val="nil"/>
              <w:tr2bl w:val="nil"/>
            </w:tcBorders>
            <w:noWrap w:val="0"/>
            <w:vAlign w:val="center"/>
          </w:tcPr>
          <w:p w14:paraId="566FFCCB">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符合第二章“投标人须知”第17.1项规定</w:t>
            </w:r>
          </w:p>
        </w:tc>
      </w:tr>
      <w:tr w14:paraId="113B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tcBorders>
              <w:tl2br w:val="nil"/>
              <w:tr2bl w:val="nil"/>
            </w:tcBorders>
            <w:noWrap w:val="0"/>
            <w:vAlign w:val="center"/>
          </w:tcPr>
          <w:p w14:paraId="2FE74A4B">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66BB0885">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859" w:type="dxa"/>
            <w:tcBorders>
              <w:tl2br w:val="nil"/>
              <w:tr2bl w:val="nil"/>
            </w:tcBorders>
            <w:noWrap w:val="0"/>
            <w:vAlign w:val="center"/>
          </w:tcPr>
          <w:p w14:paraId="359CBE7F">
            <w:pPr>
              <w:wordWrap w:val="0"/>
              <w:spacing w:line="360" w:lineRule="exact"/>
              <w:jc w:val="center"/>
              <w:rPr>
                <w:rFonts w:hint="eastAsia" w:ascii="仿宋" w:hAnsi="仿宋" w:eastAsia="仿宋" w:cs="仿宋"/>
                <w:sz w:val="24"/>
                <w:lang w:eastAsia="zh-CN"/>
              </w:rPr>
            </w:pPr>
            <w:r>
              <w:rPr>
                <w:rFonts w:hint="eastAsia" w:ascii="仿宋" w:hAnsi="仿宋" w:eastAsia="仿宋" w:cs="仿宋"/>
                <w:sz w:val="24"/>
                <w:lang w:eastAsia="zh-CN"/>
              </w:rPr>
              <w:t>投标人提供的证件材料</w:t>
            </w:r>
          </w:p>
        </w:tc>
        <w:tc>
          <w:tcPr>
            <w:tcW w:w="6084" w:type="dxa"/>
            <w:tcBorders>
              <w:tl2br w:val="nil"/>
              <w:tr2bl w:val="nil"/>
            </w:tcBorders>
            <w:noWrap w:val="0"/>
            <w:vAlign w:val="center"/>
          </w:tcPr>
          <w:p w14:paraId="51C7BB31">
            <w:pPr>
              <w:wordWrap w:val="0"/>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lang w:eastAsia="zh-CN"/>
              </w:rPr>
              <w:t>证件</w:t>
            </w:r>
            <w:r>
              <w:rPr>
                <w:rFonts w:hint="eastAsia" w:ascii="仿宋" w:hAnsi="仿宋" w:eastAsia="仿宋" w:cs="仿宋"/>
                <w:color w:val="auto"/>
                <w:sz w:val="21"/>
                <w:szCs w:val="21"/>
              </w:rPr>
              <w:t>在有效期内</w:t>
            </w:r>
          </w:p>
        </w:tc>
      </w:tr>
      <w:tr w14:paraId="19A5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tcBorders>
              <w:tl2br w:val="nil"/>
              <w:tr2bl w:val="nil"/>
            </w:tcBorders>
            <w:noWrap w:val="0"/>
            <w:vAlign w:val="center"/>
          </w:tcPr>
          <w:p w14:paraId="05CD6B78">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44802204">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859" w:type="dxa"/>
            <w:vMerge w:val="restart"/>
            <w:tcBorders>
              <w:tl2br w:val="nil"/>
              <w:tr2bl w:val="nil"/>
            </w:tcBorders>
            <w:noWrap w:val="0"/>
            <w:vAlign w:val="center"/>
          </w:tcPr>
          <w:p w14:paraId="3F9D2380">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其它实质性条件</w:t>
            </w:r>
          </w:p>
        </w:tc>
        <w:tc>
          <w:tcPr>
            <w:tcW w:w="6084" w:type="dxa"/>
            <w:tcBorders>
              <w:tl2br w:val="nil"/>
              <w:tr2bl w:val="nil"/>
            </w:tcBorders>
            <w:noWrap w:val="0"/>
            <w:vAlign w:val="center"/>
          </w:tcPr>
          <w:p w14:paraId="16D733EF">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关键内容字迹潦草、表达不清、未按要求填写而导致非唯一理解的</w:t>
            </w:r>
          </w:p>
        </w:tc>
      </w:tr>
      <w:tr w14:paraId="4DA4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tcBorders>
              <w:tl2br w:val="nil"/>
              <w:tr2bl w:val="nil"/>
            </w:tcBorders>
            <w:noWrap w:val="0"/>
            <w:vAlign w:val="center"/>
          </w:tcPr>
          <w:p w14:paraId="5EC17851">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39454010">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859" w:type="dxa"/>
            <w:vMerge w:val="continue"/>
            <w:tcBorders>
              <w:tl2br w:val="nil"/>
              <w:tr2bl w:val="nil"/>
            </w:tcBorders>
            <w:noWrap w:val="0"/>
            <w:vAlign w:val="center"/>
          </w:tcPr>
          <w:p w14:paraId="6B93158E">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p>
        </w:tc>
        <w:tc>
          <w:tcPr>
            <w:tcW w:w="6084" w:type="dxa"/>
            <w:tcBorders>
              <w:tl2br w:val="nil"/>
              <w:tr2bl w:val="nil"/>
            </w:tcBorders>
            <w:noWrap w:val="0"/>
            <w:vAlign w:val="center"/>
          </w:tcPr>
          <w:p w14:paraId="625D6F8A">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投标文件如果出现计算或表达上的错误，投标人不接受按招标文件第六章《评标办法》3.1.2条款规定的原则进行修正的</w:t>
            </w:r>
          </w:p>
        </w:tc>
      </w:tr>
      <w:tr w14:paraId="267F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4" w:type="dxa"/>
            <w:vMerge w:val="continue"/>
            <w:tcBorders>
              <w:tl2br w:val="nil"/>
              <w:tr2bl w:val="nil"/>
            </w:tcBorders>
            <w:noWrap w:val="0"/>
            <w:vAlign w:val="center"/>
          </w:tcPr>
          <w:p w14:paraId="466CA207">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60C3AB12">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859" w:type="dxa"/>
            <w:vMerge w:val="continue"/>
            <w:tcBorders>
              <w:tl2br w:val="nil"/>
              <w:tr2bl w:val="nil"/>
            </w:tcBorders>
            <w:noWrap w:val="0"/>
            <w:vAlign w:val="center"/>
          </w:tcPr>
          <w:p w14:paraId="4EA64260">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p>
        </w:tc>
        <w:tc>
          <w:tcPr>
            <w:tcW w:w="6084" w:type="dxa"/>
            <w:tcBorders>
              <w:tl2br w:val="nil"/>
              <w:tr2bl w:val="nil"/>
            </w:tcBorders>
            <w:noWrap w:val="0"/>
            <w:vAlign w:val="center"/>
          </w:tcPr>
          <w:p w14:paraId="213E9DBC">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若投标人投标报价超</w:t>
            </w:r>
            <w:r>
              <w:rPr>
                <w:rFonts w:hint="eastAsia" w:ascii="仿宋" w:hAnsi="仿宋" w:eastAsia="仿宋" w:cs="仿宋"/>
                <w:b w:val="0"/>
                <w:bCs w:val="0"/>
                <w:color w:val="auto"/>
                <w:kern w:val="0"/>
                <w:sz w:val="21"/>
                <w:szCs w:val="21"/>
                <w:lang w:val="en-US" w:eastAsia="zh-CN"/>
              </w:rPr>
              <w:t>采购预算单价及预算总价，</w:t>
            </w:r>
            <w:r>
              <w:rPr>
                <w:rFonts w:hint="eastAsia" w:ascii="仿宋" w:hAnsi="仿宋" w:eastAsia="仿宋" w:cs="仿宋"/>
                <w:color w:val="auto"/>
                <w:sz w:val="21"/>
                <w:szCs w:val="21"/>
              </w:rPr>
              <w:t>则该投标人以不实质性响应招标文件要求处理</w:t>
            </w:r>
          </w:p>
        </w:tc>
      </w:tr>
      <w:tr w14:paraId="3572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34" w:type="dxa"/>
            <w:vMerge w:val="continue"/>
            <w:tcBorders>
              <w:tl2br w:val="nil"/>
              <w:tr2bl w:val="nil"/>
            </w:tcBorders>
            <w:noWrap w:val="0"/>
            <w:vAlign w:val="center"/>
          </w:tcPr>
          <w:p w14:paraId="612CEAE2">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1534DA68">
            <w:pPr>
              <w:keepNext w:val="0"/>
              <w:keepLines w:val="0"/>
              <w:pageBreakBefore w:val="0"/>
              <w:widowControl/>
              <w:kinsoku/>
              <w:wordWrap w:val="0"/>
              <w:overflowPunct/>
              <w:topLinePunct/>
              <w:autoSpaceDE/>
              <w:autoSpaceDN/>
              <w:bidi w:val="0"/>
              <w:snapToGrid/>
              <w:spacing w:before="100" w:beforeAutospacing="1" w:after="100" w:afterAutospacing="1" w:line="400" w:lineRule="exact"/>
              <w:textAlignment w:val="auto"/>
              <w:rPr>
                <w:rFonts w:hint="eastAsia" w:ascii="仿宋" w:hAnsi="仿宋" w:eastAsia="仿宋" w:cs="仿宋"/>
                <w:color w:val="auto"/>
                <w:sz w:val="24"/>
                <w:szCs w:val="24"/>
              </w:rPr>
            </w:pPr>
          </w:p>
        </w:tc>
        <w:tc>
          <w:tcPr>
            <w:tcW w:w="1859" w:type="dxa"/>
            <w:vMerge w:val="continue"/>
            <w:tcBorders>
              <w:tl2br w:val="nil"/>
              <w:tr2bl w:val="nil"/>
            </w:tcBorders>
            <w:noWrap w:val="0"/>
            <w:vAlign w:val="center"/>
          </w:tcPr>
          <w:p w14:paraId="2D883875">
            <w:pPr>
              <w:keepNext w:val="0"/>
              <w:keepLines w:val="0"/>
              <w:pageBreakBefore w:val="0"/>
              <w:widowControl/>
              <w:kinsoku/>
              <w:wordWrap w:val="0"/>
              <w:overflowPunct/>
              <w:topLinePunct/>
              <w:autoSpaceDE/>
              <w:autoSpaceDN/>
              <w:bidi w:val="0"/>
              <w:snapToGrid/>
              <w:spacing w:before="100" w:beforeAutospacing="1" w:after="100" w:afterAutospacing="1" w:line="400" w:lineRule="exact"/>
              <w:jc w:val="center"/>
              <w:textAlignment w:val="auto"/>
              <w:rPr>
                <w:rFonts w:hint="eastAsia" w:ascii="仿宋" w:hAnsi="仿宋" w:eastAsia="仿宋" w:cs="仿宋"/>
                <w:color w:val="auto"/>
                <w:sz w:val="24"/>
                <w:szCs w:val="24"/>
              </w:rPr>
            </w:pPr>
          </w:p>
        </w:tc>
        <w:tc>
          <w:tcPr>
            <w:tcW w:w="6084" w:type="dxa"/>
            <w:tcBorders>
              <w:tl2br w:val="nil"/>
              <w:tr2bl w:val="nil"/>
            </w:tcBorders>
            <w:noWrap w:val="0"/>
            <w:vAlign w:val="center"/>
          </w:tcPr>
          <w:p w14:paraId="3D1C9E5F">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未响应其它招标文件中规定的实质性内容的</w:t>
            </w:r>
          </w:p>
        </w:tc>
      </w:tr>
      <w:tr w14:paraId="4F4D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934" w:type="dxa"/>
            <w:vMerge w:val="restart"/>
            <w:tcBorders>
              <w:tl2br w:val="nil"/>
              <w:tr2bl w:val="nil"/>
            </w:tcBorders>
            <w:noWrap w:val="0"/>
            <w:vAlign w:val="center"/>
          </w:tcPr>
          <w:p w14:paraId="07290665">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1082" w:type="dxa"/>
            <w:vMerge w:val="restart"/>
            <w:tcBorders>
              <w:tl2br w:val="nil"/>
              <w:tr2bl w:val="nil"/>
            </w:tcBorders>
            <w:noWrap w:val="0"/>
            <w:vAlign w:val="center"/>
          </w:tcPr>
          <w:p w14:paraId="2CC4680C">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详细评审标准</w:t>
            </w:r>
          </w:p>
        </w:tc>
        <w:tc>
          <w:tcPr>
            <w:tcW w:w="1859" w:type="dxa"/>
            <w:tcBorders>
              <w:tl2br w:val="nil"/>
              <w:tr2bl w:val="nil"/>
            </w:tcBorders>
            <w:noWrap w:val="0"/>
            <w:vAlign w:val="center"/>
          </w:tcPr>
          <w:p w14:paraId="101C82A4">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1）评标总得分计算公式</w:t>
            </w:r>
          </w:p>
        </w:tc>
        <w:tc>
          <w:tcPr>
            <w:tcW w:w="6084" w:type="dxa"/>
            <w:tcBorders>
              <w:tl2br w:val="nil"/>
              <w:tr2bl w:val="nil"/>
            </w:tcBorders>
            <w:noWrap w:val="0"/>
            <w:vAlign w:val="center"/>
          </w:tcPr>
          <w:p w14:paraId="2439C97D">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投标人的评标总得分＝F1＋F2＋F3</w:t>
            </w:r>
          </w:p>
          <w:p w14:paraId="4D102C73">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其中：</w:t>
            </w:r>
          </w:p>
          <w:p w14:paraId="0BE74A60">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F1、F2、F3分别为投标报价、技术部分、</w:t>
            </w:r>
            <w:r>
              <w:rPr>
                <w:rFonts w:hint="eastAsia" w:ascii="仿宋" w:hAnsi="仿宋" w:eastAsia="仿宋" w:cs="仿宋"/>
                <w:color w:val="auto"/>
                <w:sz w:val="21"/>
                <w:szCs w:val="21"/>
                <w:lang w:eastAsia="zh-CN"/>
              </w:rPr>
              <w:t>商务</w:t>
            </w:r>
            <w:r>
              <w:rPr>
                <w:rFonts w:hint="eastAsia" w:ascii="仿宋" w:hAnsi="仿宋" w:eastAsia="仿宋" w:cs="仿宋"/>
                <w:color w:val="auto"/>
                <w:sz w:val="21"/>
                <w:szCs w:val="21"/>
              </w:rPr>
              <w:t>部分3项评分因素的汇总得分；</w:t>
            </w:r>
          </w:p>
        </w:tc>
      </w:tr>
      <w:tr w14:paraId="43AB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34" w:type="dxa"/>
            <w:vMerge w:val="continue"/>
            <w:tcBorders>
              <w:tl2br w:val="nil"/>
              <w:tr2bl w:val="nil"/>
            </w:tcBorders>
            <w:noWrap w:val="0"/>
            <w:vAlign w:val="center"/>
          </w:tcPr>
          <w:p w14:paraId="163C7AE8">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4A3C6DB1">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color w:val="auto"/>
                <w:sz w:val="24"/>
                <w:szCs w:val="24"/>
              </w:rPr>
            </w:pPr>
          </w:p>
        </w:tc>
        <w:tc>
          <w:tcPr>
            <w:tcW w:w="1859" w:type="dxa"/>
            <w:tcBorders>
              <w:tl2br w:val="nil"/>
              <w:tr2bl w:val="nil"/>
            </w:tcBorders>
            <w:noWrap w:val="0"/>
            <w:vAlign w:val="center"/>
          </w:tcPr>
          <w:p w14:paraId="03E6E316">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2）评分因素权重</w:t>
            </w:r>
          </w:p>
        </w:tc>
        <w:tc>
          <w:tcPr>
            <w:tcW w:w="6084" w:type="dxa"/>
            <w:tcBorders>
              <w:tl2br w:val="nil"/>
              <w:tr2bl w:val="nil"/>
            </w:tcBorders>
            <w:noWrap w:val="0"/>
            <w:vAlign w:val="center"/>
          </w:tcPr>
          <w:p w14:paraId="50CDF896">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投标报价F1：30分；</w:t>
            </w:r>
          </w:p>
          <w:p w14:paraId="01DB4E06">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技术部分F2：</w:t>
            </w:r>
            <w:r>
              <w:rPr>
                <w:rFonts w:hint="eastAsia" w:ascii="仿宋" w:hAnsi="仿宋" w:eastAsia="仿宋" w:cs="仿宋"/>
                <w:b/>
                <w:color w:val="auto"/>
                <w:sz w:val="21"/>
                <w:szCs w:val="21"/>
                <w:lang w:val="en-US" w:eastAsia="zh-CN"/>
              </w:rPr>
              <w:t>50</w:t>
            </w:r>
            <w:r>
              <w:rPr>
                <w:rFonts w:hint="eastAsia" w:ascii="仿宋" w:hAnsi="仿宋" w:eastAsia="仿宋" w:cs="仿宋"/>
                <w:b/>
                <w:color w:val="auto"/>
                <w:sz w:val="21"/>
                <w:szCs w:val="21"/>
              </w:rPr>
              <w:t>分</w:t>
            </w:r>
            <w:r>
              <w:rPr>
                <w:rFonts w:hint="eastAsia" w:ascii="仿宋" w:hAnsi="仿宋" w:eastAsia="仿宋" w:cs="仿宋"/>
                <w:b/>
                <w:color w:val="auto"/>
                <w:sz w:val="21"/>
                <w:szCs w:val="21"/>
                <w:lang w:eastAsia="zh-CN"/>
              </w:rPr>
              <w:t>；</w:t>
            </w:r>
          </w:p>
          <w:p w14:paraId="0722D479">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商务部分</w:t>
            </w:r>
            <w:r>
              <w:rPr>
                <w:rFonts w:hint="eastAsia" w:ascii="仿宋" w:hAnsi="仿宋" w:eastAsia="仿宋" w:cs="仿宋"/>
                <w:b/>
                <w:color w:val="auto"/>
                <w:sz w:val="21"/>
                <w:szCs w:val="21"/>
              </w:rPr>
              <w:t>F3：</w:t>
            </w:r>
            <w:r>
              <w:rPr>
                <w:rFonts w:hint="eastAsia" w:ascii="仿宋" w:hAnsi="仿宋" w:eastAsia="仿宋" w:cs="仿宋"/>
                <w:b/>
                <w:color w:val="auto"/>
                <w:sz w:val="21"/>
                <w:szCs w:val="21"/>
                <w:lang w:val="en-US" w:eastAsia="zh-CN"/>
              </w:rPr>
              <w:t>20</w:t>
            </w:r>
            <w:r>
              <w:rPr>
                <w:rFonts w:hint="eastAsia" w:ascii="仿宋" w:hAnsi="仿宋" w:eastAsia="仿宋" w:cs="仿宋"/>
                <w:b/>
                <w:color w:val="auto"/>
                <w:sz w:val="21"/>
                <w:szCs w:val="21"/>
              </w:rPr>
              <w:t>分</w:t>
            </w:r>
            <w:r>
              <w:rPr>
                <w:rFonts w:hint="eastAsia" w:ascii="仿宋" w:hAnsi="仿宋" w:eastAsia="仿宋" w:cs="仿宋"/>
                <w:b/>
                <w:color w:val="auto"/>
                <w:sz w:val="21"/>
                <w:szCs w:val="21"/>
                <w:lang w:eastAsia="zh-CN"/>
              </w:rPr>
              <w:t>。</w:t>
            </w:r>
          </w:p>
        </w:tc>
      </w:tr>
      <w:tr w14:paraId="5375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934" w:type="dxa"/>
            <w:tcBorders>
              <w:tl2br w:val="nil"/>
              <w:tr2bl w:val="nil"/>
            </w:tcBorders>
            <w:noWrap w:val="0"/>
            <w:vAlign w:val="center"/>
          </w:tcPr>
          <w:p w14:paraId="4E0852EC">
            <w:pPr>
              <w:keepNext w:val="0"/>
              <w:keepLines w:val="0"/>
              <w:pageBreakBefore w:val="0"/>
              <w:widowControl/>
              <w:kinsoku/>
              <w:wordWrap w:val="0"/>
              <w:overflowPunct/>
              <w:topLinePunct/>
              <w:autoSpaceDE/>
              <w:autoSpaceDN/>
              <w:bidi w:val="0"/>
              <w:snapToGrid/>
              <w:spacing w:line="4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3.2.1（1）</w:t>
            </w:r>
          </w:p>
        </w:tc>
        <w:tc>
          <w:tcPr>
            <w:tcW w:w="1082" w:type="dxa"/>
            <w:tcBorders>
              <w:tl2br w:val="nil"/>
              <w:tr2bl w:val="nil"/>
            </w:tcBorders>
            <w:noWrap w:val="0"/>
            <w:vAlign w:val="center"/>
          </w:tcPr>
          <w:p w14:paraId="70B8F267">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投标报价得分（F1）</w:t>
            </w:r>
          </w:p>
          <w:p w14:paraId="44F63BDC">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1859" w:type="dxa"/>
            <w:tcBorders>
              <w:tl2br w:val="nil"/>
              <w:tr2bl w:val="nil"/>
            </w:tcBorders>
            <w:noWrap w:val="0"/>
            <w:vAlign w:val="center"/>
          </w:tcPr>
          <w:p w14:paraId="48DE2079">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投标报价评分</w:t>
            </w:r>
          </w:p>
          <w:p w14:paraId="48174839">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计算公式</w:t>
            </w:r>
          </w:p>
        </w:tc>
        <w:tc>
          <w:tcPr>
            <w:tcW w:w="6084" w:type="dxa"/>
            <w:tcBorders>
              <w:tl2br w:val="nil"/>
              <w:tr2bl w:val="nil"/>
            </w:tcBorders>
            <w:noWrap w:val="0"/>
            <w:vAlign w:val="center"/>
          </w:tcPr>
          <w:p w14:paraId="71B41E74">
            <w:pPr>
              <w:keepNext w:val="0"/>
              <w:keepLines w:val="0"/>
              <w:pageBreakBefore w:val="0"/>
              <w:widowControl/>
              <w:kinsoku/>
              <w:wordWrap w:val="0"/>
              <w:overflowPunct/>
              <w:topLinePunct/>
              <w:autoSpaceDE/>
              <w:autoSpaceDN/>
              <w:bidi w:val="0"/>
              <w:adjustRightInd w:val="0"/>
              <w:snapToGrid/>
              <w:spacing w:line="400" w:lineRule="exac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投标报价得分计算公式</w:t>
            </w:r>
            <w:r>
              <w:rPr>
                <w:rFonts w:hint="eastAsia" w:ascii="仿宋" w:hAnsi="仿宋" w:eastAsia="仿宋" w:cs="仿宋"/>
                <w:b/>
                <w:bCs/>
                <w:color w:val="auto"/>
                <w:sz w:val="21"/>
                <w:szCs w:val="21"/>
                <w:lang w:eastAsia="zh-CN"/>
              </w:rPr>
              <w:t>：</w:t>
            </w:r>
            <w:r>
              <w:rPr>
                <w:rFonts w:hint="eastAsia" w:ascii="仿宋" w:hAnsi="仿宋" w:eastAsia="仿宋" w:cs="仿宋"/>
                <w:color w:val="auto"/>
                <w:sz w:val="21"/>
                <w:szCs w:val="21"/>
              </w:rPr>
              <w:t>F1=[C/（B1，B2，…，Bn）]×</w:t>
            </w:r>
            <w:r>
              <w:rPr>
                <w:rFonts w:hint="eastAsia" w:ascii="仿宋" w:hAnsi="仿宋" w:eastAsia="仿宋" w:cs="仿宋"/>
                <w:color w:val="auto"/>
                <w:sz w:val="21"/>
                <w:szCs w:val="21"/>
                <w:lang w:val="en-US" w:eastAsia="zh-CN"/>
              </w:rPr>
              <w:t>30；</w:t>
            </w:r>
          </w:p>
          <w:p w14:paraId="6C3C4384">
            <w:pPr>
              <w:keepNext w:val="0"/>
              <w:keepLines w:val="0"/>
              <w:pageBreakBefore w:val="0"/>
              <w:widowControl/>
              <w:kinsoku/>
              <w:wordWrap w:val="0"/>
              <w:overflowPunct/>
              <w:topLinePunct/>
              <w:autoSpaceDE/>
              <w:autoSpaceDN/>
              <w:bidi w:val="0"/>
              <w:adjustRightInd w:val="0"/>
              <w:snapToGrid/>
              <w:spacing w:line="400" w:lineRule="exac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注：C为评标基准价，即经初步审查合格的</w:t>
            </w:r>
            <w:r>
              <w:rPr>
                <w:rFonts w:hint="eastAsia" w:ascii="仿宋" w:hAnsi="仿宋" w:eastAsia="仿宋" w:cs="仿宋"/>
                <w:color w:val="auto"/>
                <w:sz w:val="21"/>
                <w:szCs w:val="21"/>
                <w:lang w:eastAsia="zh-CN"/>
              </w:rPr>
              <w:t>，有效投标报价</w:t>
            </w:r>
            <w:r>
              <w:rPr>
                <w:rFonts w:hint="eastAsia" w:ascii="仿宋" w:hAnsi="仿宋" w:eastAsia="仿宋" w:cs="仿宋"/>
                <w:color w:val="auto"/>
                <w:sz w:val="21"/>
                <w:szCs w:val="21"/>
              </w:rPr>
              <w:t>最低的</w:t>
            </w:r>
            <w:r>
              <w:rPr>
                <w:rFonts w:hint="eastAsia" w:ascii="仿宋" w:hAnsi="仿宋" w:eastAsia="仿宋" w:cs="仿宋"/>
                <w:color w:val="auto"/>
                <w:sz w:val="21"/>
                <w:szCs w:val="21"/>
                <w:lang w:eastAsia="zh-CN"/>
              </w:rPr>
              <w:t>为评标基准价</w:t>
            </w:r>
            <w:r>
              <w:rPr>
                <w:rFonts w:hint="eastAsia" w:ascii="仿宋" w:hAnsi="仿宋" w:eastAsia="仿宋" w:cs="仿宋"/>
                <w:color w:val="auto"/>
                <w:sz w:val="21"/>
                <w:szCs w:val="21"/>
              </w:rPr>
              <w:t>；</w:t>
            </w:r>
          </w:p>
          <w:p w14:paraId="44DC16BF">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B1，B2，…，Bn为第n个经初步审查合格的有效投标报价。</w:t>
            </w:r>
          </w:p>
          <w:p w14:paraId="0CA33074">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b/>
                <w:color w:val="auto"/>
                <w:sz w:val="21"/>
                <w:szCs w:val="21"/>
                <w:u w:val="single"/>
              </w:rPr>
            </w:pP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因落实政府采购政策进行价格调整的，以调整后的价格计算</w:t>
            </w:r>
            <w:r>
              <w:rPr>
                <w:rFonts w:hint="eastAsia" w:ascii="仿宋" w:hAnsi="仿宋" w:eastAsia="仿宋" w:cs="仿宋"/>
                <w:color w:val="auto"/>
                <w:sz w:val="21"/>
                <w:szCs w:val="21"/>
                <w:lang w:eastAsia="zh-CN"/>
              </w:rPr>
              <w:t>评标</w:t>
            </w:r>
            <w:r>
              <w:rPr>
                <w:rFonts w:hint="eastAsia" w:ascii="仿宋" w:hAnsi="仿宋" w:eastAsia="仿宋" w:cs="仿宋"/>
                <w:color w:val="auto"/>
                <w:sz w:val="21"/>
                <w:szCs w:val="21"/>
              </w:rPr>
              <w:t>基准价和</w:t>
            </w:r>
            <w:r>
              <w:rPr>
                <w:rFonts w:hint="eastAsia" w:ascii="仿宋" w:hAnsi="仿宋" w:eastAsia="仿宋" w:cs="仿宋"/>
                <w:color w:val="auto"/>
                <w:sz w:val="21"/>
                <w:szCs w:val="21"/>
                <w:lang w:eastAsia="zh-CN"/>
              </w:rPr>
              <w:t>投标人报价</w:t>
            </w:r>
            <w:r>
              <w:rPr>
                <w:rFonts w:hint="eastAsia" w:ascii="仿宋" w:hAnsi="仿宋" w:eastAsia="仿宋" w:cs="仿宋"/>
                <w:color w:val="auto"/>
                <w:sz w:val="21"/>
                <w:szCs w:val="21"/>
              </w:rPr>
              <w:t>。</w:t>
            </w:r>
          </w:p>
        </w:tc>
      </w:tr>
      <w:tr w14:paraId="4E42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tcBorders>
              <w:tl2br w:val="nil"/>
              <w:tr2bl w:val="nil"/>
            </w:tcBorders>
            <w:noWrap w:val="0"/>
            <w:vAlign w:val="center"/>
          </w:tcPr>
          <w:p w14:paraId="2AC87C5E">
            <w:pPr>
              <w:keepNext w:val="0"/>
              <w:keepLines w:val="0"/>
              <w:pageBreakBefore w:val="0"/>
              <w:widowControl/>
              <w:kinsoku/>
              <w:wordWrap w:val="0"/>
              <w:overflowPunct/>
              <w:topLinePunct/>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3.2.1（2）</w:t>
            </w:r>
          </w:p>
        </w:tc>
        <w:tc>
          <w:tcPr>
            <w:tcW w:w="1082" w:type="dxa"/>
            <w:tcBorders>
              <w:tl2br w:val="nil"/>
              <w:tr2bl w:val="nil"/>
            </w:tcBorders>
            <w:noWrap w:val="0"/>
            <w:vAlign w:val="center"/>
          </w:tcPr>
          <w:p w14:paraId="628DEDE3">
            <w:pPr>
              <w:keepNext w:val="0"/>
              <w:keepLines w:val="0"/>
              <w:pageBreakBefore w:val="0"/>
              <w:widowControl/>
              <w:kinsoku/>
              <w:wordWrap w:val="0"/>
              <w:overflowPunct/>
              <w:topLinePunct/>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技术部分</w:t>
            </w:r>
          </w:p>
          <w:p w14:paraId="48AC597A">
            <w:pPr>
              <w:keepNext w:val="0"/>
              <w:keepLines w:val="0"/>
              <w:pageBreakBefore w:val="0"/>
              <w:widowControl/>
              <w:kinsoku/>
              <w:wordWrap w:val="0"/>
              <w:overflowPunct/>
              <w:topLinePunct/>
              <w:autoSpaceDE/>
              <w:autoSpaceDN/>
              <w:bidi w:val="0"/>
              <w:adjustRightInd/>
              <w:snapToGrid/>
              <w:spacing w:line="4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（F2）</w:t>
            </w:r>
          </w:p>
          <w:p w14:paraId="4D51A2E5">
            <w:pPr>
              <w:keepNext w:val="0"/>
              <w:keepLines w:val="0"/>
              <w:pageBreakBefore w:val="0"/>
              <w:widowControl/>
              <w:kinsoku/>
              <w:wordWrap w:val="0"/>
              <w:overflowPunct/>
              <w:topLinePunct/>
              <w:autoSpaceDE/>
              <w:autoSpaceDN/>
              <w:bidi w:val="0"/>
              <w:adjustRightInd/>
              <w:snapToGrid/>
              <w:spacing w:line="40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评分标准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50分）</w:t>
            </w:r>
          </w:p>
        </w:tc>
        <w:tc>
          <w:tcPr>
            <w:tcW w:w="7943" w:type="dxa"/>
            <w:gridSpan w:val="2"/>
            <w:tcBorders>
              <w:tl2br w:val="nil"/>
              <w:tr2bl w:val="nil"/>
            </w:tcBorders>
            <w:noWrap w:val="0"/>
            <w:vAlign w:val="center"/>
          </w:tcPr>
          <w:p w14:paraId="6CEAE1B1">
            <w:pPr>
              <w:keepNext w:val="0"/>
              <w:keepLines w:val="0"/>
              <w:pageBreakBefore w:val="0"/>
              <w:widowControl/>
              <w:kinsoku/>
              <w:wordWrap w:val="0"/>
              <w:overflowPunct/>
              <w:topLinePunct/>
              <w:autoSpaceDE/>
              <w:autoSpaceDN/>
              <w:bidi w:val="0"/>
              <w:snapToGrid/>
              <w:spacing w:line="400" w:lineRule="exact"/>
              <w:ind w:firstLine="422" w:firstLineChars="200"/>
              <w:jc w:val="both"/>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1.投标人所提供的服务要求指标对招标文件服务要求指标响应的程度（满分</w:t>
            </w:r>
            <w:r>
              <w:rPr>
                <w:rFonts w:hint="eastAsia" w:ascii="仿宋" w:hAnsi="仿宋" w:eastAsia="仿宋" w:cs="仿宋"/>
                <w:b/>
                <w:bCs/>
                <w:color w:val="auto"/>
                <w:sz w:val="21"/>
                <w:szCs w:val="21"/>
                <w:highlight w:val="none"/>
                <w:lang w:val="en-US" w:eastAsia="zh-CN"/>
              </w:rPr>
              <w:t>20</w:t>
            </w:r>
            <w:r>
              <w:rPr>
                <w:rFonts w:hint="eastAsia" w:ascii="仿宋" w:hAnsi="仿宋" w:eastAsia="仿宋" w:cs="仿宋"/>
                <w:b/>
                <w:bCs/>
                <w:color w:val="auto"/>
                <w:sz w:val="21"/>
                <w:szCs w:val="21"/>
                <w:highlight w:val="none"/>
              </w:rPr>
              <w:t>分）；</w:t>
            </w:r>
          </w:p>
          <w:p w14:paraId="13B02241">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根据招标文件第五章</w:t>
            </w:r>
            <w:r>
              <w:rPr>
                <w:rFonts w:hint="eastAsia" w:ascii="仿宋" w:hAnsi="仿宋" w:eastAsia="仿宋" w:cs="仿宋"/>
                <w:color w:val="auto"/>
                <w:sz w:val="21"/>
                <w:szCs w:val="21"/>
                <w:highlight w:val="none"/>
                <w:lang w:eastAsia="zh-CN"/>
              </w:rPr>
              <w:t>采购需求及服务要求</w:t>
            </w:r>
            <w:r>
              <w:rPr>
                <w:rFonts w:hint="eastAsia" w:ascii="仿宋" w:hAnsi="仿宋" w:eastAsia="仿宋" w:cs="仿宋"/>
                <w:color w:val="auto"/>
                <w:sz w:val="21"/>
                <w:szCs w:val="21"/>
                <w:highlight w:val="none"/>
              </w:rPr>
              <w:t>中的服务要求，标注星号（“★”）的条款为重要技术指标及要求，共</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条，</w:t>
            </w:r>
            <w:r>
              <w:rPr>
                <w:rFonts w:hint="eastAsia" w:ascii="仿宋" w:hAnsi="仿宋" w:eastAsia="仿宋" w:cs="仿宋"/>
                <w:color w:val="auto"/>
                <w:sz w:val="21"/>
                <w:szCs w:val="21"/>
                <w:highlight w:val="none"/>
                <w:lang w:val="en-US" w:eastAsia="zh-CN"/>
              </w:rPr>
              <w:t>不允许负偏离，否则按无效投标处理，符合性审查不予通过</w:t>
            </w:r>
            <w:r>
              <w:rPr>
                <w:rFonts w:hint="eastAsia" w:ascii="仿宋" w:hAnsi="仿宋" w:eastAsia="仿宋" w:cs="仿宋"/>
                <w:color w:val="auto"/>
                <w:sz w:val="21"/>
                <w:szCs w:val="21"/>
                <w:highlight w:val="none"/>
              </w:rPr>
              <w:t>；未标注星号（“★”）的条款为一般技术条款，共</w:t>
            </w:r>
            <w:r>
              <w:rPr>
                <w:rFonts w:hint="eastAsia" w:ascii="仿宋" w:hAnsi="仿宋" w:eastAsia="仿宋" w:cs="仿宋"/>
                <w:color w:val="auto"/>
                <w:sz w:val="21"/>
                <w:szCs w:val="21"/>
                <w:highlight w:val="none"/>
                <w:lang w:val="en-US" w:eastAsia="zh-CN"/>
              </w:rPr>
              <w:t>24</w:t>
            </w:r>
            <w:r>
              <w:rPr>
                <w:rFonts w:hint="eastAsia" w:ascii="仿宋" w:hAnsi="仿宋" w:eastAsia="仿宋" w:cs="仿宋"/>
                <w:color w:val="auto"/>
                <w:sz w:val="21"/>
                <w:szCs w:val="21"/>
                <w:highlight w:val="none"/>
              </w:rPr>
              <w:t>条，负偏离一条扣</w:t>
            </w:r>
            <w:r>
              <w:rPr>
                <w:rFonts w:hint="eastAsia" w:ascii="仿宋" w:hAnsi="仿宋" w:eastAsia="仿宋" w:cs="仿宋"/>
                <w:color w:val="auto"/>
                <w:sz w:val="21"/>
                <w:szCs w:val="21"/>
                <w:highlight w:val="none"/>
                <w:lang w:val="en-US" w:eastAsia="zh-CN"/>
              </w:rPr>
              <w:t>0.83</w:t>
            </w:r>
            <w:r>
              <w:rPr>
                <w:rFonts w:hint="eastAsia" w:ascii="仿宋" w:hAnsi="仿宋" w:eastAsia="仿宋" w:cs="仿宋"/>
                <w:color w:val="auto"/>
                <w:sz w:val="21"/>
                <w:szCs w:val="21"/>
                <w:highlight w:val="none"/>
              </w:rPr>
              <w:t>分，分数扣完为止。</w:t>
            </w:r>
          </w:p>
          <w:p w14:paraId="3E6DEC39">
            <w:pPr>
              <w:keepNext w:val="0"/>
              <w:keepLines w:val="0"/>
              <w:pageBreakBefore w:val="0"/>
              <w:widowControl/>
              <w:kinsoku/>
              <w:wordWrap w:val="0"/>
              <w:overflowPunct/>
              <w:topLinePunct/>
              <w:autoSpaceDE/>
              <w:autoSpaceDN/>
              <w:bidi w:val="0"/>
              <w:snapToGrid/>
              <w:spacing w:line="400" w:lineRule="exact"/>
              <w:ind w:firstLine="422"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2.项目服务方案（满分</w:t>
            </w:r>
            <w:r>
              <w:rPr>
                <w:rFonts w:hint="eastAsia" w:ascii="仿宋" w:hAnsi="仿宋" w:eastAsia="仿宋" w:cs="仿宋"/>
                <w:b/>
                <w:bCs/>
                <w:color w:val="auto"/>
                <w:sz w:val="21"/>
                <w:szCs w:val="21"/>
                <w:highlight w:val="none"/>
                <w:lang w:val="en-US" w:eastAsia="zh-CN"/>
              </w:rPr>
              <w:t>10</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w:t>
            </w:r>
          </w:p>
          <w:p w14:paraId="23A975D2">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根据投标文件中提供的项目服务方案进行评分。</w:t>
            </w:r>
          </w:p>
          <w:p w14:paraId="1CC05731">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A.投标文件中提供的服务方案完善、合理可行、优于项目需求，充分考虑了设备维保服务的具体需求，科学合理且针对性强的得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p w14:paraId="4B3308F2">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B.投标文件中提供的服务方案基本完整，能满足项目需求，对设备维保服务的具体需求较清晰明确，服务组织措施得当的得</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分；</w:t>
            </w:r>
          </w:p>
          <w:p w14:paraId="17DBE687">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C.投标文件中提供的服务方案有部分缺漏，基本满足项目需求，对设备维保服务的具体需求不够明确或服务组织措施针对性差得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2831FA6E">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D.未提供或投标文件中提供的服务方案不能满足项目需求，对设备维保服务的具体需求不明确或服务组织措施没有针对性的得</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分；</w:t>
            </w:r>
          </w:p>
          <w:p w14:paraId="22D982AC">
            <w:pPr>
              <w:keepNext w:val="0"/>
              <w:keepLines w:val="0"/>
              <w:pageBreakBefore w:val="0"/>
              <w:widowControl/>
              <w:kinsoku/>
              <w:wordWrap w:val="0"/>
              <w:overflowPunct/>
              <w:topLinePunct/>
              <w:autoSpaceDE/>
              <w:autoSpaceDN/>
              <w:bidi w:val="0"/>
              <w:snapToGrid/>
              <w:spacing w:line="400" w:lineRule="exact"/>
              <w:ind w:firstLine="422"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3.服务保障措施评分（满分</w:t>
            </w:r>
            <w:r>
              <w:rPr>
                <w:rFonts w:hint="eastAsia" w:ascii="仿宋" w:hAnsi="仿宋" w:eastAsia="仿宋" w:cs="仿宋"/>
                <w:b/>
                <w:bCs/>
                <w:color w:val="auto"/>
                <w:sz w:val="21"/>
                <w:szCs w:val="21"/>
                <w:highlight w:val="none"/>
                <w:lang w:val="en-US" w:eastAsia="zh-CN"/>
              </w:rPr>
              <w:t>10</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w:t>
            </w:r>
          </w:p>
          <w:p w14:paraId="4B491A1D">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A.投标人针对本项目提出的服务保障措施完整、全面、具体、详细，针对性强，可行性强的得10分；</w:t>
            </w:r>
          </w:p>
          <w:p w14:paraId="4C570BB7">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B.投标人针对本项目提出的服务保障措施基本完整，具有较强的针对性和可行性的得</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分；</w:t>
            </w:r>
          </w:p>
          <w:p w14:paraId="6F6EF642">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 未提供或投标人针对本项目提出的服务承诺及安全保障措施基本完整，具有简单的针对性和可行性但实施力度较弱的得</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分；</w:t>
            </w:r>
          </w:p>
          <w:p w14:paraId="2920D251">
            <w:pPr>
              <w:keepNext w:val="0"/>
              <w:keepLines w:val="0"/>
              <w:pageBreakBefore w:val="0"/>
              <w:widowControl/>
              <w:kinsoku/>
              <w:wordWrap w:val="0"/>
              <w:overflowPunct/>
              <w:topLinePunct/>
              <w:autoSpaceDE/>
              <w:autoSpaceDN/>
              <w:bidi w:val="0"/>
              <w:snapToGrid/>
              <w:spacing w:line="400" w:lineRule="exact"/>
              <w:ind w:firstLine="422"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4.对本项目的理解（满分10分）</w:t>
            </w:r>
            <w:r>
              <w:rPr>
                <w:rFonts w:hint="eastAsia" w:ascii="仿宋" w:hAnsi="仿宋" w:eastAsia="仿宋" w:cs="仿宋"/>
                <w:color w:val="auto"/>
                <w:sz w:val="21"/>
                <w:szCs w:val="21"/>
                <w:highlight w:val="none"/>
              </w:rPr>
              <w:t>；</w:t>
            </w:r>
          </w:p>
          <w:p w14:paraId="7E626A89">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A.投标文件中对项目理解全面、完整，充分考虑了设备维保服务的具体需求，科学合理且针对性强的得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p w14:paraId="1152854B">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B.投标文件中对项目理解较为全面，考虑了设备维保服务的具体需求，科学合理且但针对性一般的得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分；</w:t>
            </w:r>
          </w:p>
          <w:p w14:paraId="5D9B7322">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C.未提供或投标文件中对项目理解不够全面，基本满足项目需求，对设备维保服务的具体需求不够明确且针对性差得</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分；</w:t>
            </w:r>
          </w:p>
        </w:tc>
      </w:tr>
      <w:tr w14:paraId="110D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934" w:type="dxa"/>
            <w:vMerge w:val="restart"/>
            <w:tcBorders>
              <w:tl2br w:val="nil"/>
              <w:tr2bl w:val="nil"/>
            </w:tcBorders>
            <w:noWrap w:val="0"/>
            <w:vAlign w:val="center"/>
          </w:tcPr>
          <w:p w14:paraId="3C5F0100">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3.2.3（3）</w:t>
            </w:r>
          </w:p>
        </w:tc>
        <w:tc>
          <w:tcPr>
            <w:tcW w:w="1082" w:type="dxa"/>
            <w:vMerge w:val="restart"/>
            <w:tcBorders>
              <w:tl2br w:val="nil"/>
              <w:tr2bl w:val="nil"/>
            </w:tcBorders>
            <w:noWrap w:val="0"/>
            <w:vAlign w:val="center"/>
          </w:tcPr>
          <w:p w14:paraId="56FE91A1">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商务</w:t>
            </w:r>
            <w:r>
              <w:rPr>
                <w:rFonts w:hint="eastAsia" w:ascii="仿宋" w:hAnsi="仿宋" w:eastAsia="仿宋" w:cs="仿宋"/>
                <w:color w:val="auto"/>
                <w:sz w:val="24"/>
                <w:szCs w:val="24"/>
              </w:rPr>
              <w:t>部分（F3）</w:t>
            </w:r>
          </w:p>
          <w:p w14:paraId="778F3B1B">
            <w:pPr>
              <w:keepNext w:val="0"/>
              <w:keepLines w:val="0"/>
              <w:pageBreakBefore w:val="0"/>
              <w:widowControl/>
              <w:kinsoku/>
              <w:wordWrap w:val="0"/>
              <w:overflowPunct/>
              <w:topLinePunct/>
              <w:autoSpaceDE/>
              <w:autoSpaceDN/>
              <w:bidi w:val="0"/>
              <w:snapToGrid/>
              <w:spacing w:line="400" w:lineRule="exac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评分标准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20分）</w:t>
            </w:r>
          </w:p>
        </w:tc>
        <w:tc>
          <w:tcPr>
            <w:tcW w:w="1859" w:type="dxa"/>
            <w:tcBorders>
              <w:tl2br w:val="nil"/>
              <w:tr2bl w:val="nil"/>
            </w:tcBorders>
            <w:shd w:val="clear" w:color="auto" w:fill="auto"/>
            <w:noWrap w:val="0"/>
            <w:vAlign w:val="center"/>
          </w:tcPr>
          <w:p w14:paraId="4511260F">
            <w:pPr>
              <w:keepNext w:val="0"/>
              <w:keepLines w:val="0"/>
              <w:pageBreakBefore w:val="0"/>
              <w:widowControl/>
              <w:numPr>
                <w:ilvl w:val="0"/>
                <w:numId w:val="0"/>
              </w:numPr>
              <w:kinsoku/>
              <w:wordWrap w:val="0"/>
              <w:overflowPunct/>
              <w:topLinePunct/>
              <w:autoSpaceDE/>
              <w:autoSpaceDN/>
              <w:bidi w:val="0"/>
              <w:adjustRightInd/>
              <w:snapToGrid/>
              <w:spacing w:line="400" w:lineRule="exact"/>
              <w:jc w:val="center"/>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kern w:val="2"/>
                <w:sz w:val="21"/>
                <w:szCs w:val="21"/>
                <w:lang w:val="en-US" w:eastAsia="zh-CN" w:bidi="ar-SA"/>
              </w:rPr>
              <w:t>1）</w:t>
            </w:r>
            <w:r>
              <w:rPr>
                <w:rFonts w:hint="eastAsia" w:ascii="仿宋" w:hAnsi="仿宋" w:eastAsia="仿宋" w:cs="仿宋"/>
                <w:b/>
                <w:bCs/>
                <w:color w:val="auto"/>
                <w:sz w:val="21"/>
                <w:szCs w:val="21"/>
                <w:highlight w:val="none"/>
                <w:lang w:val="en-US" w:eastAsia="zh-CN"/>
              </w:rPr>
              <w:t>投标人业绩</w:t>
            </w:r>
          </w:p>
          <w:p w14:paraId="1D074185">
            <w:pPr>
              <w:keepNext w:val="0"/>
              <w:keepLines w:val="0"/>
              <w:pageBreakBefore w:val="0"/>
              <w:widowControl/>
              <w:numPr>
                <w:ilvl w:val="0"/>
                <w:numId w:val="0"/>
              </w:numPr>
              <w:kinsoku/>
              <w:wordWrap w:val="0"/>
              <w:overflowPunct/>
              <w:topLinePunct/>
              <w:autoSpaceDE/>
              <w:autoSpaceDN/>
              <w:bidi w:val="0"/>
              <w:adjustRightInd/>
              <w:snapToGrid/>
              <w:spacing w:line="400" w:lineRule="exact"/>
              <w:ind w:firstLine="211" w:firstLineChars="100"/>
              <w:jc w:val="both"/>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1"/>
                <w:szCs w:val="21"/>
                <w:highlight w:val="none"/>
                <w:lang w:val="en-US" w:eastAsia="zh-CN"/>
              </w:rPr>
              <w:t>评分（5分）</w:t>
            </w:r>
          </w:p>
        </w:tc>
        <w:tc>
          <w:tcPr>
            <w:tcW w:w="6084" w:type="dxa"/>
            <w:tcBorders>
              <w:tl2br w:val="nil"/>
              <w:tr2bl w:val="nil"/>
            </w:tcBorders>
            <w:shd w:val="clear" w:color="auto" w:fill="auto"/>
            <w:noWrap w:val="0"/>
            <w:vAlign w:val="center"/>
          </w:tcPr>
          <w:p w14:paraId="59C7DC4B">
            <w:pPr>
              <w:spacing w:line="360" w:lineRule="auto"/>
              <w:rPr>
                <w:rFonts w:hint="eastAsia" w:ascii="仿宋" w:hAnsi="仿宋" w:eastAsia="仿宋" w:cs="仿宋"/>
                <w:bCs/>
                <w:kern w:val="2"/>
                <w:sz w:val="21"/>
                <w:szCs w:val="21"/>
                <w:highlight w:val="none"/>
                <w:lang w:val="zh-CN" w:eastAsia="zh-CN" w:bidi="ar-SA"/>
              </w:rPr>
            </w:pPr>
            <w:r>
              <w:rPr>
                <w:rFonts w:hint="eastAsia" w:ascii="仿宋" w:hAnsi="仿宋" w:eastAsia="仿宋" w:cs="仿宋"/>
                <w:highlight w:val="none"/>
              </w:rPr>
              <w:t>近三年（2021年1月1日至今）类似业绩证明文件（证明材料为有效合同或中标（成交）通知书复印件）注：业绩的有效时间以合同签订时间为准，提供一项得基本分：</w:t>
            </w:r>
            <w:r>
              <w:rPr>
                <w:rFonts w:hint="eastAsia" w:ascii="仿宋" w:hAnsi="仿宋" w:eastAsia="仿宋" w:cs="仿宋"/>
                <w:highlight w:val="none"/>
                <w:lang w:val="en-US" w:eastAsia="zh-CN"/>
              </w:rPr>
              <w:t>3</w:t>
            </w:r>
            <w:r>
              <w:rPr>
                <w:rFonts w:hint="eastAsia" w:ascii="仿宋" w:hAnsi="仿宋" w:eastAsia="仿宋" w:cs="仿宋"/>
                <w:highlight w:val="none"/>
              </w:rPr>
              <w:t>分，每增加一项，加1分，加满为止；</w:t>
            </w:r>
          </w:p>
        </w:tc>
      </w:tr>
      <w:tr w14:paraId="2D41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934" w:type="dxa"/>
            <w:vMerge w:val="continue"/>
            <w:tcBorders>
              <w:tl2br w:val="nil"/>
              <w:tr2bl w:val="nil"/>
            </w:tcBorders>
            <w:noWrap w:val="0"/>
            <w:vAlign w:val="center"/>
          </w:tcPr>
          <w:p w14:paraId="5ADABE50">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p>
        </w:tc>
        <w:tc>
          <w:tcPr>
            <w:tcW w:w="1082" w:type="dxa"/>
            <w:vMerge w:val="continue"/>
            <w:tcBorders>
              <w:tl2br w:val="nil"/>
              <w:tr2bl w:val="nil"/>
            </w:tcBorders>
            <w:noWrap w:val="0"/>
            <w:vAlign w:val="center"/>
          </w:tcPr>
          <w:p w14:paraId="16F765FE">
            <w:pPr>
              <w:keepNext w:val="0"/>
              <w:keepLines w:val="0"/>
              <w:pageBreakBefore w:val="0"/>
              <w:widowControl/>
              <w:kinsoku/>
              <w:wordWrap w:val="0"/>
              <w:overflowPunct/>
              <w:topLinePunct/>
              <w:autoSpaceDE/>
              <w:autoSpaceDN/>
              <w:bidi w:val="0"/>
              <w:snapToGrid/>
              <w:spacing w:line="400" w:lineRule="exact"/>
              <w:jc w:val="center"/>
              <w:textAlignment w:val="auto"/>
              <w:rPr>
                <w:rFonts w:hint="eastAsia" w:ascii="仿宋" w:hAnsi="仿宋" w:eastAsia="仿宋" w:cs="仿宋"/>
                <w:color w:val="auto"/>
                <w:sz w:val="24"/>
                <w:szCs w:val="24"/>
              </w:rPr>
            </w:pPr>
          </w:p>
        </w:tc>
        <w:tc>
          <w:tcPr>
            <w:tcW w:w="1859" w:type="dxa"/>
            <w:tcBorders>
              <w:tl2br w:val="nil"/>
              <w:tr2bl w:val="nil"/>
            </w:tcBorders>
            <w:shd w:val="clear" w:color="auto" w:fill="auto"/>
            <w:noWrap w:val="0"/>
            <w:vAlign w:val="center"/>
          </w:tcPr>
          <w:p w14:paraId="2B6FF848">
            <w:pPr>
              <w:keepNext w:val="0"/>
              <w:keepLines w:val="0"/>
              <w:pageBreakBefore w:val="0"/>
              <w:widowControl/>
              <w:numPr>
                <w:ilvl w:val="0"/>
                <w:numId w:val="0"/>
              </w:numPr>
              <w:kinsoku/>
              <w:wordWrap w:val="0"/>
              <w:overflowPunct/>
              <w:topLinePunct/>
              <w:autoSpaceDE/>
              <w:autoSpaceDN/>
              <w:bidi w:val="0"/>
              <w:snapToGrid/>
              <w:spacing w:line="400" w:lineRule="exact"/>
              <w:ind w:left="0" w:leftChars="0" w:firstLine="0" w:firstLineChars="0"/>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kern w:val="2"/>
                <w:sz w:val="21"/>
                <w:szCs w:val="21"/>
                <w:lang w:val="en-US" w:eastAsia="zh-CN" w:bidi="ar-SA"/>
              </w:rPr>
              <w:t>2）</w:t>
            </w:r>
            <w:r>
              <w:rPr>
                <w:rFonts w:hint="eastAsia" w:ascii="仿宋" w:hAnsi="仿宋" w:eastAsia="仿宋" w:cs="仿宋"/>
                <w:b/>
                <w:bCs/>
                <w:color w:val="auto"/>
                <w:sz w:val="21"/>
                <w:szCs w:val="21"/>
                <w:highlight w:val="none"/>
                <w:lang w:val="en-US" w:eastAsia="zh-CN"/>
              </w:rPr>
              <w:t>项目组成员</w:t>
            </w:r>
          </w:p>
          <w:p w14:paraId="00CCDA05">
            <w:pPr>
              <w:keepNext w:val="0"/>
              <w:keepLines w:val="0"/>
              <w:pageBreakBefore w:val="0"/>
              <w:widowControl/>
              <w:numPr>
                <w:ilvl w:val="0"/>
                <w:numId w:val="0"/>
              </w:numPr>
              <w:kinsoku/>
              <w:wordWrap w:val="0"/>
              <w:overflowPunct/>
              <w:topLinePunct/>
              <w:autoSpaceDE/>
              <w:autoSpaceDN/>
              <w:bidi w:val="0"/>
              <w:snapToGrid/>
              <w:spacing w:line="40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安排（15分）</w:t>
            </w:r>
          </w:p>
        </w:tc>
        <w:tc>
          <w:tcPr>
            <w:tcW w:w="6084" w:type="dxa"/>
            <w:tcBorders>
              <w:tl2br w:val="nil"/>
              <w:tr2bl w:val="nil"/>
            </w:tcBorders>
            <w:shd w:val="clear" w:color="auto" w:fill="auto"/>
            <w:noWrap w:val="0"/>
            <w:vAlign w:val="center"/>
          </w:tcPr>
          <w:p w14:paraId="17B0CAD2">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A.包括人员配备、结构、学历、专业技能搭配等内容，完善具体、合理可行，针对性强，得15分；</w:t>
            </w:r>
          </w:p>
          <w:p w14:paraId="3785C7C4">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B.包括人员配备、结构、学历、专业技能搭配等内容，合理可行，有一定的针对性，得10分；</w:t>
            </w:r>
          </w:p>
          <w:p w14:paraId="4482E672">
            <w:pPr>
              <w:keepNext w:val="0"/>
              <w:keepLines w:val="0"/>
              <w:pageBreakBefore w:val="0"/>
              <w:widowControl/>
              <w:kinsoku/>
              <w:wordWrap w:val="0"/>
              <w:overflowPunct/>
              <w:topLinePunct/>
              <w:autoSpaceDE/>
              <w:autoSpaceDN/>
              <w:bidi w:val="0"/>
              <w:snapToGrid/>
              <w:spacing w:line="400" w:lineRule="exact"/>
              <w:ind w:firstLine="420" w:firstLineChars="200"/>
              <w:jc w:val="both"/>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C. 未提供或人员配备、结构、学历、专业技能搭配等内容，针对性较差，得0分。</w:t>
            </w:r>
          </w:p>
        </w:tc>
      </w:tr>
    </w:tbl>
    <w:p w14:paraId="52A959FE">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734603B9">
      <w:pPr>
        <w:pStyle w:val="5"/>
        <w:keepNext w:val="0"/>
        <w:keepLines w:val="0"/>
        <w:pageBreakBefore w:val="0"/>
        <w:widowControl w:val="0"/>
        <w:numPr>
          <w:ilvl w:val="0"/>
          <w:numId w:val="0"/>
        </w:numPr>
        <w:tabs>
          <w:tab w:val="left" w:pos="1588"/>
        </w:tabs>
        <w:kinsoku/>
        <w:wordWrap/>
        <w:overflowPunct/>
        <w:topLinePunct w:val="0"/>
        <w:autoSpaceDE/>
        <w:autoSpaceDN/>
        <w:bidi w:val="0"/>
        <w:snapToGrid/>
        <w:spacing w:before="0"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1.</w:t>
      </w:r>
      <w:bookmarkStart w:id="187" w:name="_Toc439766947"/>
      <w:r>
        <w:rPr>
          <w:rFonts w:hint="eastAsia" w:ascii="仿宋" w:hAnsi="仿宋" w:eastAsia="仿宋" w:cs="仿宋"/>
          <w:color w:val="auto"/>
          <w:sz w:val="24"/>
          <w:szCs w:val="24"/>
        </w:rPr>
        <w:t>评标方法</w:t>
      </w:r>
      <w:bookmarkEnd w:id="187"/>
    </w:p>
    <w:p w14:paraId="7734A7CB">
      <w:pPr>
        <w:pStyle w:val="14"/>
        <w:keepNext w:val="0"/>
        <w:keepLines w:val="0"/>
        <w:pageBreakBefore w:val="0"/>
        <w:widowControl w:val="0"/>
        <w:tabs>
          <w:tab w:val="left" w:pos="540"/>
        </w:tabs>
        <w:kinsoku/>
        <w:wordWrap/>
        <w:overflowPunct/>
        <w:topLinePunct w:val="0"/>
        <w:autoSpaceDE/>
        <w:autoSpaceDN/>
        <w:bidi w:val="0"/>
        <w:adjustRightInd w:val="0"/>
        <w:snapToGrid/>
        <w:spacing w:before="240" w:line="400" w:lineRule="exact"/>
        <w:ind w:left="0" w:leftChars="0" w:firstLine="420"/>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本次评标采用综合评分法。</w:t>
      </w:r>
      <w:r>
        <w:rPr>
          <w:rFonts w:hint="eastAsia" w:ascii="仿宋" w:hAnsi="仿宋" w:eastAsia="仿宋" w:cs="仿宋"/>
          <w:color w:val="auto"/>
          <w:sz w:val="24"/>
          <w:szCs w:val="24"/>
        </w:rPr>
        <w:t>评标委员会对满足招标文件初步评审要求的投标文件，按照评分标准进行打分，并按下列评标总得分计算公式计算评标总得分，按总得分由高到低的顺序推荐中标候选人排序；评标总得分相等时，按投标报价由低到高顺序排序；评标总得分相等且投标报价相同时，按技术部分得分由高到低顺序排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评标总得分相等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投标报价相同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技术</w:t>
      </w:r>
      <w:r>
        <w:rPr>
          <w:rFonts w:hint="eastAsia" w:ascii="仿宋" w:hAnsi="仿宋" w:eastAsia="仿宋" w:cs="仿宋"/>
          <w:color w:val="auto"/>
          <w:sz w:val="24"/>
          <w:szCs w:val="24"/>
          <w:lang w:eastAsia="zh-CN"/>
        </w:rPr>
        <w:t>及商务</w:t>
      </w:r>
      <w:r>
        <w:rPr>
          <w:rFonts w:hint="eastAsia" w:ascii="仿宋" w:hAnsi="仿宋" w:eastAsia="仿宋" w:cs="仿宋"/>
          <w:color w:val="auto"/>
          <w:sz w:val="24"/>
          <w:szCs w:val="24"/>
        </w:rPr>
        <w:t>部分得分由高到低顺序排序</w:t>
      </w:r>
      <w:r>
        <w:rPr>
          <w:rFonts w:hint="eastAsia" w:ascii="仿宋" w:hAnsi="仿宋" w:eastAsia="仿宋" w:cs="仿宋"/>
          <w:color w:val="auto"/>
          <w:sz w:val="24"/>
          <w:szCs w:val="24"/>
          <w:lang w:eastAsia="zh-CN"/>
        </w:rPr>
        <w:t>相同时，按“落实政府采购政策”顺序优先推荐。</w:t>
      </w:r>
    </w:p>
    <w:p w14:paraId="6E65FEDF">
      <w:pPr>
        <w:pStyle w:val="5"/>
        <w:keepNext w:val="0"/>
        <w:keepLines w:val="0"/>
        <w:pageBreakBefore w:val="0"/>
        <w:widowControl w:val="0"/>
        <w:numPr>
          <w:ilvl w:val="0"/>
          <w:numId w:val="0"/>
        </w:numPr>
        <w:tabs>
          <w:tab w:val="left" w:pos="1588"/>
        </w:tabs>
        <w:kinsoku/>
        <w:wordWrap/>
        <w:overflowPunct/>
        <w:topLinePunct w:val="0"/>
        <w:autoSpaceDE/>
        <w:autoSpaceDN/>
        <w:bidi w:val="0"/>
        <w:snapToGrid/>
        <w:spacing w:before="0" w:line="400" w:lineRule="exact"/>
        <w:rPr>
          <w:rFonts w:hint="eastAsia" w:ascii="仿宋" w:hAnsi="仿宋" w:eastAsia="仿宋" w:cs="仿宋"/>
          <w:color w:val="auto"/>
          <w:sz w:val="24"/>
          <w:szCs w:val="24"/>
        </w:rPr>
      </w:pPr>
      <w:bookmarkStart w:id="188" w:name="_Toc439766948"/>
      <w:r>
        <w:rPr>
          <w:rFonts w:hint="eastAsia" w:ascii="仿宋" w:hAnsi="仿宋" w:eastAsia="仿宋" w:cs="仿宋"/>
          <w:color w:val="auto"/>
          <w:sz w:val="24"/>
          <w:szCs w:val="24"/>
        </w:rPr>
        <w:t>2. 评审标准</w:t>
      </w:r>
      <w:bookmarkEnd w:id="188"/>
    </w:p>
    <w:p w14:paraId="66703320">
      <w:pPr>
        <w:pStyle w:val="5"/>
        <w:keepNext w:val="0"/>
        <w:keepLines w:val="0"/>
        <w:pageBreakBefore w:val="0"/>
        <w:widowControl w:val="0"/>
        <w:numPr>
          <w:ilvl w:val="0"/>
          <w:numId w:val="0"/>
        </w:numPr>
        <w:tabs>
          <w:tab w:val="left" w:pos="1588"/>
        </w:tabs>
        <w:kinsoku/>
        <w:wordWrap/>
        <w:overflowPunct/>
        <w:topLinePunct w:val="0"/>
        <w:autoSpaceDE/>
        <w:autoSpaceDN/>
        <w:bidi w:val="0"/>
        <w:snapToGrid/>
        <w:spacing w:before="0" w:line="400" w:lineRule="exact"/>
        <w:rPr>
          <w:rFonts w:hint="eastAsia" w:ascii="仿宋" w:hAnsi="仿宋" w:eastAsia="仿宋" w:cs="仿宋"/>
          <w:color w:val="auto"/>
          <w:sz w:val="24"/>
          <w:szCs w:val="24"/>
        </w:rPr>
      </w:pPr>
      <w:bookmarkStart w:id="189" w:name="_Toc439766949"/>
      <w:r>
        <w:rPr>
          <w:rFonts w:hint="eastAsia" w:ascii="仿宋" w:hAnsi="仿宋" w:eastAsia="仿宋" w:cs="仿宋"/>
          <w:color w:val="auto"/>
          <w:sz w:val="24"/>
          <w:szCs w:val="24"/>
        </w:rPr>
        <w:t>2.1初步评审标准</w:t>
      </w:r>
      <w:bookmarkEnd w:id="189"/>
    </w:p>
    <w:p w14:paraId="5DB0E427">
      <w:pPr>
        <w:keepNext w:val="0"/>
        <w:keepLines w:val="0"/>
        <w:pageBreakBefore w:val="0"/>
        <w:widowControl w:val="0"/>
        <w:kinsoku/>
        <w:wordWrap/>
        <w:overflowPunct/>
        <w:topLinePunct w:val="0"/>
        <w:autoSpaceDE/>
        <w:autoSpaceDN/>
        <w:bidi w:val="0"/>
        <w:snapToGrid/>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2.1.1资格评审标准：依据法律法规和招标文件的规定，对投标文件中的资格证明文件、投标保证金等进行审查，见评标方法前附表。</w:t>
      </w:r>
    </w:p>
    <w:p w14:paraId="0AEF5CFC">
      <w:pPr>
        <w:pStyle w:val="12"/>
        <w:keepNext w:val="0"/>
        <w:keepLines w:val="0"/>
        <w:pageBreakBefore w:val="0"/>
        <w:widowControl w:val="0"/>
        <w:tabs>
          <w:tab w:val="left" w:pos="2472"/>
        </w:tabs>
        <w:kinsoku/>
        <w:wordWrap/>
        <w:overflowPunct/>
        <w:topLinePunct w:val="0"/>
        <w:autoSpaceDE/>
        <w:autoSpaceDN/>
        <w:bidi w:val="0"/>
        <w:snapToGrid/>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rPr>
        <w:t>2.1.2符合性评审标准：依据招标文件的规定，从投标文件的有效性、完整性和对招标文件的响应程度进行审查，见评标方法前附表。</w:t>
      </w:r>
    </w:p>
    <w:p w14:paraId="33D2C5FB">
      <w:pPr>
        <w:pStyle w:val="5"/>
        <w:keepNext w:val="0"/>
        <w:keepLines w:val="0"/>
        <w:pageBreakBefore w:val="0"/>
        <w:widowControl w:val="0"/>
        <w:numPr>
          <w:ilvl w:val="0"/>
          <w:numId w:val="0"/>
        </w:numPr>
        <w:tabs>
          <w:tab w:val="left" w:pos="1588"/>
        </w:tabs>
        <w:kinsoku/>
        <w:wordWrap/>
        <w:overflowPunct/>
        <w:topLinePunct w:val="0"/>
        <w:autoSpaceDE/>
        <w:autoSpaceDN/>
        <w:bidi w:val="0"/>
        <w:snapToGrid/>
        <w:spacing w:before="0" w:line="400" w:lineRule="exact"/>
        <w:rPr>
          <w:rFonts w:hint="eastAsia" w:ascii="仿宋" w:hAnsi="仿宋" w:eastAsia="仿宋" w:cs="仿宋"/>
          <w:color w:val="auto"/>
          <w:sz w:val="24"/>
          <w:szCs w:val="24"/>
        </w:rPr>
      </w:pPr>
      <w:bookmarkStart w:id="190" w:name="_Toc439766951"/>
      <w:bookmarkStart w:id="191" w:name="_Toc321836409"/>
      <w:r>
        <w:rPr>
          <w:rFonts w:hint="eastAsia" w:ascii="仿宋" w:hAnsi="仿宋" w:eastAsia="仿宋" w:cs="仿宋"/>
          <w:color w:val="auto"/>
          <w:sz w:val="24"/>
          <w:szCs w:val="24"/>
        </w:rPr>
        <w:t>3. 评标程序</w:t>
      </w:r>
      <w:bookmarkEnd w:id="190"/>
      <w:bookmarkEnd w:id="191"/>
    </w:p>
    <w:p w14:paraId="64B3480F">
      <w:pPr>
        <w:pStyle w:val="5"/>
        <w:keepNext w:val="0"/>
        <w:keepLines w:val="0"/>
        <w:pageBreakBefore w:val="0"/>
        <w:widowControl w:val="0"/>
        <w:numPr>
          <w:ilvl w:val="0"/>
          <w:numId w:val="0"/>
        </w:numPr>
        <w:tabs>
          <w:tab w:val="left" w:pos="1588"/>
        </w:tabs>
        <w:kinsoku/>
        <w:wordWrap/>
        <w:overflowPunct/>
        <w:topLinePunct w:val="0"/>
        <w:autoSpaceDE/>
        <w:autoSpaceDN/>
        <w:bidi w:val="0"/>
        <w:snapToGrid/>
        <w:spacing w:before="0" w:line="400" w:lineRule="exact"/>
        <w:rPr>
          <w:rFonts w:hint="eastAsia" w:ascii="仿宋" w:hAnsi="仿宋" w:eastAsia="仿宋" w:cs="仿宋"/>
          <w:color w:val="auto"/>
          <w:sz w:val="24"/>
          <w:szCs w:val="24"/>
        </w:rPr>
      </w:pPr>
      <w:bookmarkStart w:id="192" w:name="_Toc321836410"/>
      <w:bookmarkStart w:id="193" w:name="_Toc439766952"/>
      <w:r>
        <w:rPr>
          <w:rFonts w:hint="eastAsia" w:ascii="仿宋" w:hAnsi="仿宋" w:eastAsia="仿宋" w:cs="仿宋"/>
          <w:color w:val="auto"/>
          <w:sz w:val="24"/>
          <w:szCs w:val="24"/>
        </w:rPr>
        <w:t>3.1 初步评审</w:t>
      </w:r>
      <w:bookmarkEnd w:id="192"/>
      <w:bookmarkEnd w:id="193"/>
    </w:p>
    <w:p w14:paraId="4CA09C8B">
      <w:pPr>
        <w:pStyle w:val="12"/>
        <w:keepNext w:val="0"/>
        <w:keepLines w:val="0"/>
        <w:pageBreakBefore w:val="0"/>
        <w:widowControl w:val="0"/>
        <w:tabs>
          <w:tab w:val="left" w:pos="2472"/>
        </w:tabs>
        <w:kinsoku/>
        <w:wordWrap/>
        <w:overflowPunct/>
        <w:topLinePunct w:val="0"/>
        <w:autoSpaceDE/>
        <w:autoSpaceDN/>
        <w:bidi w:val="0"/>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3.1.1 评标委员会依据本章第2.1.1项、第2.1.2项规定的标准对投标文件进行初步评审。有一项不符合评审标准的，视为未实质性响应招标文件要求。</w:t>
      </w:r>
    </w:p>
    <w:p w14:paraId="5CA9157E">
      <w:pPr>
        <w:pStyle w:val="12"/>
        <w:keepNext w:val="0"/>
        <w:keepLines w:val="0"/>
        <w:pageBreakBefore w:val="0"/>
        <w:widowControl w:val="0"/>
        <w:tabs>
          <w:tab w:val="left" w:pos="2472"/>
        </w:tabs>
        <w:kinsoku/>
        <w:wordWrap/>
        <w:overflowPunct/>
        <w:topLinePunct w:val="0"/>
        <w:autoSpaceDE/>
        <w:autoSpaceDN/>
        <w:bidi w:val="0"/>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3.1.2投标文件如果出现计算或表达上的错误，修正错误的原则如下：</w:t>
      </w:r>
    </w:p>
    <w:p w14:paraId="27734484">
      <w:pPr>
        <w:pStyle w:val="12"/>
        <w:keepNext w:val="0"/>
        <w:keepLines w:val="0"/>
        <w:pageBreakBefore w:val="0"/>
        <w:widowControl w:val="0"/>
        <w:tabs>
          <w:tab w:val="left" w:pos="2472"/>
        </w:tabs>
        <w:kinsoku/>
        <w:wordWrap/>
        <w:overflowPunct/>
        <w:topLinePunct w:val="0"/>
        <w:autoSpaceDE/>
        <w:autoSpaceDN/>
        <w:bidi w:val="0"/>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（1）开标时，投标文件中开标一览表内容与投标文件中明细表内容不一致的，以开标一览表为准。</w:t>
      </w:r>
    </w:p>
    <w:p w14:paraId="1B39DB39">
      <w:pPr>
        <w:pStyle w:val="12"/>
        <w:keepNext w:val="0"/>
        <w:keepLines w:val="0"/>
        <w:pageBreakBefore w:val="0"/>
        <w:widowControl w:val="0"/>
        <w:tabs>
          <w:tab w:val="left" w:pos="2472"/>
        </w:tabs>
        <w:kinsoku/>
        <w:wordWrap/>
        <w:overflowPunct/>
        <w:topLinePunct w:val="0"/>
        <w:autoSpaceDE/>
        <w:autoSpaceDN/>
        <w:bidi w:val="0"/>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（2）投标文件的大写金额和小写金额不一致的，以大写金额为准；</w:t>
      </w:r>
    </w:p>
    <w:p w14:paraId="513526B8">
      <w:pPr>
        <w:pStyle w:val="12"/>
        <w:keepNext w:val="0"/>
        <w:keepLines w:val="0"/>
        <w:pageBreakBefore w:val="0"/>
        <w:widowControl w:val="0"/>
        <w:tabs>
          <w:tab w:val="left" w:pos="2472"/>
        </w:tabs>
        <w:kinsoku/>
        <w:wordWrap/>
        <w:overflowPunct/>
        <w:topLinePunct w:val="0"/>
        <w:autoSpaceDE/>
        <w:autoSpaceDN/>
        <w:bidi w:val="0"/>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（3）总价金额与按单价汇总金额不一致的，以单价金额计算结果为准；</w:t>
      </w:r>
    </w:p>
    <w:p w14:paraId="5C6B7D15">
      <w:pPr>
        <w:pStyle w:val="12"/>
        <w:keepNext w:val="0"/>
        <w:keepLines w:val="0"/>
        <w:pageBreakBefore w:val="0"/>
        <w:widowControl w:val="0"/>
        <w:tabs>
          <w:tab w:val="left" w:pos="2472"/>
        </w:tabs>
        <w:kinsoku/>
        <w:wordWrap/>
        <w:overflowPunct/>
        <w:topLinePunct w:val="0"/>
        <w:autoSpaceDE/>
        <w:autoSpaceDN/>
        <w:bidi w:val="0"/>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（4）单价金额小数点有明显错位的，应以总价为准，并修改单价；</w:t>
      </w:r>
    </w:p>
    <w:p w14:paraId="1E9ABF83">
      <w:pPr>
        <w:pStyle w:val="12"/>
        <w:keepNext w:val="0"/>
        <w:keepLines w:val="0"/>
        <w:pageBreakBefore w:val="0"/>
        <w:widowControl w:val="0"/>
        <w:tabs>
          <w:tab w:val="left" w:pos="2472"/>
        </w:tabs>
        <w:kinsoku/>
        <w:wordWrap/>
        <w:overflowPunct/>
        <w:topLinePunct w:val="0"/>
        <w:autoSpaceDE/>
        <w:autoSpaceDN/>
        <w:bidi w:val="0"/>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（5）对不同文字文本投标文件的解释发生异议的，以中文文本为准。</w:t>
      </w:r>
    </w:p>
    <w:p w14:paraId="2C655CB2">
      <w:pPr>
        <w:pStyle w:val="12"/>
        <w:keepNext w:val="0"/>
        <w:keepLines w:val="0"/>
        <w:pageBreakBefore w:val="0"/>
        <w:widowControl w:val="0"/>
        <w:tabs>
          <w:tab w:val="left" w:pos="2472"/>
        </w:tabs>
        <w:kinsoku/>
        <w:wordWrap/>
        <w:overflowPunct/>
        <w:topLinePunct w:val="0"/>
        <w:autoSpaceDE/>
        <w:autoSpaceDN/>
        <w:bidi w:val="0"/>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（6）按上述修正错误的原则及方法调整或修正投标文件的投标报价，投标人同意后，调整后的投标报价对投标人起约束作用。如果投标人不接受修正后的报价，视为未实质性响应招标文件要求。</w:t>
      </w:r>
    </w:p>
    <w:p w14:paraId="34FC8B51">
      <w:pPr>
        <w:pStyle w:val="5"/>
        <w:keepNext w:val="0"/>
        <w:keepLines w:val="0"/>
        <w:pageBreakBefore w:val="0"/>
        <w:widowControl w:val="0"/>
        <w:numPr>
          <w:ilvl w:val="0"/>
          <w:numId w:val="0"/>
        </w:numPr>
        <w:tabs>
          <w:tab w:val="left" w:pos="1588"/>
        </w:tabs>
        <w:kinsoku/>
        <w:wordWrap/>
        <w:overflowPunct/>
        <w:topLinePunct w:val="0"/>
        <w:autoSpaceDE/>
        <w:autoSpaceDN/>
        <w:bidi w:val="0"/>
        <w:snapToGrid/>
        <w:spacing w:before="0" w:line="400" w:lineRule="exact"/>
        <w:rPr>
          <w:rFonts w:hint="eastAsia" w:ascii="仿宋" w:hAnsi="仿宋" w:eastAsia="仿宋" w:cs="仿宋"/>
          <w:color w:val="auto"/>
          <w:sz w:val="24"/>
          <w:szCs w:val="24"/>
        </w:rPr>
      </w:pPr>
      <w:bookmarkStart w:id="194" w:name="_Toc321836411"/>
      <w:bookmarkStart w:id="195" w:name="_Toc439766953"/>
      <w:r>
        <w:rPr>
          <w:rFonts w:hint="eastAsia" w:ascii="仿宋" w:hAnsi="仿宋" w:eastAsia="仿宋" w:cs="仿宋"/>
          <w:color w:val="auto"/>
          <w:sz w:val="24"/>
          <w:szCs w:val="24"/>
        </w:rPr>
        <w:t>3.2 详细评审</w:t>
      </w:r>
      <w:bookmarkEnd w:id="194"/>
      <w:bookmarkEnd w:id="195"/>
    </w:p>
    <w:p w14:paraId="1013BA7D">
      <w:pPr>
        <w:pStyle w:val="12"/>
        <w:keepNext w:val="0"/>
        <w:keepLines w:val="0"/>
        <w:pageBreakBefore w:val="0"/>
        <w:widowControl w:val="0"/>
        <w:tabs>
          <w:tab w:val="left" w:pos="2472"/>
        </w:tabs>
        <w:kinsoku/>
        <w:wordWrap/>
        <w:overflowPunct/>
        <w:topLinePunct w:val="0"/>
        <w:autoSpaceDE/>
        <w:autoSpaceDN/>
        <w:bidi w:val="0"/>
        <w:snapToGrid/>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3.2.1 评标委员会按本章“评标办法前附表”规定的量化因素和分值进行打分，并计算出投标人的评标总得分。对投标人的价格分等客观评分项的评分应当一致，对其他需要借助专业知识评判的主观评分项，应当严格按照评分细则公正评分。</w:t>
      </w:r>
    </w:p>
    <w:p w14:paraId="674653B8">
      <w:pPr>
        <w:keepNext w:val="0"/>
        <w:keepLines w:val="0"/>
        <w:pageBreakBefore w:val="0"/>
        <w:widowControl w:val="0"/>
        <w:kinsoku/>
        <w:wordWrap/>
        <w:overflowPunct/>
        <w:topLinePunct w:val="0"/>
        <w:autoSpaceDE/>
        <w:autoSpaceDN/>
        <w:bidi w:val="0"/>
        <w:snapToGrid/>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3.2.2技术部分和商务部分得分由评标委员会成员独立评分，</w:t>
      </w:r>
      <w:r>
        <w:rPr>
          <w:rFonts w:hint="eastAsia" w:ascii="仿宋" w:hAnsi="仿宋" w:eastAsia="仿宋" w:cs="仿宋"/>
          <w:bCs/>
          <w:color w:val="auto"/>
          <w:sz w:val="24"/>
          <w:szCs w:val="24"/>
        </w:rPr>
        <w:t>投标人各项评分因素得分为该项因素各评委评分的算术平均值（保留小数点后两位）</w:t>
      </w:r>
      <w:r>
        <w:rPr>
          <w:rFonts w:hint="eastAsia" w:ascii="仿宋" w:hAnsi="仿宋" w:eastAsia="仿宋" w:cs="仿宋"/>
          <w:color w:val="auto"/>
          <w:sz w:val="24"/>
          <w:szCs w:val="24"/>
        </w:rPr>
        <w:t>，小数点后第三位“四舍五入”。</w:t>
      </w:r>
    </w:p>
    <w:p w14:paraId="3213DD5E">
      <w:pPr>
        <w:keepNext w:val="0"/>
        <w:keepLines w:val="0"/>
        <w:pageBreakBefore w:val="0"/>
        <w:widowControl w:val="0"/>
        <w:kinsoku/>
        <w:wordWrap/>
        <w:overflowPunct/>
        <w:topLinePunct w:val="0"/>
        <w:autoSpaceDE/>
        <w:autoSpaceDN/>
        <w:bidi w:val="0"/>
        <w:snapToGrid/>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3.2.3评标委员会成员要依法独立评审，并对评审意见承担个人责任。评标委员会成员对需要共同认定的事项存在争议的，按照少数服从多数的原则做出结论。持不同意见的评标委员会成员应当在评标报告上签署不同意见并说明理由，否则视为同意。</w:t>
      </w:r>
    </w:p>
    <w:p w14:paraId="6AEA8F3C">
      <w:pPr>
        <w:pStyle w:val="5"/>
        <w:keepNext w:val="0"/>
        <w:keepLines w:val="0"/>
        <w:pageBreakBefore w:val="0"/>
        <w:widowControl w:val="0"/>
        <w:numPr>
          <w:ilvl w:val="0"/>
          <w:numId w:val="0"/>
        </w:numPr>
        <w:tabs>
          <w:tab w:val="left" w:pos="1588"/>
        </w:tabs>
        <w:kinsoku/>
        <w:wordWrap/>
        <w:overflowPunct/>
        <w:topLinePunct w:val="0"/>
        <w:autoSpaceDE/>
        <w:autoSpaceDN/>
        <w:bidi w:val="0"/>
        <w:snapToGrid/>
        <w:spacing w:before="0" w:line="400" w:lineRule="exact"/>
        <w:rPr>
          <w:rFonts w:hint="eastAsia" w:ascii="仿宋" w:hAnsi="仿宋" w:eastAsia="仿宋" w:cs="仿宋"/>
          <w:color w:val="auto"/>
          <w:sz w:val="24"/>
          <w:szCs w:val="24"/>
        </w:rPr>
      </w:pPr>
      <w:bookmarkStart w:id="196" w:name="_Toc321836412"/>
      <w:bookmarkStart w:id="197" w:name="_Toc439766954"/>
      <w:r>
        <w:rPr>
          <w:rFonts w:hint="eastAsia" w:ascii="仿宋" w:hAnsi="仿宋" w:eastAsia="仿宋" w:cs="仿宋"/>
          <w:color w:val="auto"/>
          <w:sz w:val="24"/>
          <w:szCs w:val="24"/>
        </w:rPr>
        <w:t>3.3 投标文件的澄清</w:t>
      </w:r>
      <w:bookmarkEnd w:id="196"/>
      <w:bookmarkEnd w:id="197"/>
      <w:r>
        <w:rPr>
          <w:rFonts w:hint="eastAsia" w:ascii="仿宋" w:hAnsi="仿宋" w:eastAsia="仿宋" w:cs="仿宋"/>
          <w:color w:val="auto"/>
          <w:sz w:val="24"/>
          <w:szCs w:val="24"/>
        </w:rPr>
        <w:t xml:space="preserve"> </w:t>
      </w:r>
    </w:p>
    <w:p w14:paraId="7F3AB9FF">
      <w:pPr>
        <w:keepNext w:val="0"/>
        <w:keepLines w:val="0"/>
        <w:pageBreakBefore w:val="0"/>
        <w:widowControl w:val="0"/>
        <w:kinsoku/>
        <w:wordWrap/>
        <w:overflowPunct/>
        <w:topLinePunct w:val="0"/>
        <w:autoSpaceDE/>
        <w:autoSpaceDN/>
        <w:bidi w:val="0"/>
        <w:snapToGrid/>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3.3.1 在评标过程中，评标委员会可以书面形式（应当由评标委员会专家签字）要求投标人对所提交的投标文件中含义不明确、同类问题表述不一致或者有明显文字和计算错误的内容，进行书面澄清或说明。评标委员会不接受投标人主动提出的澄清、说明。</w:t>
      </w:r>
    </w:p>
    <w:p w14:paraId="0C146B50">
      <w:pPr>
        <w:keepNext w:val="0"/>
        <w:keepLines w:val="0"/>
        <w:pageBreakBefore w:val="0"/>
        <w:widowControl w:val="0"/>
        <w:kinsoku/>
        <w:wordWrap/>
        <w:overflowPunct/>
        <w:topLinePunct w:val="0"/>
        <w:autoSpaceDE/>
        <w:autoSpaceDN/>
        <w:bidi w:val="0"/>
        <w:snapToGrid/>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3.3.2 投标人的澄清、说明应当采用书面形式，由法定代表人或其授权的代表签字，澄清事项不得超出投标文件的范围并不得改变投标文件的实质性内容（算术性错误修正的除外）。投标人的书面澄清、说明属于投标文件的组成部分。</w:t>
      </w:r>
    </w:p>
    <w:p w14:paraId="38E4D47A">
      <w:pPr>
        <w:keepNext w:val="0"/>
        <w:keepLines w:val="0"/>
        <w:pageBreakBefore w:val="0"/>
        <w:widowControl w:val="0"/>
        <w:kinsoku/>
        <w:wordWrap/>
        <w:overflowPunct/>
        <w:topLinePunct w:val="0"/>
        <w:autoSpaceDE/>
        <w:autoSpaceDN/>
        <w:bidi w:val="0"/>
        <w:snapToGrid/>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3.3.3 评标委员会对投标人提交的澄清、说明有疑问的，可以要求投标人进一步澄清、说明。</w:t>
      </w:r>
    </w:p>
    <w:p w14:paraId="2546AF2B">
      <w:pPr>
        <w:pStyle w:val="5"/>
        <w:keepNext w:val="0"/>
        <w:keepLines w:val="0"/>
        <w:pageBreakBefore w:val="0"/>
        <w:widowControl w:val="0"/>
        <w:numPr>
          <w:ilvl w:val="0"/>
          <w:numId w:val="0"/>
        </w:numPr>
        <w:tabs>
          <w:tab w:val="left" w:pos="1588"/>
        </w:tabs>
        <w:kinsoku/>
        <w:wordWrap/>
        <w:overflowPunct/>
        <w:topLinePunct w:val="0"/>
        <w:autoSpaceDE/>
        <w:autoSpaceDN/>
        <w:bidi w:val="0"/>
        <w:snapToGrid/>
        <w:spacing w:before="0" w:line="400" w:lineRule="exact"/>
        <w:ind w:firstLine="602" w:firstLineChars="250"/>
        <w:rPr>
          <w:rFonts w:hint="eastAsia" w:ascii="仿宋" w:hAnsi="仿宋" w:eastAsia="仿宋" w:cs="仿宋"/>
          <w:color w:val="auto"/>
          <w:sz w:val="24"/>
          <w:szCs w:val="24"/>
        </w:rPr>
      </w:pPr>
      <w:bookmarkStart w:id="198" w:name="_Toc439766955"/>
      <w:bookmarkStart w:id="199" w:name="_Toc321836413"/>
      <w:r>
        <w:rPr>
          <w:rFonts w:hint="eastAsia" w:ascii="仿宋" w:hAnsi="仿宋" w:eastAsia="仿宋" w:cs="仿宋"/>
          <w:color w:val="auto"/>
          <w:sz w:val="24"/>
          <w:szCs w:val="24"/>
        </w:rPr>
        <w:t>3.4 评标结果</w:t>
      </w:r>
      <w:bookmarkEnd w:id="198"/>
      <w:bookmarkEnd w:id="199"/>
    </w:p>
    <w:p w14:paraId="06B8842E">
      <w:pPr>
        <w:keepNext w:val="0"/>
        <w:keepLines w:val="0"/>
        <w:pageBreakBefore w:val="0"/>
        <w:widowControl w:val="0"/>
        <w:kinsoku/>
        <w:wordWrap/>
        <w:overflowPunct/>
        <w:topLinePunct w:val="0"/>
        <w:autoSpaceDE/>
        <w:autoSpaceDN/>
        <w:bidi w:val="0"/>
        <w:snapToGrid/>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3.4.1</w:t>
      </w:r>
      <w:r>
        <w:rPr>
          <w:rFonts w:hint="eastAsia" w:ascii="仿宋" w:hAnsi="仿宋" w:eastAsia="仿宋" w:cs="仿宋"/>
          <w:b/>
          <w:bCs/>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19EB4E">
      <w:pPr>
        <w:keepNext w:val="0"/>
        <w:keepLines w:val="0"/>
        <w:pageBreakBefore w:val="0"/>
        <w:widowControl w:val="0"/>
        <w:kinsoku/>
        <w:wordWrap/>
        <w:overflowPunct/>
        <w:topLinePunct w:val="0"/>
        <w:autoSpaceDE/>
        <w:autoSpaceDN/>
        <w:bidi w:val="0"/>
        <w:snapToGrid/>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3.4.2</w:t>
      </w:r>
      <w:r>
        <w:rPr>
          <w:rFonts w:hint="eastAsia" w:ascii="仿宋" w:hAnsi="仿宋" w:eastAsia="仿宋" w:cs="仿宋"/>
          <w:color w:val="auto"/>
          <w:sz w:val="24"/>
          <w:szCs w:val="24"/>
        </w:rPr>
        <w:t>评标委员会按得分由高到低顺序推荐中标候选人，并提出评标报告。</w:t>
      </w:r>
    </w:p>
    <w:p w14:paraId="7D21B5F2">
      <w:pPr>
        <w:keepNext w:val="0"/>
        <w:keepLines w:val="0"/>
        <w:pageBreakBefore w:val="0"/>
        <w:widowControl w:val="0"/>
        <w:kinsoku/>
        <w:wordWrap/>
        <w:overflowPunct/>
        <w:topLinePunct w:val="0"/>
        <w:autoSpaceDE/>
        <w:autoSpaceDN/>
        <w:bidi w:val="0"/>
        <w:snapToGrid/>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3.4.</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 xml:space="preserve"> 采购人根据评标委员会提出的评标报告和推荐的中标候选人名单，确定中标人。</w:t>
      </w:r>
    </w:p>
    <w:p w14:paraId="7A3AC1E9">
      <w:pPr>
        <w:keepNext w:val="0"/>
        <w:keepLines w:val="0"/>
        <w:pageBreakBefore w:val="0"/>
        <w:widowControl w:val="0"/>
        <w:kinsoku/>
        <w:wordWrap/>
        <w:overflowPunct/>
        <w:topLinePunct w:val="0"/>
        <w:autoSpaceDE/>
        <w:autoSpaceDN/>
        <w:bidi w:val="0"/>
        <w:snapToGrid/>
        <w:spacing w:line="4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3.4.</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评标委员会发现</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存在歧义、重大缺陷导致评审工作无法进行，或者</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内容违反国家有关规定的，要停止评审工作并向采购人或采购代理机构书面说明情况，采购人或采购代理机构应当修改</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 xml:space="preserve">后重新组织采购活动；发现供应商提供虚假材料、串通等违法违规行为的，要及时向采购人或采购代理机构报告。 </w:t>
      </w:r>
    </w:p>
    <w:p w14:paraId="0CB39E32">
      <w:pPr>
        <w:rPr>
          <w:rFonts w:hint="eastAsia" w:ascii="仿宋" w:hAnsi="仿宋" w:eastAsia="仿宋" w:cs="仿宋"/>
          <w:color w:val="auto"/>
          <w:sz w:val="24"/>
          <w:szCs w:val="24"/>
        </w:rPr>
      </w:pPr>
    </w:p>
    <w:sectPr>
      <w:headerReference r:id="rId14" w:type="first"/>
      <w:footerReference r:id="rId16" w:type="first"/>
      <w:headerReference r:id="rId13" w:type="default"/>
      <w:footerReference r:id="rId15" w:type="default"/>
      <w:pgSz w:w="11906" w:h="16838"/>
      <w:pgMar w:top="1440" w:right="1083" w:bottom="1440" w:left="1083" w:header="1077" w:footer="1020" w:gutter="0"/>
      <w:pgBorders>
        <w:top w:val="none" w:sz="0" w:space="0"/>
        <w:left w:val="none" w:sz="0" w:space="0"/>
        <w:bottom w:val="none" w:sz="0" w:space="0"/>
        <w:right w:val="none" w:sz="0" w:space="0"/>
      </w:pgBorders>
      <w:pgNumType w:fmt="decimal"/>
      <w:cols w:space="0" w:num="1"/>
      <w:titlePg/>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kzidenz Grotesk BQ">
    <w:altName w:val="宋体"/>
    <w:panose1 w:val="00000000000000000000"/>
    <w:charset w:val="00"/>
    <w:family w:val="swiss"/>
    <w:pitch w:val="default"/>
    <w:sig w:usb0="00000000" w:usb1="00000000" w:usb2="00000010" w:usb3="00000000" w:csb0="00040001" w:csb1="00000000"/>
  </w:font>
  <w:font w:name="ti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4D2B3">
    <w:pPr>
      <w:pStyle w:val="15"/>
      <w:ind w:right="80" w:rightChars="0"/>
      <w:jc w:val="center"/>
      <w:rPr>
        <w:rFonts w:hint="eastAsia" w:ascii="仿宋" w:hAnsi="仿宋" w:eastAsia="仿宋" w:cs="仿宋"/>
      </w:rPr>
    </w:pPr>
    <w:r>
      <w:drawing>
        <wp:anchor distT="0" distB="0" distL="114300" distR="114300" simplePos="0" relativeHeight="251659264" behindDoc="0" locked="0" layoutInCell="1" allowOverlap="1">
          <wp:simplePos x="0" y="0"/>
          <wp:positionH relativeFrom="column">
            <wp:posOffset>-339090</wp:posOffset>
          </wp:positionH>
          <wp:positionV relativeFrom="paragraph">
            <wp:posOffset>-110490</wp:posOffset>
          </wp:positionV>
          <wp:extent cx="401320" cy="349885"/>
          <wp:effectExtent l="0" t="0" r="0" b="12700"/>
          <wp:wrapSquare wrapText="bothSides"/>
          <wp:docPr id="16" name="图片 6" descr="9219d7412bfc97c1d0d519effa67659e_2_3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9219d7412bfc97c1d0d519effa67659e_2_3_art"/>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401320" cy="349885"/>
                  </a:xfrm>
                  <a:prstGeom prst="rect">
                    <a:avLst/>
                  </a:prstGeom>
                  <a:noFill/>
                  <a:ln>
                    <a:noFill/>
                  </a:ln>
                </pic:spPr>
              </pic:pic>
            </a:graphicData>
          </a:graphic>
        </wp:anchor>
      </w:drawing>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18189">
    <w:pPr>
      <w:pStyle w:val="15"/>
      <w:ind w:right="86" w:rightChars="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1BBF">
    <w:pPr>
      <w:pStyle w:val="15"/>
      <w:ind w:right="86" w:rightChars="0"/>
      <w:jc w:val="both"/>
    </w:pPr>
    <w:r>
      <w:rPr>
        <w:rFonts w:hint="eastAsia" w:ascii="仿宋" w:hAnsi="仿宋" w:eastAsia="仿宋" w:cs="仿宋"/>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12E4">
    <w:pPr>
      <w:pStyle w:val="15"/>
      <w:ind w:right="80" w:rightChars="0"/>
      <w:jc w:val="both"/>
      <w:rPr>
        <w:rFonts w:hint="eastAsia"/>
      </w:rPr>
    </w:pPr>
    <w:r>
      <w:drawing>
        <wp:anchor distT="0" distB="0" distL="114300" distR="114300" simplePos="0" relativeHeight="251661312" behindDoc="0" locked="0" layoutInCell="1" allowOverlap="1">
          <wp:simplePos x="0" y="0"/>
          <wp:positionH relativeFrom="column">
            <wp:posOffset>-339090</wp:posOffset>
          </wp:positionH>
          <wp:positionV relativeFrom="paragraph">
            <wp:posOffset>-110490</wp:posOffset>
          </wp:positionV>
          <wp:extent cx="401320" cy="349885"/>
          <wp:effectExtent l="0" t="0" r="0" b="12700"/>
          <wp:wrapSquare wrapText="bothSides"/>
          <wp:docPr id="18" name="图片 6" descr="9219d7412bfc97c1d0d519effa67659e_2_3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9219d7412bfc97c1d0d519effa67659e_2_3_art"/>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401320" cy="349885"/>
                  </a:xfrm>
                  <a:prstGeom prst="rect">
                    <a:avLst/>
                  </a:prstGeom>
                  <a:noFill/>
                  <a:ln>
                    <a:noFill/>
                  </a:ln>
                </pic:spPr>
              </pic:pic>
            </a:graphicData>
          </a:graphic>
        </wp:anchor>
      </w:drawing>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B4B4">
    <w:pPr>
      <w:pStyle w:val="15"/>
      <w:ind w:right="80" w:rightChars="0"/>
      <w:jc w:val="both"/>
      <w:rPr>
        <w:rFonts w:hint="eastAsia" w:eastAsia="仿宋"/>
        <w:lang w:eastAsia="zh-CN"/>
      </w:rPr>
    </w:pPr>
    <w:r>
      <w:drawing>
        <wp:anchor distT="0" distB="0" distL="114300" distR="114300" simplePos="0" relativeHeight="251660288" behindDoc="0" locked="0" layoutInCell="1" allowOverlap="1">
          <wp:simplePos x="0" y="0"/>
          <wp:positionH relativeFrom="column">
            <wp:posOffset>-339090</wp:posOffset>
          </wp:positionH>
          <wp:positionV relativeFrom="paragraph">
            <wp:posOffset>-110490</wp:posOffset>
          </wp:positionV>
          <wp:extent cx="401320" cy="349885"/>
          <wp:effectExtent l="0" t="0" r="0" b="12700"/>
          <wp:wrapSquare wrapText="bothSides"/>
          <wp:docPr id="17" name="图片 6" descr="9219d7412bfc97c1d0d519effa67659e_2_3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9219d7412bfc97c1d0d519effa67659e_2_3_art"/>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401320" cy="349885"/>
                  </a:xfrm>
                  <a:prstGeom prst="rect">
                    <a:avLst/>
                  </a:prstGeom>
                  <a:noFill/>
                  <a:ln>
                    <a:noFill/>
                  </a:ln>
                </pic:spPr>
              </pic:pic>
            </a:graphicData>
          </a:graphic>
        </wp:anchor>
      </w:drawing>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A1BFC">
    <w:pPr>
      <w:pStyle w:val="15"/>
      <w:jc w:val="center"/>
    </w:pPr>
    <w:r>
      <w:fldChar w:fldCharType="begin"/>
    </w:r>
    <w:r>
      <w:instrText xml:space="preserve">PAGE   \* MERGEFORMAT</w:instrText>
    </w:r>
    <w:r>
      <w:fldChar w:fldCharType="separate"/>
    </w:r>
    <w:r>
      <w:rPr>
        <w:lang w:val="zh-CN"/>
      </w:rPr>
      <w:t>65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7FCEA">
    <w:pPr>
      <w:pStyle w:val="15"/>
      <w:ind w:right="120" w:rightChars="0"/>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21051">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57421051">
                    <w:pPr>
                      <w:pStyle w:val="15"/>
                    </w:pPr>
                    <w:r>
                      <w:fldChar w:fldCharType="begin"/>
                    </w:r>
                    <w:r>
                      <w:instrText xml:space="preserve"> PAGE  \* MERGEFORMAT </w:instrText>
                    </w:r>
                    <w:r>
                      <w:fldChar w:fldCharType="separate"/>
                    </w:r>
                    <w:r>
                      <w:t>39</w:t>
                    </w:r>
                    <w:r>
                      <w:fldChar w:fldCharType="end"/>
                    </w:r>
                  </w:p>
                </w:txbxContent>
              </v:textbox>
            </v:shape>
          </w:pict>
        </mc:Fallback>
      </mc:AlternateConten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E3A37">
    <w:pPr>
      <w:pStyle w:val="15"/>
      <w:ind w:right="80" w:rightChars="0"/>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7C484">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4787C484">
                    <w:pPr>
                      <w:pStyle w:val="15"/>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D819B">
    <w:pPr>
      <w:pStyle w:val="16"/>
      <w:pBdr>
        <w:bottom w:val="thickThinMediumGap" w:color="auto" w:sz="18" w:space="1"/>
      </w:pBdr>
      <w:jc w:val="center"/>
      <w:rPr>
        <w:rFonts w:hint="eastAsia"/>
        <w:u w:val="single"/>
      </w:rPr>
    </w:pPr>
    <w:r>
      <w:rPr>
        <w:rFonts w:hint="eastAsia" w:ascii="仿宋" w:hAnsi="仿宋" w:eastAsia="仿宋" w:cs="仿宋"/>
        <w:bCs/>
        <w:lang w:eastAsia="zh-CN"/>
      </w:rPr>
      <w:t>昆明市第三人民医院医疗设备（64排CT)维护和保养服务项目</w:t>
    </w:r>
    <w:r>
      <w:rPr>
        <w:rFonts w:hint="eastAsia" w:ascii="仿宋" w:hAnsi="仿宋" w:eastAsia="仿宋" w:cs="仿宋"/>
        <w:bCs/>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258F0">
    <w:pPr>
      <w:pStyle w:val="16"/>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7BD10">
    <w:pPr>
      <w:pStyle w:val="16"/>
      <w:pBdr>
        <w:bottom w:val="thickThinMediumGap" w:color="auto" w:sz="18" w:space="1"/>
      </w:pBdr>
      <w:jc w:val="left"/>
    </w:pPr>
    <w:r>
      <w:rPr>
        <w:rFonts w:hint="eastAsia" w:ascii="仿宋" w:hAnsi="仿宋" w:eastAsia="仿宋" w:cs="仿宋"/>
        <w:bCs/>
        <w:lang w:val="en-US" w:eastAsia="zh-CN"/>
      </w:rPr>
      <w:t>昆明市第三人民医院医疗设备（64排CT)维护和保养服务项目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E2DDF">
    <w:pPr>
      <w:pStyle w:val="16"/>
      <w:pBdr>
        <w:bottom w:val="single" w:color="auto" w:sz="4" w:space="1"/>
      </w:pBdr>
      <w:jc w:val="left"/>
      <w:rPr>
        <w:rFonts w:hint="eastAsia" w:ascii="仿宋" w:hAnsi="仿宋" w:eastAsia="仿宋" w:cs="仿宋"/>
        <w:sz w:val="21"/>
        <w:szCs w:val="21"/>
      </w:rPr>
    </w:pPr>
    <w:r>
      <w:rPr>
        <w:rFonts w:hint="eastAsia" w:ascii="仿宋" w:hAnsi="仿宋" w:eastAsia="仿宋" w:cs="仿宋"/>
        <w:color w:val="auto"/>
        <w:sz w:val="21"/>
        <w:szCs w:val="21"/>
        <w:u w:val="none"/>
        <w:lang w:val="en-US" w:eastAsia="zh-CN"/>
      </w:rPr>
      <w:t>昆明市第三人民医院医疗设备（64排CT)维护和保养服务项目</w:t>
    </w:r>
    <w:r>
      <w:rPr>
        <w:rFonts w:hint="eastAsia" w:ascii="仿宋" w:hAnsi="仿宋" w:eastAsia="仿宋" w:cs="仿宋"/>
        <w:iCs/>
        <w:sz w:val="21"/>
        <w:szCs w:val="21"/>
      </w:rPr>
      <w:t xml:space="preserve">               </w:t>
    </w:r>
    <w:r>
      <w:rPr>
        <w:rFonts w:hint="eastAsia" w:ascii="仿宋" w:hAnsi="仿宋" w:eastAsia="仿宋" w:cs="仿宋"/>
        <w:iCs/>
        <w:sz w:val="21"/>
        <w:szCs w:val="21"/>
        <w:lang w:val="en-US" w:eastAsia="zh-CN"/>
      </w:rPr>
      <w:t xml:space="preserve"> </w:t>
    </w:r>
    <w:r>
      <w:rPr>
        <w:rFonts w:hint="eastAsia" w:ascii="仿宋" w:hAnsi="仿宋" w:eastAsia="仿宋" w:cs="仿宋"/>
        <w:iCs/>
        <w:sz w:val="21"/>
        <w:szCs w:val="21"/>
      </w:rPr>
      <w:t xml:space="preserve">       </w:t>
    </w:r>
    <w:r>
      <w:rPr>
        <w:rFonts w:hint="eastAsia" w:ascii="仿宋" w:hAnsi="仿宋" w:eastAsia="仿宋" w:cs="仿宋"/>
        <w:sz w:val="21"/>
        <w:szCs w:val="21"/>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62AD1">
    <w:pPr>
      <w:pStyle w:val="16"/>
      <w:pBdr>
        <w:bottom w:val="thickThinMediumGap" w:color="auto" w:sz="18" w:space="1"/>
      </w:pBdr>
      <w:jc w:val="center"/>
      <w:rPr>
        <w:rFonts w:hint="eastAsia" w:ascii="宋体"/>
      </w:rPr>
    </w:pPr>
    <w:r>
      <w:rPr>
        <w:rFonts w:hint="eastAsia" w:ascii="仿宋" w:hAnsi="仿宋" w:eastAsia="仿宋" w:cs="仿宋"/>
        <w:bCs/>
        <w:lang w:eastAsia="zh-CN"/>
      </w:rPr>
      <w:t>昆明市第三人民医院医疗设备（64排CT)维护和保养服务项目</w:t>
    </w:r>
    <w:r>
      <w:rPr>
        <w:rFonts w:hint="eastAsia" w:ascii="仿宋" w:hAnsi="仿宋" w:eastAsia="仿宋" w:cs="仿宋"/>
        <w:bCs/>
        <w:lang w:val="en-US" w:eastAsia="zh-CN"/>
      </w:rPr>
      <w:t xml:space="preserve">                                            招标文件</w:t>
    </w:r>
    <w:r>
      <w:rPr>
        <w:rFonts w:hint="eastAsia" w:ascii="宋体" w:hAnsi="宋体" w:cs="宋体"/>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1F4C">
    <w:pPr>
      <w:pStyle w:val="16"/>
      <w:pBdr>
        <w:bottom w:val="thickThinMediumGap" w:color="auto" w:sz="18" w:space="1"/>
      </w:pBdr>
      <w:jc w:val="center"/>
    </w:pPr>
    <w:r>
      <w:rPr>
        <w:rFonts w:hint="eastAsia" w:ascii="仿宋" w:hAnsi="仿宋" w:eastAsia="仿宋" w:cs="仿宋"/>
        <w:bCs/>
        <w:lang w:eastAsia="zh-CN"/>
      </w:rPr>
      <w:t>昆明市第三人民医院医疗设备（64排CT)维护和保养服务项目</w:t>
    </w:r>
    <w:r>
      <w:rPr>
        <w:rFonts w:hint="eastAsia" w:ascii="仿宋" w:hAnsi="仿宋" w:eastAsia="仿宋" w:cs="仿宋"/>
        <w:bCs/>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2723"/>
        </w:tabs>
        <w:ind w:left="2723"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27215942"/>
    <w:multiLevelType w:val="multilevel"/>
    <w:tmpl w:val="27215942"/>
    <w:lvl w:ilvl="0" w:tentative="0">
      <w:start w:val="1"/>
      <w:numFmt w:val="decimal"/>
      <w:pStyle w:val="46"/>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kZTdlYmU2MjE1MjdlODRhOGIzNWFkZDA4OTA0MjEifQ=="/>
  </w:docVars>
  <w:rsids>
    <w:rsidRoot w:val="38C946F2"/>
    <w:rsid w:val="00311A5F"/>
    <w:rsid w:val="00761DAB"/>
    <w:rsid w:val="00885C22"/>
    <w:rsid w:val="00DD27BF"/>
    <w:rsid w:val="00EB18BC"/>
    <w:rsid w:val="01AC0A5D"/>
    <w:rsid w:val="021C0B7B"/>
    <w:rsid w:val="024378B0"/>
    <w:rsid w:val="025E1853"/>
    <w:rsid w:val="02750329"/>
    <w:rsid w:val="02D30F47"/>
    <w:rsid w:val="030E40B3"/>
    <w:rsid w:val="03BD3A15"/>
    <w:rsid w:val="04852F47"/>
    <w:rsid w:val="04BD6ADA"/>
    <w:rsid w:val="04C07235"/>
    <w:rsid w:val="04C468A3"/>
    <w:rsid w:val="04DF7CDC"/>
    <w:rsid w:val="04EB1F64"/>
    <w:rsid w:val="04F349C2"/>
    <w:rsid w:val="051B6CA7"/>
    <w:rsid w:val="054E13BD"/>
    <w:rsid w:val="0567750D"/>
    <w:rsid w:val="05820FBF"/>
    <w:rsid w:val="058F645E"/>
    <w:rsid w:val="05D94C36"/>
    <w:rsid w:val="06061D16"/>
    <w:rsid w:val="06473352"/>
    <w:rsid w:val="06607FFD"/>
    <w:rsid w:val="06AC39B9"/>
    <w:rsid w:val="06C841CD"/>
    <w:rsid w:val="06E22800"/>
    <w:rsid w:val="06FE35CC"/>
    <w:rsid w:val="071C6FC5"/>
    <w:rsid w:val="07546937"/>
    <w:rsid w:val="076769E6"/>
    <w:rsid w:val="07984F80"/>
    <w:rsid w:val="07C3164D"/>
    <w:rsid w:val="081128A2"/>
    <w:rsid w:val="083117F8"/>
    <w:rsid w:val="08330F29"/>
    <w:rsid w:val="084B2DFD"/>
    <w:rsid w:val="08B53F7B"/>
    <w:rsid w:val="08D86F1C"/>
    <w:rsid w:val="08FE406B"/>
    <w:rsid w:val="091E3A5E"/>
    <w:rsid w:val="094B0074"/>
    <w:rsid w:val="096B6919"/>
    <w:rsid w:val="099310F2"/>
    <w:rsid w:val="09B625D4"/>
    <w:rsid w:val="09C91055"/>
    <w:rsid w:val="0A4527D3"/>
    <w:rsid w:val="0A4D5FB1"/>
    <w:rsid w:val="0A803661"/>
    <w:rsid w:val="0AAF5B56"/>
    <w:rsid w:val="0ABE7054"/>
    <w:rsid w:val="0ACE5863"/>
    <w:rsid w:val="0AD014E7"/>
    <w:rsid w:val="0AE60111"/>
    <w:rsid w:val="0B56041E"/>
    <w:rsid w:val="0B900744"/>
    <w:rsid w:val="0BE10747"/>
    <w:rsid w:val="0C0E2EED"/>
    <w:rsid w:val="0C963376"/>
    <w:rsid w:val="0CA64316"/>
    <w:rsid w:val="0CA86033"/>
    <w:rsid w:val="0CBB55EF"/>
    <w:rsid w:val="0D250E31"/>
    <w:rsid w:val="0D3A63F7"/>
    <w:rsid w:val="0D674D12"/>
    <w:rsid w:val="0D822F1F"/>
    <w:rsid w:val="0E13601F"/>
    <w:rsid w:val="0E341A72"/>
    <w:rsid w:val="0E3A7F11"/>
    <w:rsid w:val="0E4E38CC"/>
    <w:rsid w:val="0E8E7235"/>
    <w:rsid w:val="0F3155D8"/>
    <w:rsid w:val="0F334E1F"/>
    <w:rsid w:val="0F391AD4"/>
    <w:rsid w:val="0F9811B3"/>
    <w:rsid w:val="0FC30DB0"/>
    <w:rsid w:val="105871DD"/>
    <w:rsid w:val="10D06877"/>
    <w:rsid w:val="10FB5E9E"/>
    <w:rsid w:val="110B0C0D"/>
    <w:rsid w:val="11330D9A"/>
    <w:rsid w:val="11727937"/>
    <w:rsid w:val="12EE7173"/>
    <w:rsid w:val="13043C3C"/>
    <w:rsid w:val="137B7DE5"/>
    <w:rsid w:val="138803BF"/>
    <w:rsid w:val="13A47E28"/>
    <w:rsid w:val="13BA4B1B"/>
    <w:rsid w:val="13E209D0"/>
    <w:rsid w:val="1412662C"/>
    <w:rsid w:val="14216680"/>
    <w:rsid w:val="1447247F"/>
    <w:rsid w:val="14685B53"/>
    <w:rsid w:val="14AF3577"/>
    <w:rsid w:val="14FE63A7"/>
    <w:rsid w:val="151C4634"/>
    <w:rsid w:val="153C1D0A"/>
    <w:rsid w:val="1568215C"/>
    <w:rsid w:val="158E10A8"/>
    <w:rsid w:val="15DD5B72"/>
    <w:rsid w:val="15EE0445"/>
    <w:rsid w:val="1630442F"/>
    <w:rsid w:val="1642631D"/>
    <w:rsid w:val="165C5C9F"/>
    <w:rsid w:val="165F7E38"/>
    <w:rsid w:val="167347EA"/>
    <w:rsid w:val="169277F2"/>
    <w:rsid w:val="169F77B7"/>
    <w:rsid w:val="16A1520D"/>
    <w:rsid w:val="16D2144F"/>
    <w:rsid w:val="16DD5737"/>
    <w:rsid w:val="16DF0D3A"/>
    <w:rsid w:val="16E168AE"/>
    <w:rsid w:val="17372B78"/>
    <w:rsid w:val="173B6E4B"/>
    <w:rsid w:val="17D807B5"/>
    <w:rsid w:val="183953B2"/>
    <w:rsid w:val="185F3BF9"/>
    <w:rsid w:val="18BF55D2"/>
    <w:rsid w:val="18C4301F"/>
    <w:rsid w:val="18D45952"/>
    <w:rsid w:val="18E07450"/>
    <w:rsid w:val="191F2531"/>
    <w:rsid w:val="19BA36E2"/>
    <w:rsid w:val="1A03392A"/>
    <w:rsid w:val="1A3D7DDE"/>
    <w:rsid w:val="1A5A0CCB"/>
    <w:rsid w:val="1A5C0003"/>
    <w:rsid w:val="1A6911A9"/>
    <w:rsid w:val="1A9E0D3C"/>
    <w:rsid w:val="1B230EE6"/>
    <w:rsid w:val="1B4F698D"/>
    <w:rsid w:val="1BCA4846"/>
    <w:rsid w:val="1BF80098"/>
    <w:rsid w:val="1C2B5668"/>
    <w:rsid w:val="1C492BF4"/>
    <w:rsid w:val="1C976FB2"/>
    <w:rsid w:val="1CFD2DB9"/>
    <w:rsid w:val="1D2247B2"/>
    <w:rsid w:val="1D3C312E"/>
    <w:rsid w:val="1D6C4859"/>
    <w:rsid w:val="1D996E69"/>
    <w:rsid w:val="1E20610D"/>
    <w:rsid w:val="1E3C4F64"/>
    <w:rsid w:val="1ED350EB"/>
    <w:rsid w:val="1ED4161F"/>
    <w:rsid w:val="1F2D2936"/>
    <w:rsid w:val="1F7D7968"/>
    <w:rsid w:val="1FC87A64"/>
    <w:rsid w:val="1FE61DD8"/>
    <w:rsid w:val="1FE85DDA"/>
    <w:rsid w:val="1FFA7169"/>
    <w:rsid w:val="200040DF"/>
    <w:rsid w:val="20182816"/>
    <w:rsid w:val="204F0987"/>
    <w:rsid w:val="20CC33B3"/>
    <w:rsid w:val="217151DE"/>
    <w:rsid w:val="217F0425"/>
    <w:rsid w:val="21A16499"/>
    <w:rsid w:val="2204288D"/>
    <w:rsid w:val="221D7FA8"/>
    <w:rsid w:val="22B94653"/>
    <w:rsid w:val="22D62B80"/>
    <w:rsid w:val="22FC0D22"/>
    <w:rsid w:val="23717062"/>
    <w:rsid w:val="237A5348"/>
    <w:rsid w:val="23A128D5"/>
    <w:rsid w:val="23E975DC"/>
    <w:rsid w:val="23F93B37"/>
    <w:rsid w:val="24031BA0"/>
    <w:rsid w:val="2408483C"/>
    <w:rsid w:val="243B7465"/>
    <w:rsid w:val="248E5EA2"/>
    <w:rsid w:val="2492221D"/>
    <w:rsid w:val="24966E88"/>
    <w:rsid w:val="24A93651"/>
    <w:rsid w:val="24D5765E"/>
    <w:rsid w:val="24E57F07"/>
    <w:rsid w:val="25180310"/>
    <w:rsid w:val="257111B9"/>
    <w:rsid w:val="259156A3"/>
    <w:rsid w:val="25D836B3"/>
    <w:rsid w:val="264D7272"/>
    <w:rsid w:val="264F486A"/>
    <w:rsid w:val="26546343"/>
    <w:rsid w:val="266053F4"/>
    <w:rsid w:val="266E2AF3"/>
    <w:rsid w:val="26BC65B8"/>
    <w:rsid w:val="26DB325A"/>
    <w:rsid w:val="26E66C24"/>
    <w:rsid w:val="27247600"/>
    <w:rsid w:val="27530B4E"/>
    <w:rsid w:val="275369D4"/>
    <w:rsid w:val="27814EF7"/>
    <w:rsid w:val="2840027B"/>
    <w:rsid w:val="28E80DF5"/>
    <w:rsid w:val="290336EA"/>
    <w:rsid w:val="292D69B8"/>
    <w:rsid w:val="297D4271"/>
    <w:rsid w:val="29FD45DD"/>
    <w:rsid w:val="2A1D3971"/>
    <w:rsid w:val="2A790765"/>
    <w:rsid w:val="2A9E53C4"/>
    <w:rsid w:val="2AB96756"/>
    <w:rsid w:val="2ACF5F79"/>
    <w:rsid w:val="2ADB68A8"/>
    <w:rsid w:val="2B335E58"/>
    <w:rsid w:val="2BC85EF1"/>
    <w:rsid w:val="2BD27F42"/>
    <w:rsid w:val="2BD501EB"/>
    <w:rsid w:val="2C00292A"/>
    <w:rsid w:val="2C072B97"/>
    <w:rsid w:val="2C414A99"/>
    <w:rsid w:val="2C61718E"/>
    <w:rsid w:val="2CBB07D5"/>
    <w:rsid w:val="2CE26943"/>
    <w:rsid w:val="2D05630A"/>
    <w:rsid w:val="2D0B5649"/>
    <w:rsid w:val="2D240440"/>
    <w:rsid w:val="2D475E27"/>
    <w:rsid w:val="2D617FFF"/>
    <w:rsid w:val="2D632008"/>
    <w:rsid w:val="2D654D29"/>
    <w:rsid w:val="2D8777DE"/>
    <w:rsid w:val="2D951AD7"/>
    <w:rsid w:val="2DAB4BAB"/>
    <w:rsid w:val="2DBB3E62"/>
    <w:rsid w:val="2DE56A43"/>
    <w:rsid w:val="2E0B4ED3"/>
    <w:rsid w:val="2E2864CA"/>
    <w:rsid w:val="2E3F6F72"/>
    <w:rsid w:val="2F2E2674"/>
    <w:rsid w:val="2F544BA8"/>
    <w:rsid w:val="2F684DCB"/>
    <w:rsid w:val="2F810556"/>
    <w:rsid w:val="2FA96B3D"/>
    <w:rsid w:val="3006686C"/>
    <w:rsid w:val="300C59B4"/>
    <w:rsid w:val="302A5C70"/>
    <w:rsid w:val="30324FCF"/>
    <w:rsid w:val="303D3985"/>
    <w:rsid w:val="30565E74"/>
    <w:rsid w:val="30860196"/>
    <w:rsid w:val="31200DC9"/>
    <w:rsid w:val="31466869"/>
    <w:rsid w:val="317E5B7E"/>
    <w:rsid w:val="31A50281"/>
    <w:rsid w:val="320E382B"/>
    <w:rsid w:val="32115E91"/>
    <w:rsid w:val="32130E41"/>
    <w:rsid w:val="32196273"/>
    <w:rsid w:val="323655E2"/>
    <w:rsid w:val="324C6101"/>
    <w:rsid w:val="32B028C5"/>
    <w:rsid w:val="32F80037"/>
    <w:rsid w:val="3349129C"/>
    <w:rsid w:val="337063FE"/>
    <w:rsid w:val="33775FB9"/>
    <w:rsid w:val="34055BC6"/>
    <w:rsid w:val="34331AEC"/>
    <w:rsid w:val="345F6D8C"/>
    <w:rsid w:val="34F86C71"/>
    <w:rsid w:val="350B742E"/>
    <w:rsid w:val="350C4A03"/>
    <w:rsid w:val="35162E47"/>
    <w:rsid w:val="351C422A"/>
    <w:rsid w:val="35386432"/>
    <w:rsid w:val="35D62830"/>
    <w:rsid w:val="36125CC0"/>
    <w:rsid w:val="362C0FEF"/>
    <w:rsid w:val="36450659"/>
    <w:rsid w:val="364B451E"/>
    <w:rsid w:val="366D5207"/>
    <w:rsid w:val="36722C62"/>
    <w:rsid w:val="36A03305"/>
    <w:rsid w:val="36D0663B"/>
    <w:rsid w:val="37537F32"/>
    <w:rsid w:val="375C0FD8"/>
    <w:rsid w:val="37781747"/>
    <w:rsid w:val="377F0D27"/>
    <w:rsid w:val="37924ED6"/>
    <w:rsid w:val="37F70FBB"/>
    <w:rsid w:val="384A4424"/>
    <w:rsid w:val="387444F2"/>
    <w:rsid w:val="389404A0"/>
    <w:rsid w:val="38C2504C"/>
    <w:rsid w:val="38C946F2"/>
    <w:rsid w:val="3975600C"/>
    <w:rsid w:val="3977080B"/>
    <w:rsid w:val="39AA6AB5"/>
    <w:rsid w:val="39B90520"/>
    <w:rsid w:val="39CA70D2"/>
    <w:rsid w:val="39D11EEF"/>
    <w:rsid w:val="3A2C16D2"/>
    <w:rsid w:val="3ADB0022"/>
    <w:rsid w:val="3B2C4D22"/>
    <w:rsid w:val="3B760E9F"/>
    <w:rsid w:val="3B7C7A57"/>
    <w:rsid w:val="3B820DE6"/>
    <w:rsid w:val="3BF462D3"/>
    <w:rsid w:val="3C306E47"/>
    <w:rsid w:val="3C385A30"/>
    <w:rsid w:val="3C530BE4"/>
    <w:rsid w:val="3C5F1F7F"/>
    <w:rsid w:val="3C73164C"/>
    <w:rsid w:val="3CB06A18"/>
    <w:rsid w:val="3D3E044E"/>
    <w:rsid w:val="3D490926"/>
    <w:rsid w:val="3D823051"/>
    <w:rsid w:val="3D87623F"/>
    <w:rsid w:val="3D9267DE"/>
    <w:rsid w:val="3DAC764B"/>
    <w:rsid w:val="3DB1150E"/>
    <w:rsid w:val="3DED69EA"/>
    <w:rsid w:val="3DFC6C2D"/>
    <w:rsid w:val="3E0D5914"/>
    <w:rsid w:val="3E185AC6"/>
    <w:rsid w:val="3E335637"/>
    <w:rsid w:val="3E6842C3"/>
    <w:rsid w:val="3ED9684C"/>
    <w:rsid w:val="3F297EB6"/>
    <w:rsid w:val="3F951922"/>
    <w:rsid w:val="3FC61349"/>
    <w:rsid w:val="40311B5E"/>
    <w:rsid w:val="403C6184"/>
    <w:rsid w:val="4061451C"/>
    <w:rsid w:val="40C913D4"/>
    <w:rsid w:val="40CC44C5"/>
    <w:rsid w:val="40FB25A4"/>
    <w:rsid w:val="41116A74"/>
    <w:rsid w:val="412131B0"/>
    <w:rsid w:val="413B181B"/>
    <w:rsid w:val="41BB6E82"/>
    <w:rsid w:val="41BE1007"/>
    <w:rsid w:val="41CC5006"/>
    <w:rsid w:val="4204103B"/>
    <w:rsid w:val="422248D6"/>
    <w:rsid w:val="434B7840"/>
    <w:rsid w:val="43614002"/>
    <w:rsid w:val="43821902"/>
    <w:rsid w:val="43981963"/>
    <w:rsid w:val="439B6F06"/>
    <w:rsid w:val="43DD305D"/>
    <w:rsid w:val="446229FA"/>
    <w:rsid w:val="451A4AA7"/>
    <w:rsid w:val="45202DCD"/>
    <w:rsid w:val="4558701D"/>
    <w:rsid w:val="4571013B"/>
    <w:rsid w:val="45743D12"/>
    <w:rsid w:val="46387713"/>
    <w:rsid w:val="46632D83"/>
    <w:rsid w:val="46781C50"/>
    <w:rsid w:val="46CD1958"/>
    <w:rsid w:val="46FB691F"/>
    <w:rsid w:val="471912DF"/>
    <w:rsid w:val="474456A1"/>
    <w:rsid w:val="476F384E"/>
    <w:rsid w:val="47AF43C0"/>
    <w:rsid w:val="47BB0482"/>
    <w:rsid w:val="47D44777"/>
    <w:rsid w:val="47D46525"/>
    <w:rsid w:val="47FD661E"/>
    <w:rsid w:val="483151DE"/>
    <w:rsid w:val="48831FAC"/>
    <w:rsid w:val="48AD326A"/>
    <w:rsid w:val="48D25E8F"/>
    <w:rsid w:val="48FF232B"/>
    <w:rsid w:val="49684B4C"/>
    <w:rsid w:val="49B8094B"/>
    <w:rsid w:val="4A0B29A6"/>
    <w:rsid w:val="4A6F422C"/>
    <w:rsid w:val="4A895743"/>
    <w:rsid w:val="4A897729"/>
    <w:rsid w:val="4A963F66"/>
    <w:rsid w:val="4AA528FE"/>
    <w:rsid w:val="4AC50F50"/>
    <w:rsid w:val="4ACC3E2B"/>
    <w:rsid w:val="4B030375"/>
    <w:rsid w:val="4B0F5912"/>
    <w:rsid w:val="4B345730"/>
    <w:rsid w:val="4B353FEC"/>
    <w:rsid w:val="4B751DCD"/>
    <w:rsid w:val="4B8B45E3"/>
    <w:rsid w:val="4BAB1D2F"/>
    <w:rsid w:val="4BB46C03"/>
    <w:rsid w:val="4BB634E2"/>
    <w:rsid w:val="4C1C40A9"/>
    <w:rsid w:val="4C3C1F10"/>
    <w:rsid w:val="4C6F2CC0"/>
    <w:rsid w:val="4CED3C0E"/>
    <w:rsid w:val="4CF66490"/>
    <w:rsid w:val="4D207BFA"/>
    <w:rsid w:val="4D220938"/>
    <w:rsid w:val="4DA22CAF"/>
    <w:rsid w:val="4E431FFE"/>
    <w:rsid w:val="4E9D067A"/>
    <w:rsid w:val="4F225B17"/>
    <w:rsid w:val="4F642884"/>
    <w:rsid w:val="4FAD52F3"/>
    <w:rsid w:val="4FF46838"/>
    <w:rsid w:val="504E6489"/>
    <w:rsid w:val="507C775A"/>
    <w:rsid w:val="50A4081B"/>
    <w:rsid w:val="50AB5B66"/>
    <w:rsid w:val="50AF5E9A"/>
    <w:rsid w:val="50B5112D"/>
    <w:rsid w:val="50DE2C77"/>
    <w:rsid w:val="511509CB"/>
    <w:rsid w:val="5168237C"/>
    <w:rsid w:val="51695F30"/>
    <w:rsid w:val="51BF3DA2"/>
    <w:rsid w:val="51C55D72"/>
    <w:rsid w:val="51FA500C"/>
    <w:rsid w:val="521E33D7"/>
    <w:rsid w:val="522838B8"/>
    <w:rsid w:val="523E560F"/>
    <w:rsid w:val="52603EB2"/>
    <w:rsid w:val="528C5035"/>
    <w:rsid w:val="534C3D5B"/>
    <w:rsid w:val="53792655"/>
    <w:rsid w:val="549F7D77"/>
    <w:rsid w:val="54AB1655"/>
    <w:rsid w:val="54B64D79"/>
    <w:rsid w:val="54DA4359"/>
    <w:rsid w:val="54E3323A"/>
    <w:rsid w:val="54E37B61"/>
    <w:rsid w:val="550F3292"/>
    <w:rsid w:val="55161E0A"/>
    <w:rsid w:val="55215556"/>
    <w:rsid w:val="55480552"/>
    <w:rsid w:val="555265D2"/>
    <w:rsid w:val="55683C90"/>
    <w:rsid w:val="55D95D86"/>
    <w:rsid w:val="56515BD5"/>
    <w:rsid w:val="56972245"/>
    <w:rsid w:val="569E4345"/>
    <w:rsid w:val="56B759D5"/>
    <w:rsid w:val="5754604B"/>
    <w:rsid w:val="58885401"/>
    <w:rsid w:val="588C69A8"/>
    <w:rsid w:val="58B57E26"/>
    <w:rsid w:val="58DD4C71"/>
    <w:rsid w:val="59512029"/>
    <w:rsid w:val="59D911A0"/>
    <w:rsid w:val="5A161BC2"/>
    <w:rsid w:val="5A5120AB"/>
    <w:rsid w:val="5AF848DA"/>
    <w:rsid w:val="5B072625"/>
    <w:rsid w:val="5B3475AF"/>
    <w:rsid w:val="5B4D4952"/>
    <w:rsid w:val="5B52690B"/>
    <w:rsid w:val="5B7420A1"/>
    <w:rsid w:val="5B7B0724"/>
    <w:rsid w:val="5B7D0A8B"/>
    <w:rsid w:val="5BCF552A"/>
    <w:rsid w:val="5C114178"/>
    <w:rsid w:val="5C30180D"/>
    <w:rsid w:val="5C3F445D"/>
    <w:rsid w:val="5C8917DC"/>
    <w:rsid w:val="5CBE7EB6"/>
    <w:rsid w:val="5D6840BA"/>
    <w:rsid w:val="5D750DBE"/>
    <w:rsid w:val="5D81714F"/>
    <w:rsid w:val="5DA36C6E"/>
    <w:rsid w:val="5DBA4C70"/>
    <w:rsid w:val="5DC77851"/>
    <w:rsid w:val="5DD84E3D"/>
    <w:rsid w:val="5E3B6902"/>
    <w:rsid w:val="5E4F4700"/>
    <w:rsid w:val="5E6475F0"/>
    <w:rsid w:val="5E8E1C9B"/>
    <w:rsid w:val="5F0356EF"/>
    <w:rsid w:val="5F260EA1"/>
    <w:rsid w:val="5F287D07"/>
    <w:rsid w:val="5F7B1D1F"/>
    <w:rsid w:val="5F8C7892"/>
    <w:rsid w:val="600C67F8"/>
    <w:rsid w:val="601C6864"/>
    <w:rsid w:val="6032331E"/>
    <w:rsid w:val="604570E2"/>
    <w:rsid w:val="60B11150"/>
    <w:rsid w:val="60DE061A"/>
    <w:rsid w:val="60FB22F5"/>
    <w:rsid w:val="61164817"/>
    <w:rsid w:val="61336075"/>
    <w:rsid w:val="61376B06"/>
    <w:rsid w:val="61616C24"/>
    <w:rsid w:val="61811F70"/>
    <w:rsid w:val="61914A31"/>
    <w:rsid w:val="6202633D"/>
    <w:rsid w:val="620C25CF"/>
    <w:rsid w:val="62102503"/>
    <w:rsid w:val="6219351F"/>
    <w:rsid w:val="62597F33"/>
    <w:rsid w:val="62744735"/>
    <w:rsid w:val="632D167C"/>
    <w:rsid w:val="63682A23"/>
    <w:rsid w:val="6379729F"/>
    <w:rsid w:val="6388657F"/>
    <w:rsid w:val="638E007A"/>
    <w:rsid w:val="63B45AC5"/>
    <w:rsid w:val="63EE3A3F"/>
    <w:rsid w:val="63F17E5D"/>
    <w:rsid w:val="643109B6"/>
    <w:rsid w:val="648B6A6E"/>
    <w:rsid w:val="64AC4596"/>
    <w:rsid w:val="64B00585"/>
    <w:rsid w:val="64D9603B"/>
    <w:rsid w:val="64F740B4"/>
    <w:rsid w:val="6506417A"/>
    <w:rsid w:val="657C1147"/>
    <w:rsid w:val="65A45C8A"/>
    <w:rsid w:val="65B65A0B"/>
    <w:rsid w:val="66042B95"/>
    <w:rsid w:val="661E6086"/>
    <w:rsid w:val="66B81679"/>
    <w:rsid w:val="66F0267E"/>
    <w:rsid w:val="66F61BBC"/>
    <w:rsid w:val="67123C01"/>
    <w:rsid w:val="67AA2653"/>
    <w:rsid w:val="67AF1B09"/>
    <w:rsid w:val="680622F5"/>
    <w:rsid w:val="684626D0"/>
    <w:rsid w:val="686707B7"/>
    <w:rsid w:val="68D127FB"/>
    <w:rsid w:val="68FD1BE9"/>
    <w:rsid w:val="69270753"/>
    <w:rsid w:val="697670FA"/>
    <w:rsid w:val="69A51FDE"/>
    <w:rsid w:val="69CA7507"/>
    <w:rsid w:val="69F756F6"/>
    <w:rsid w:val="6A540728"/>
    <w:rsid w:val="6A5C61DA"/>
    <w:rsid w:val="6A7110BB"/>
    <w:rsid w:val="6B1B6E93"/>
    <w:rsid w:val="6B5275DD"/>
    <w:rsid w:val="6B642AB3"/>
    <w:rsid w:val="6BBF5D90"/>
    <w:rsid w:val="6CA60BCC"/>
    <w:rsid w:val="6CBE2856"/>
    <w:rsid w:val="6CEE16FC"/>
    <w:rsid w:val="6D5B5767"/>
    <w:rsid w:val="6D9E3ABC"/>
    <w:rsid w:val="6DB46F59"/>
    <w:rsid w:val="6DB77BCC"/>
    <w:rsid w:val="6DC07B49"/>
    <w:rsid w:val="6DEE5CE3"/>
    <w:rsid w:val="6E0A0351"/>
    <w:rsid w:val="6E1757E5"/>
    <w:rsid w:val="6E284EFB"/>
    <w:rsid w:val="6E5400F5"/>
    <w:rsid w:val="6E77070F"/>
    <w:rsid w:val="6EC86534"/>
    <w:rsid w:val="6F7264A0"/>
    <w:rsid w:val="6F776FD6"/>
    <w:rsid w:val="6F9E1043"/>
    <w:rsid w:val="6FCA3E81"/>
    <w:rsid w:val="6FE450A6"/>
    <w:rsid w:val="70033590"/>
    <w:rsid w:val="701B2C2A"/>
    <w:rsid w:val="702754DC"/>
    <w:rsid w:val="703D44BD"/>
    <w:rsid w:val="70B64B15"/>
    <w:rsid w:val="71086F2C"/>
    <w:rsid w:val="714E77C7"/>
    <w:rsid w:val="719B71C9"/>
    <w:rsid w:val="71C75295"/>
    <w:rsid w:val="72623EE2"/>
    <w:rsid w:val="72DC6835"/>
    <w:rsid w:val="72EE78E2"/>
    <w:rsid w:val="73125F7C"/>
    <w:rsid w:val="73163E8B"/>
    <w:rsid w:val="73333CB2"/>
    <w:rsid w:val="73BF0B04"/>
    <w:rsid w:val="73DE78F1"/>
    <w:rsid w:val="73EA6682"/>
    <w:rsid w:val="74016B17"/>
    <w:rsid w:val="74363F40"/>
    <w:rsid w:val="74546F68"/>
    <w:rsid w:val="745F7D66"/>
    <w:rsid w:val="74707448"/>
    <w:rsid w:val="74A946AA"/>
    <w:rsid w:val="75663552"/>
    <w:rsid w:val="75FE3258"/>
    <w:rsid w:val="76123200"/>
    <w:rsid w:val="76217705"/>
    <w:rsid w:val="76B8679F"/>
    <w:rsid w:val="76CE281D"/>
    <w:rsid w:val="77927492"/>
    <w:rsid w:val="7800564B"/>
    <w:rsid w:val="78034A5C"/>
    <w:rsid w:val="782A0644"/>
    <w:rsid w:val="782B18E2"/>
    <w:rsid w:val="78E004F6"/>
    <w:rsid w:val="78F437E2"/>
    <w:rsid w:val="79177F8B"/>
    <w:rsid w:val="795C7A57"/>
    <w:rsid w:val="796C61FE"/>
    <w:rsid w:val="79A8143C"/>
    <w:rsid w:val="79D12015"/>
    <w:rsid w:val="79F75333"/>
    <w:rsid w:val="7A2415C5"/>
    <w:rsid w:val="7A295B3D"/>
    <w:rsid w:val="7A2F65C5"/>
    <w:rsid w:val="7A663AAC"/>
    <w:rsid w:val="7AA54CFD"/>
    <w:rsid w:val="7AF678DE"/>
    <w:rsid w:val="7AFA3CE4"/>
    <w:rsid w:val="7B012E74"/>
    <w:rsid w:val="7B040FC0"/>
    <w:rsid w:val="7B097712"/>
    <w:rsid w:val="7B102565"/>
    <w:rsid w:val="7B1F4AEA"/>
    <w:rsid w:val="7B202093"/>
    <w:rsid w:val="7B88353D"/>
    <w:rsid w:val="7B8D49FF"/>
    <w:rsid w:val="7B9E24FA"/>
    <w:rsid w:val="7BF17430"/>
    <w:rsid w:val="7C174D9C"/>
    <w:rsid w:val="7C585FC1"/>
    <w:rsid w:val="7C752D66"/>
    <w:rsid w:val="7D8B70AB"/>
    <w:rsid w:val="7DA32041"/>
    <w:rsid w:val="7DAC4B6C"/>
    <w:rsid w:val="7DB43A55"/>
    <w:rsid w:val="7DC2115B"/>
    <w:rsid w:val="7E3675DE"/>
    <w:rsid w:val="7E374B3D"/>
    <w:rsid w:val="7E47246D"/>
    <w:rsid w:val="7F0421A8"/>
    <w:rsid w:val="7F0A6076"/>
    <w:rsid w:val="7F135FD9"/>
    <w:rsid w:val="7F1C08E1"/>
    <w:rsid w:val="7F2A7E75"/>
    <w:rsid w:val="7F7E59EA"/>
    <w:rsid w:val="7F802D3F"/>
    <w:rsid w:val="7FA17CED"/>
    <w:rsid w:val="7FC64E0D"/>
    <w:rsid w:val="7FD755E0"/>
    <w:rsid w:val="7FED7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adjustRightInd w:val="0"/>
      <w:spacing w:before="120" w:beforeLines="0" w:line="360" w:lineRule="auto"/>
      <w:textAlignment w:val="baseline"/>
      <w:outlineLvl w:val="0"/>
    </w:pPr>
    <w:rPr>
      <w:rFonts w:eastAsia="黑体"/>
      <w:b/>
      <w:kern w:val="44"/>
      <w:sz w:val="28"/>
      <w:szCs w:val="20"/>
    </w:rPr>
  </w:style>
  <w:style w:type="paragraph" w:styleId="4">
    <w:name w:val="heading 2"/>
    <w:basedOn w:val="1"/>
    <w:next w:val="1"/>
    <w:autoRedefine/>
    <w:qFormat/>
    <w:uiPriority w:val="0"/>
    <w:pPr>
      <w:keepNext/>
      <w:numPr>
        <w:ilvl w:val="1"/>
        <w:numId w:val="1"/>
      </w:numPr>
      <w:tabs>
        <w:tab w:val="left" w:pos="1021"/>
        <w:tab w:val="left" w:pos="2582"/>
      </w:tabs>
      <w:adjustRightInd w:val="0"/>
      <w:spacing w:before="120" w:beforeLines="0" w:line="360" w:lineRule="auto"/>
      <w:textAlignment w:val="baseline"/>
      <w:outlineLvl w:val="1"/>
    </w:pPr>
    <w:rPr>
      <w:rFonts w:eastAsia="黑体"/>
      <w:b/>
      <w:kern w:val="0"/>
      <w:sz w:val="28"/>
      <w:szCs w:val="20"/>
    </w:rPr>
  </w:style>
  <w:style w:type="paragraph" w:styleId="5">
    <w:name w:val="heading 3"/>
    <w:basedOn w:val="1"/>
    <w:next w:val="1"/>
    <w:autoRedefine/>
    <w:qFormat/>
    <w:uiPriority w:val="0"/>
    <w:pPr>
      <w:numPr>
        <w:ilvl w:val="2"/>
        <w:numId w:val="1"/>
      </w:numPr>
      <w:tabs>
        <w:tab w:val="left" w:pos="900"/>
        <w:tab w:val="clear" w:pos="1588"/>
      </w:tabs>
      <w:adjustRightInd w:val="0"/>
      <w:spacing w:before="120" w:beforeLines="0" w:line="360" w:lineRule="auto"/>
      <w:textAlignment w:val="baseline"/>
      <w:outlineLvl w:val="2"/>
    </w:pPr>
    <w:rPr>
      <w:rFonts w:eastAsia="黑体"/>
      <w:b/>
      <w:kern w:val="0"/>
      <w:sz w:val="28"/>
      <w:szCs w:val="20"/>
    </w:rPr>
  </w:style>
  <w:style w:type="paragraph" w:styleId="6">
    <w:name w:val="heading 4"/>
    <w:basedOn w:val="1"/>
    <w:next w:val="1"/>
    <w:autoRedefine/>
    <w:qFormat/>
    <w:uiPriority w:val="0"/>
    <w:pPr>
      <w:numPr>
        <w:ilvl w:val="3"/>
        <w:numId w:val="1"/>
      </w:numPr>
      <w:adjustRightInd w:val="0"/>
      <w:spacing w:before="120" w:beforeLines="0" w:line="360" w:lineRule="auto"/>
      <w:textAlignment w:val="baseline"/>
      <w:outlineLvl w:val="3"/>
    </w:pPr>
    <w:rPr>
      <w:rFonts w:ascii="Arial" w:hAnsi="Arial" w:eastAsia="黑体"/>
      <w:kern w:val="0"/>
      <w:sz w:val="28"/>
      <w:szCs w:val="20"/>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7">
    <w:name w:val="Normal Indent"/>
    <w:basedOn w:val="1"/>
    <w:qFormat/>
    <w:uiPriority w:val="99"/>
    <w:pPr>
      <w:ind w:firstLine="420"/>
    </w:pPr>
    <w:rPr>
      <w:szCs w:val="20"/>
    </w:rPr>
  </w:style>
  <w:style w:type="paragraph" w:styleId="8">
    <w:name w:val="Document Map"/>
    <w:basedOn w:val="1"/>
    <w:unhideWhenUsed/>
    <w:qFormat/>
    <w:uiPriority w:val="0"/>
    <w:pPr>
      <w:shd w:val="clear" w:color="auto" w:fill="000080"/>
    </w:p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autoRedefine/>
    <w:qFormat/>
    <w:uiPriority w:val="0"/>
    <w:pPr>
      <w:jc w:val="left"/>
    </w:pPr>
  </w:style>
  <w:style w:type="paragraph" w:styleId="11">
    <w:name w:val="Body Text Indent"/>
    <w:basedOn w:val="1"/>
    <w:autoRedefine/>
    <w:qFormat/>
    <w:uiPriority w:val="0"/>
    <w:pPr>
      <w:spacing w:after="120" w:afterLines="0"/>
      <w:ind w:left="420" w:leftChars="200"/>
    </w:pPr>
  </w:style>
  <w:style w:type="paragraph" w:styleId="12">
    <w:name w:val="Plain Text"/>
    <w:basedOn w:val="1"/>
    <w:autoRedefine/>
    <w:qFormat/>
    <w:uiPriority w:val="0"/>
    <w:rPr>
      <w:rFonts w:ascii="宋体"/>
      <w:szCs w:val="20"/>
    </w:rPr>
  </w:style>
  <w:style w:type="paragraph" w:styleId="13">
    <w:name w:val="Date"/>
    <w:basedOn w:val="1"/>
    <w:next w:val="1"/>
    <w:autoRedefine/>
    <w:qFormat/>
    <w:uiPriority w:val="0"/>
    <w:pPr>
      <w:ind w:left="100" w:leftChars="2500"/>
    </w:pPr>
  </w:style>
  <w:style w:type="paragraph" w:styleId="14">
    <w:name w:val="Body Text Indent 2"/>
    <w:basedOn w:val="1"/>
    <w:autoRedefine/>
    <w:qFormat/>
    <w:uiPriority w:val="0"/>
    <w:pPr>
      <w:spacing w:after="120" w:afterLines="0" w:line="480" w:lineRule="auto"/>
      <w:ind w:left="200" w:leftChars="20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pPr>
      <w:tabs>
        <w:tab w:val="right" w:leader="dot" w:pos="9628"/>
      </w:tabs>
      <w:spacing w:before="120" w:beforeLines="0" w:after="120" w:afterLines="0"/>
      <w:ind w:firstLine="74" w:firstLineChars="74"/>
      <w:jc w:val="left"/>
    </w:pPr>
    <w:rPr>
      <w:b/>
      <w:bCs/>
      <w:caps/>
      <w:sz w:val="20"/>
      <w:szCs w:val="20"/>
    </w:rPr>
  </w:style>
  <w:style w:type="paragraph" w:styleId="18">
    <w:name w:val="index heading"/>
    <w:basedOn w:val="1"/>
    <w:next w:val="19"/>
    <w:autoRedefine/>
    <w:semiHidden/>
    <w:qFormat/>
    <w:uiPriority w:val="0"/>
    <w:rPr>
      <w:rFonts w:ascii="Arial" w:hAnsi="Arial" w:cs="Arial"/>
      <w:b/>
      <w:bCs/>
    </w:rPr>
  </w:style>
  <w:style w:type="paragraph" w:styleId="19">
    <w:name w:val="index 1"/>
    <w:basedOn w:val="1"/>
    <w:next w:val="1"/>
    <w:autoRedefine/>
    <w:semiHidden/>
    <w:qFormat/>
    <w:uiPriority w:val="0"/>
  </w:style>
  <w:style w:type="paragraph" w:styleId="20">
    <w:name w:val="toc 2"/>
    <w:basedOn w:val="1"/>
    <w:next w:val="1"/>
    <w:autoRedefine/>
    <w:qFormat/>
    <w:uiPriority w:val="0"/>
    <w:pPr>
      <w:tabs>
        <w:tab w:val="right" w:leader="dot" w:pos="9628"/>
      </w:tabs>
      <w:spacing w:line="260" w:lineRule="exact"/>
      <w:ind w:left="210"/>
      <w:jc w:val="left"/>
    </w:pPr>
    <w:rPr>
      <w:smallCaps/>
      <w:sz w:val="20"/>
      <w:szCs w:val="20"/>
    </w:rPr>
  </w:style>
  <w:style w:type="paragraph" w:styleId="21">
    <w:name w:val="Body Text 2"/>
    <w:basedOn w:val="1"/>
    <w:autoRedefine/>
    <w:qFormat/>
    <w:uiPriority w:val="0"/>
    <w:pPr>
      <w:widowControl/>
      <w:jc w:val="center"/>
    </w:pPr>
    <w:rPr>
      <w:rFonts w:ascii="楷体_GB2312" w:eastAsia="楷体_GB2312"/>
      <w:sz w:val="28"/>
    </w:rPr>
  </w:style>
  <w:style w:type="paragraph" w:styleId="22">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23">
    <w:name w:val="Title"/>
    <w:basedOn w:val="1"/>
    <w:next w:val="1"/>
    <w:autoRedefine/>
    <w:qFormat/>
    <w:uiPriority w:val="10"/>
    <w:pPr>
      <w:spacing w:before="240" w:after="60"/>
      <w:jc w:val="center"/>
      <w:outlineLvl w:val="0"/>
    </w:pPr>
    <w:rPr>
      <w:rFonts w:ascii="等线 Light" w:hAnsi="等线 Light"/>
      <w:b/>
      <w:bCs/>
      <w:sz w:val="32"/>
      <w:szCs w:val="32"/>
    </w:rPr>
  </w:style>
  <w:style w:type="paragraph" w:styleId="24">
    <w:name w:val="Body Text First Indent"/>
    <w:basedOn w:val="2"/>
    <w:autoRedefine/>
    <w:qFormat/>
    <w:uiPriority w:val="0"/>
    <w:pPr>
      <w:spacing w:after="120"/>
      <w:ind w:firstLine="420" w:firstLineChars="100"/>
    </w:pPr>
    <w:rPr>
      <w:rFonts w:ascii="Times New Roman" w:hAnsi="Times New Roman" w:eastAsia="宋体"/>
      <w:bCs/>
      <w:spacing w:val="0"/>
      <w:kern w:val="44"/>
      <w:sz w:val="52"/>
      <w:szCs w:val="44"/>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rFonts w:ascii="微软雅黑" w:hAnsi="微软雅黑" w:eastAsia="微软雅黑" w:cs="微软雅黑"/>
      <w:color w:val="02396F"/>
      <w:u w:val="single"/>
    </w:rPr>
  </w:style>
  <w:style w:type="character" w:styleId="31">
    <w:name w:val="Hyperlink"/>
    <w:basedOn w:val="27"/>
    <w:autoRedefine/>
    <w:qFormat/>
    <w:uiPriority w:val="0"/>
    <w:rPr>
      <w:rFonts w:hint="eastAsia" w:ascii="微软雅黑" w:hAnsi="微软雅黑" w:eastAsia="微软雅黑" w:cs="微软雅黑"/>
      <w:color w:val="02396F"/>
      <w:u w:val="single"/>
    </w:rPr>
  </w:style>
  <w:style w:type="paragraph" w:customStyle="1" w:styleId="32">
    <w:name w:val="BodyText"/>
    <w:basedOn w:val="1"/>
    <w:next w:val="33"/>
    <w:qFormat/>
    <w:uiPriority w:val="0"/>
    <w:pPr>
      <w:spacing w:after="120"/>
      <w:textAlignment w:val="baseline"/>
    </w:pPr>
    <w:rPr>
      <w:kern w:val="0"/>
      <w:sz w:val="20"/>
      <w:szCs w:val="24"/>
    </w:rPr>
  </w:style>
  <w:style w:type="paragraph" w:customStyle="1" w:styleId="33">
    <w:name w:val="TOC5"/>
    <w:basedOn w:val="1"/>
    <w:next w:val="1"/>
    <w:qFormat/>
    <w:locked/>
    <w:uiPriority w:val="0"/>
    <w:pPr>
      <w:ind w:left="1680" w:leftChars="800"/>
      <w:textAlignment w:val="baseline"/>
    </w:pPr>
  </w:style>
  <w:style w:type="paragraph" w:customStyle="1" w:styleId="34">
    <w:name w:val="首行缩进"/>
    <w:basedOn w:val="1"/>
    <w:autoRedefine/>
    <w:qFormat/>
    <w:uiPriority w:val="0"/>
    <w:pPr>
      <w:spacing w:line="360" w:lineRule="auto"/>
      <w:ind w:firstLine="480" w:firstLineChars="200"/>
    </w:pPr>
    <w:rPr>
      <w:rFonts w:ascii="Calibri" w:hAnsi="Calibri"/>
      <w:sz w:val="24"/>
      <w:lang w:val="zh-CN"/>
    </w:rPr>
  </w:style>
  <w:style w:type="paragraph" w:customStyle="1" w:styleId="35">
    <w:name w:val="p1"/>
    <w:basedOn w:val="1"/>
    <w:autoRedefine/>
    <w:qFormat/>
    <w:uiPriority w:val="0"/>
    <w:pPr>
      <w:spacing w:before="0" w:beforeAutospacing="0" w:after="0" w:afterAutospacing="0" w:line="30" w:lineRule="atLeast"/>
      <w:ind w:left="0" w:right="0" w:firstLine="0"/>
      <w:jc w:val="center"/>
    </w:pPr>
    <w:rPr>
      <w:rFonts w:hint="eastAsia" w:ascii="宋体" w:hAnsi="宋体" w:eastAsia="宋体" w:cs="宋体"/>
      <w:kern w:val="0"/>
      <w:sz w:val="28"/>
      <w:szCs w:val="28"/>
      <w:lang w:val="en-US" w:eastAsia="zh-CN" w:bidi="ar"/>
    </w:rPr>
  </w:style>
  <w:style w:type="paragraph" w:customStyle="1" w:styleId="36">
    <w:name w:val="02副标题"/>
    <w:autoRedefine/>
    <w:qFormat/>
    <w:uiPriority w:val="99"/>
    <w:pPr>
      <w:spacing w:line="300" w:lineRule="auto"/>
      <w:jc w:val="center"/>
    </w:pPr>
    <w:rPr>
      <w:rFonts w:ascii="Times New Roman" w:hAnsi="Times New Roman" w:eastAsia="楷体_GB2312" w:cs="Times New Roman"/>
      <w:sz w:val="30"/>
      <w:szCs w:val="30"/>
      <w:lang w:val="en-US" w:eastAsia="zh-CN" w:bidi="ar-SA"/>
    </w:rPr>
  </w:style>
  <w:style w:type="paragraph" w:styleId="37">
    <w:name w:val="List Paragraph"/>
    <w:basedOn w:val="1"/>
    <w:autoRedefine/>
    <w:qFormat/>
    <w:uiPriority w:val="0"/>
    <w:pPr>
      <w:ind w:firstLine="420" w:firstLineChars="200"/>
    </w:pPr>
  </w:style>
  <w:style w:type="paragraph" w:customStyle="1" w:styleId="38">
    <w:name w:val="样式6"/>
    <w:basedOn w:val="16"/>
    <w:autoRedefine/>
    <w:qFormat/>
    <w:uiPriority w:val="0"/>
    <w:pPr>
      <w:pBdr>
        <w:bottom w:val="thickThinSmallGap" w:color="auto" w:sz="12" w:space="1"/>
      </w:pBdr>
      <w:jc w:val="both"/>
    </w:pPr>
  </w:style>
  <w:style w:type="character" w:customStyle="1" w:styleId="39">
    <w:name w:val="qxdate"/>
    <w:basedOn w:val="27"/>
    <w:autoRedefine/>
    <w:qFormat/>
    <w:uiPriority w:val="0"/>
    <w:rPr>
      <w:color w:val="333333"/>
      <w:sz w:val="18"/>
      <w:szCs w:val="18"/>
    </w:rPr>
  </w:style>
  <w:style w:type="character" w:customStyle="1" w:styleId="40">
    <w:name w:val="cfdate"/>
    <w:basedOn w:val="27"/>
    <w:autoRedefine/>
    <w:qFormat/>
    <w:uiPriority w:val="0"/>
    <w:rPr>
      <w:color w:val="333333"/>
      <w:sz w:val="18"/>
      <w:szCs w:val="18"/>
    </w:rPr>
  </w:style>
  <w:style w:type="character" w:customStyle="1" w:styleId="41">
    <w:name w:val="displayarti"/>
    <w:basedOn w:val="27"/>
    <w:autoRedefine/>
    <w:qFormat/>
    <w:uiPriority w:val="0"/>
    <w:rPr>
      <w:color w:val="FFFFFF"/>
      <w:shd w:val="clear" w:color="auto" w:fill="A00000"/>
    </w:rPr>
  </w:style>
  <w:style w:type="character" w:customStyle="1" w:styleId="42">
    <w:name w:val="redfilefwwh"/>
    <w:basedOn w:val="27"/>
    <w:autoRedefine/>
    <w:qFormat/>
    <w:uiPriority w:val="0"/>
    <w:rPr>
      <w:color w:val="BA2636"/>
      <w:sz w:val="18"/>
      <w:szCs w:val="18"/>
    </w:rPr>
  </w:style>
  <w:style w:type="character" w:customStyle="1" w:styleId="43">
    <w:name w:val="redfilenumber"/>
    <w:basedOn w:val="27"/>
    <w:autoRedefine/>
    <w:qFormat/>
    <w:uiPriority w:val="0"/>
    <w:rPr>
      <w:color w:val="BA2636"/>
      <w:sz w:val="18"/>
      <w:szCs w:val="18"/>
    </w:rPr>
  </w:style>
  <w:style w:type="character" w:customStyle="1" w:styleId="44">
    <w:name w:val="gjfg"/>
    <w:basedOn w:val="27"/>
    <w:autoRedefine/>
    <w:qFormat/>
    <w:uiPriority w:val="0"/>
  </w:style>
  <w:style w:type="paragraph" w:customStyle="1" w:styleId="45">
    <w:name w:val="p2"/>
    <w:basedOn w:val="1"/>
    <w:autoRedefine/>
    <w:qFormat/>
    <w:uiPriority w:val="0"/>
    <w:pPr>
      <w:widowControl/>
      <w:spacing w:line="480" w:lineRule="auto"/>
      <w:ind w:firstLine="420"/>
      <w:jc w:val="left"/>
    </w:pPr>
    <w:rPr>
      <w:rFonts w:ascii="宋体" w:hAnsi="宋体" w:cs="宋体"/>
      <w:kern w:val="0"/>
      <w:szCs w:val="21"/>
    </w:rPr>
  </w:style>
  <w:style w:type="paragraph" w:customStyle="1" w:styleId="46">
    <w:name w:val="手册第一级"/>
    <w:basedOn w:val="37"/>
    <w:autoRedefine/>
    <w:qFormat/>
    <w:uiPriority w:val="0"/>
    <w:pPr>
      <w:widowControl/>
      <w:numPr>
        <w:ilvl w:val="0"/>
        <w:numId w:val="2"/>
      </w:numPr>
      <w:ind w:firstLine="0" w:firstLineChars="0"/>
      <w:jc w:val="left"/>
      <w:outlineLvl w:val="0"/>
    </w:pPr>
    <w:rPr>
      <w:b/>
      <w:sz w:val="32"/>
    </w:rPr>
  </w:style>
  <w:style w:type="paragraph" w:customStyle="1" w:styleId="47">
    <w:name w:val="中等深浅网格 21"/>
    <w:autoRedefine/>
    <w:qFormat/>
    <w:uiPriority w:val="1"/>
    <w:rPr>
      <w:rFonts w:ascii="Calibri" w:hAnsi="Calibri" w:eastAsia="宋体" w:cs="Times New Roman"/>
      <w:sz w:val="22"/>
      <w:szCs w:val="22"/>
      <w:lang w:val="en-US" w:eastAsia="zh-CN" w:bidi="ar-SA"/>
    </w:rPr>
  </w:style>
  <w:style w:type="paragraph" w:customStyle="1" w:styleId="48">
    <w:name w:val="列出段落1"/>
    <w:basedOn w:val="1"/>
    <w:autoRedefine/>
    <w:qFormat/>
    <w:uiPriority w:val="34"/>
    <w:pPr>
      <w:ind w:firstLine="420" w:firstLineChars="200"/>
    </w:pPr>
  </w:style>
  <w:style w:type="character" w:customStyle="1" w:styleId="49">
    <w:name w:val="font21"/>
    <w:basedOn w:val="27"/>
    <w:autoRedefine/>
    <w:qFormat/>
    <w:uiPriority w:val="0"/>
    <w:rPr>
      <w:rFonts w:hint="eastAsia" w:ascii="宋体" w:hAnsi="宋体" w:eastAsia="宋体" w:cs="宋体"/>
      <w:color w:val="000000"/>
      <w:sz w:val="28"/>
      <w:szCs w:val="28"/>
      <w:u w:val="none"/>
    </w:rPr>
  </w:style>
  <w:style w:type="character" w:customStyle="1" w:styleId="50">
    <w:name w:val="font11"/>
    <w:basedOn w:val="27"/>
    <w:autoRedefine/>
    <w:qFormat/>
    <w:uiPriority w:val="0"/>
    <w:rPr>
      <w:rFonts w:hint="eastAsia" w:ascii="宋体" w:hAnsi="宋体" w:eastAsia="宋体" w:cs="宋体"/>
      <w:color w:val="000000"/>
      <w:sz w:val="28"/>
      <w:szCs w:val="28"/>
      <w:u w:val="none"/>
    </w:rPr>
  </w:style>
  <w:style w:type="paragraph" w:customStyle="1" w:styleId="51">
    <w:name w:val="手册第二级"/>
    <w:basedOn w:val="37"/>
    <w:autoRedefine/>
    <w:qFormat/>
    <w:uiPriority w:val="0"/>
    <w:pPr>
      <w:widowControl/>
      <w:spacing w:line="240" w:lineRule="auto"/>
      <w:ind w:left="992" w:firstLine="0" w:firstLineChars="0"/>
      <w:outlineLvl w:val="1"/>
    </w:pPr>
    <w:rPr>
      <w:b/>
      <w:sz w:val="30"/>
      <w:szCs w:val="21"/>
    </w:rPr>
  </w:style>
  <w:style w:type="character" w:customStyle="1" w:styleId="52">
    <w:name w:val="NormalCharacter"/>
    <w:link w:val="53"/>
    <w:autoRedefine/>
    <w:semiHidden/>
    <w:qFormat/>
    <w:uiPriority w:val="0"/>
  </w:style>
  <w:style w:type="paragraph" w:customStyle="1" w:styleId="53">
    <w:name w:val="UserStyle_1"/>
    <w:basedOn w:val="1"/>
    <w:link w:val="52"/>
    <w:autoRedefine/>
    <w:qFormat/>
    <w:uiPriority w:val="0"/>
    <w:pPr>
      <w:jc w:val="both"/>
      <w:textAlignment w:val="baseline"/>
    </w:pPr>
  </w:style>
  <w:style w:type="table" w:customStyle="1" w:styleId="54">
    <w:name w:val="Table Normal_0"/>
    <w:autoRedefine/>
    <w:semiHidden/>
    <w:unhideWhenUsed/>
    <w:qFormat/>
    <w:uiPriority w:val="0"/>
    <w:tblPr>
      <w:tblCellMar>
        <w:top w:w="0" w:type="dxa"/>
        <w:left w:w="0" w:type="dxa"/>
        <w:bottom w:w="0" w:type="dxa"/>
        <w:right w:w="0" w:type="dxa"/>
      </w:tblCellMar>
    </w:tblPr>
  </w:style>
  <w:style w:type="paragraph" w:customStyle="1" w:styleId="55">
    <w:name w:val="列表段落1"/>
    <w:basedOn w:val="1"/>
    <w:autoRedefine/>
    <w:qFormat/>
    <w:uiPriority w:val="34"/>
    <w:rPr>
      <w:szCs w:val="24"/>
    </w:rPr>
  </w:style>
  <w:style w:type="paragraph" w:customStyle="1" w:styleId="56">
    <w:name w:val="Medium Grid 21"/>
    <w:autoRedefine/>
    <w:qFormat/>
    <w:uiPriority w:val="1"/>
    <w:rPr>
      <w:rFonts w:ascii="Calibri" w:hAnsi="Calibri" w:eastAsia="宋体" w:cs="Times New Roman"/>
      <w:sz w:val="22"/>
      <w:szCs w:val="22"/>
      <w:lang w:val="en-US" w:eastAsia="zh-CN" w:bidi="ar-SA"/>
    </w:rPr>
  </w:style>
  <w:style w:type="paragraph" w:customStyle="1" w:styleId="57">
    <w:name w:val="投标书"/>
    <w:basedOn w:val="37"/>
    <w:autoRedefine/>
    <w:qFormat/>
    <w:uiPriority w:val="1"/>
    <w:pPr>
      <w:widowControl/>
      <w:ind w:left="360" w:firstLine="0" w:firstLineChars="0"/>
      <w:jc w:val="center"/>
    </w:pPr>
    <w:rPr>
      <w:b/>
      <w:kern w:val="0"/>
      <w:sz w:val="44"/>
      <w:szCs w:val="44"/>
      <w:lang w:eastAsia="en-US"/>
    </w:rPr>
  </w:style>
  <w:style w:type="paragraph" w:customStyle="1" w:styleId="58">
    <w:name w:val="Table Text"/>
    <w:basedOn w:val="1"/>
    <w:autoRedefine/>
    <w:semiHidden/>
    <w:qFormat/>
    <w:uiPriority w:val="0"/>
    <w:rPr>
      <w:rFonts w:ascii="宋体" w:hAnsi="宋体" w:eastAsia="宋体" w:cs="宋体"/>
      <w:sz w:val="20"/>
      <w:szCs w:val="20"/>
      <w:lang w:val="en-US" w:eastAsia="en-US" w:bidi="ar-SA"/>
    </w:rPr>
  </w:style>
  <w:style w:type="character" w:customStyle="1" w:styleId="59">
    <w:name w:val="font31"/>
    <w:basedOn w:val="27"/>
    <w:autoRedefine/>
    <w:qFormat/>
    <w:uiPriority w:val="0"/>
    <w:rPr>
      <w:rFonts w:hint="eastAsia" w:ascii="微软雅黑" w:hAnsi="微软雅黑" w:eastAsia="微软雅黑" w:cs="微软雅黑"/>
      <w:color w:val="000000"/>
      <w:sz w:val="20"/>
      <w:szCs w:val="20"/>
      <w:u w:val="none"/>
    </w:rPr>
  </w:style>
  <w:style w:type="paragraph" w:customStyle="1" w:styleId="60">
    <w:name w:val="Default"/>
    <w:autoRedefine/>
    <w:qFormat/>
    <w:uiPriority w:val="0"/>
    <w:pPr>
      <w:widowControl w:val="0"/>
      <w:autoSpaceDE w:val="0"/>
      <w:autoSpaceDN w:val="0"/>
      <w:adjustRightInd w:val="0"/>
    </w:pPr>
    <w:rPr>
      <w:rFonts w:ascii="Akzidenz Grotesk BQ" w:hAnsi="Akzidenz Grotesk BQ" w:eastAsia="宋体" w:cs="Akzidenz Grotesk BQ"/>
      <w:color w:val="000000"/>
      <w:sz w:val="24"/>
      <w:szCs w:val="24"/>
      <w:lang w:val="en-US" w:eastAsia="zh-CN" w:bidi="ar-SA"/>
    </w:rPr>
  </w:style>
  <w:style w:type="paragraph" w:customStyle="1" w:styleId="61">
    <w:name w:val="样式1"/>
    <w:basedOn w:val="18"/>
    <w:next w:val="1"/>
    <w:autoRedefine/>
    <w:qFormat/>
    <w:uiPriority w:val="0"/>
    <w:pPr>
      <w:snapToGrid w:val="0"/>
      <w:jc w:val="center"/>
    </w:pPr>
    <w:rPr>
      <w:rFonts w:ascii="宋体"/>
      <w:szCs w:val="20"/>
    </w:rPr>
  </w:style>
  <w:style w:type="paragraph" w:customStyle="1" w:styleId="62">
    <w:name w:val="p0"/>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63">
    <w:name w:val="font01"/>
    <w:basedOn w:val="27"/>
    <w:autoRedefine/>
    <w:qFormat/>
    <w:uiPriority w:val="0"/>
    <w:rPr>
      <w:rFonts w:ascii="Arial" w:hAnsi="Arial" w:cs="Arial"/>
      <w:color w:val="000000"/>
      <w:sz w:val="22"/>
      <w:szCs w:val="22"/>
      <w:u w:val="none"/>
    </w:rPr>
  </w:style>
  <w:style w:type="paragraph" w:customStyle="1" w:styleId="64">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小四"/>
    <w:basedOn w:val="1"/>
    <w:qFormat/>
    <w:uiPriority w:val="0"/>
    <w:pPr>
      <w:autoSpaceDE w:val="0"/>
      <w:autoSpaceDN w:val="0"/>
      <w:adjustRightInd w:val="0"/>
      <w:ind w:firstLine="200"/>
      <w:jc w:val="both"/>
    </w:pPr>
    <w:rPr>
      <w:rFonts w:ascii="Calibri" w:hAnsi="Calibri" w:eastAsia="宋体" w:cs="宋体"/>
      <w:color w:val="000000"/>
      <w:kern w:val="2"/>
      <w:szCs w:val="24"/>
    </w:rPr>
  </w:style>
  <w:style w:type="paragraph" w:customStyle="1" w:styleId="66">
    <w:name w:val="*正文"/>
    <w:basedOn w:val="1"/>
    <w:qFormat/>
    <w:uiPriority w:val="0"/>
    <w:pPr>
      <w:widowControl/>
      <w:spacing w:line="360" w:lineRule="auto"/>
      <w:ind w:firstLine="200" w:firstLineChars="200"/>
      <w:contextualSpacing/>
    </w:pPr>
    <w:rPr>
      <w:rFonts w:ascii="time" w:hAnsi="time"/>
      <w:kern w:val="0"/>
      <w:sz w:val="24"/>
      <w:szCs w:val="24"/>
      <w:lang w:bidi="en-US"/>
    </w:rPr>
  </w:style>
  <w:style w:type="paragraph" w:customStyle="1" w:styleId="67">
    <w:name w:val="表格"/>
    <w:basedOn w:val="1"/>
    <w:qFormat/>
    <w:uiPriority w:val="0"/>
    <w:pPr>
      <w:tabs>
        <w:tab w:val="left" w:pos="1200"/>
      </w:tabs>
      <w:spacing w:line="500" w:lineRule="exact"/>
      <w:jc w:val="center"/>
    </w:pPr>
    <w:rPr>
      <w:rFonts w:ascii="宋体"/>
      <w:sz w:val="24"/>
      <w:szCs w:val="18"/>
    </w:rPr>
  </w:style>
  <w:style w:type="table" w:customStyle="1" w:styleId="6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4392</Words>
  <Characters>5145</Characters>
  <Lines>0</Lines>
  <Paragraphs>0</Paragraphs>
  <TotalTime>10</TotalTime>
  <ScaleCrop>false</ScaleCrop>
  <LinksUpToDate>false</LinksUpToDate>
  <CharactersWithSpaces>5209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2020-04-06T08:09:00Z</dcterms:created>
  <dc:creator>Administrator</dc:creator>
  <cp:lastModifiedBy>江君</cp:lastModifiedBy>
  <cp:lastPrinted>2021-08-16T14:55:00Z</cp:lastPrinted>
  <dcterms:modified xsi:type="dcterms:W3CDTF">2024-12-17T01:32:25Z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0FCC7EDFF4C54306971E61B582B4E729_13</vt:lpwstr>
  </property>
  <property fmtid="{D5CDD505-2E9C-101B-9397-08002B2CF9AE}" pid="3" name="KSOProductBuildVer">
    <vt:lpwstr>2052-12.1.0.19302</vt:lpwstr>
  </property>
</Properties>
</file>