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A43DF">
      <w:pPr>
        <w:pStyle w:val="11"/>
        <w:keepNext w:val="0"/>
        <w:keepLines w:val="0"/>
        <w:widowControl/>
        <w:suppressLineNumbers w:val="0"/>
        <w:spacing w:before="0" w:beforeAutospacing="0" w:after="0" w:afterAutospacing="0"/>
        <w:ind w:left="1084" w:leftChars="172" w:right="0" w:hanging="723" w:hangingChars="200"/>
        <w:jc w:val="center"/>
        <w:rPr>
          <w:rFonts w:hint="eastAsia" w:ascii="黑体" w:hAnsi="黑体" w:eastAsia="黑体" w:cs="黑体"/>
          <w:b/>
          <w:sz w:val="36"/>
          <w:szCs w:val="36"/>
        </w:rPr>
      </w:pPr>
      <w:r>
        <w:rPr>
          <w:rFonts w:hint="eastAsia" w:ascii="黑体" w:hAnsi="黑体" w:eastAsia="黑体" w:cs="黑体"/>
          <w:b/>
          <w:kern w:val="2"/>
          <w:sz w:val="36"/>
          <w:szCs w:val="36"/>
          <w:lang w:val="en-US" w:eastAsia="zh-CN" w:bidi="ar-SA"/>
        </w:rPr>
        <w:t>昆明市延安医院门诊9楼检验科门诊检验室改造项目</w:t>
      </w:r>
      <w:r>
        <w:rPr>
          <w:rFonts w:hint="eastAsia" w:ascii="黑体" w:hAnsi="黑体" w:eastAsia="黑体" w:cs="黑体"/>
          <w:b/>
          <w:sz w:val="36"/>
          <w:szCs w:val="36"/>
          <w:lang w:val="en-US" w:eastAsia="zh-CN"/>
        </w:rPr>
        <w:t>工程</w:t>
      </w:r>
      <w:r>
        <w:rPr>
          <w:rFonts w:hint="eastAsia" w:ascii="黑体" w:hAnsi="黑体" w:eastAsia="黑体" w:cs="黑体"/>
          <w:b/>
          <w:sz w:val="36"/>
          <w:szCs w:val="36"/>
        </w:rPr>
        <w:t>量清单及招标控制价</w:t>
      </w:r>
    </w:p>
    <w:p w14:paraId="1F1524A1">
      <w:pPr>
        <w:pStyle w:val="11"/>
        <w:keepNext w:val="0"/>
        <w:keepLines w:val="0"/>
        <w:widowControl/>
        <w:suppressLineNumbers w:val="0"/>
        <w:spacing w:before="0" w:beforeAutospacing="0" w:after="0" w:afterAutospacing="0"/>
        <w:ind w:left="1084" w:leftChars="172" w:right="0" w:hanging="723" w:hangingChars="200"/>
        <w:jc w:val="center"/>
        <w:rPr>
          <w:rFonts w:ascii="黑体" w:hAnsi="黑体" w:eastAsia="黑体" w:cs="黑体"/>
          <w:b/>
          <w:sz w:val="40"/>
          <w:szCs w:val="40"/>
        </w:rPr>
      </w:pPr>
      <w:r>
        <w:rPr>
          <w:rFonts w:hint="eastAsia" w:ascii="黑体" w:hAnsi="黑体" w:eastAsia="黑体" w:cs="黑体"/>
          <w:b/>
          <w:sz w:val="36"/>
          <w:szCs w:val="36"/>
        </w:rPr>
        <w:t>编制说明</w:t>
      </w:r>
    </w:p>
    <w:p w14:paraId="5AA0AE75">
      <w:pPr>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云耕造编【202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29-12</w:t>
      </w:r>
      <w:r>
        <w:rPr>
          <w:rFonts w:hint="eastAsia" w:ascii="仿宋" w:hAnsi="仿宋" w:eastAsia="仿宋" w:cs="仿宋"/>
          <w:color w:val="auto"/>
          <w:sz w:val="28"/>
          <w:szCs w:val="28"/>
          <w:highlight w:val="none"/>
        </w:rPr>
        <w:t>号</w:t>
      </w:r>
    </w:p>
    <w:p w14:paraId="6355E7CD">
      <w:pPr>
        <w:ind w:firstLine="562" w:firstLineChars="200"/>
        <w:rPr>
          <w:rFonts w:ascii="仿宋" w:hAnsi="仿宋" w:eastAsia="仿宋" w:cs="仿宋"/>
          <w:b/>
          <w:bCs/>
          <w:sz w:val="28"/>
          <w:szCs w:val="28"/>
        </w:rPr>
      </w:pPr>
      <w:r>
        <w:rPr>
          <w:rFonts w:hint="eastAsia" w:ascii="仿宋" w:hAnsi="仿宋" w:eastAsia="仿宋" w:cs="仿宋"/>
          <w:b/>
          <w:bCs/>
          <w:sz w:val="28"/>
          <w:szCs w:val="28"/>
        </w:rPr>
        <w:t>一、工程概况</w:t>
      </w:r>
    </w:p>
    <w:p w14:paraId="7B012EA7">
      <w:pPr>
        <w:pStyle w:val="11"/>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1、工程名称：昆明市延安医院门诊9楼检验科门诊检验室改造项目</w:t>
      </w:r>
      <w:r>
        <w:rPr>
          <w:rFonts w:hint="eastAsia" w:ascii="仿宋" w:hAnsi="仿宋" w:eastAsia="仿宋" w:cs="仿宋"/>
          <w:sz w:val="28"/>
          <w:szCs w:val="28"/>
          <w:lang w:eastAsia="zh-CN"/>
        </w:rPr>
        <w:t>。</w:t>
      </w:r>
    </w:p>
    <w:p w14:paraId="714DE695">
      <w:pPr>
        <w:pStyle w:val="11"/>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2、建设地点：</w:t>
      </w:r>
      <w:r>
        <w:rPr>
          <w:rFonts w:hint="eastAsia" w:ascii="仿宋" w:hAnsi="仿宋" w:eastAsia="仿宋" w:cs="仿宋"/>
          <w:sz w:val="28"/>
          <w:szCs w:val="28"/>
          <w:lang w:val="en-US" w:eastAsia="zh-CN"/>
        </w:rPr>
        <w:t>昆明市延安医院</w:t>
      </w:r>
      <w:r>
        <w:rPr>
          <w:rFonts w:hint="eastAsia" w:ascii="仿宋" w:hAnsi="仿宋" w:eastAsia="仿宋" w:cs="仿宋"/>
          <w:sz w:val="28"/>
          <w:szCs w:val="28"/>
        </w:rPr>
        <w:t>内</w:t>
      </w:r>
      <w:r>
        <w:rPr>
          <w:rFonts w:hint="eastAsia" w:ascii="仿宋" w:hAnsi="仿宋" w:eastAsia="仿宋" w:cs="仿宋"/>
          <w:sz w:val="28"/>
          <w:szCs w:val="28"/>
          <w:lang w:eastAsia="zh-CN"/>
        </w:rPr>
        <w:t>。</w:t>
      </w:r>
    </w:p>
    <w:p w14:paraId="23D97619">
      <w:pPr>
        <w:pStyle w:val="11"/>
        <w:keepNext w:val="0"/>
        <w:keepLines w:val="0"/>
        <w:widowControl/>
        <w:suppressLineNumbers w:val="0"/>
        <w:spacing w:before="0" w:beforeAutospacing="0" w:after="0" w:afterAutospacing="0"/>
        <w:ind w:left="0" w:right="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3、建设单位：</w:t>
      </w:r>
      <w:r>
        <w:rPr>
          <w:rFonts w:hint="eastAsia" w:ascii="仿宋" w:hAnsi="仿宋" w:eastAsia="仿宋" w:cs="仿宋"/>
          <w:sz w:val="28"/>
          <w:szCs w:val="28"/>
          <w:lang w:val="en-US" w:eastAsia="zh-CN"/>
        </w:rPr>
        <w:t>昆明市延安医院</w:t>
      </w:r>
      <w:r>
        <w:rPr>
          <w:rFonts w:hint="eastAsia" w:ascii="仿宋" w:hAnsi="仿宋" w:eastAsia="仿宋" w:cs="仿宋"/>
          <w:sz w:val="28"/>
          <w:szCs w:val="28"/>
          <w:lang w:eastAsia="zh-CN"/>
        </w:rPr>
        <w:t>。</w:t>
      </w:r>
      <w:bookmarkStart w:id="0" w:name="_GoBack"/>
      <w:bookmarkEnd w:id="0"/>
    </w:p>
    <w:p w14:paraId="57F65E57">
      <w:pPr>
        <w:spacing w:line="30" w:lineRule="atLeast"/>
        <w:ind w:firstLine="560" w:firstLineChars="200"/>
        <w:rPr>
          <w:rFonts w:ascii="仿宋" w:hAnsi="仿宋" w:eastAsia="仿宋" w:cs="宋体"/>
          <w:sz w:val="28"/>
          <w:szCs w:val="28"/>
        </w:rPr>
      </w:pPr>
      <w:r>
        <w:rPr>
          <w:rFonts w:hint="eastAsia" w:ascii="仿宋" w:hAnsi="仿宋" w:eastAsia="仿宋" w:cs="宋体"/>
          <w:sz w:val="28"/>
          <w:szCs w:val="28"/>
        </w:rPr>
        <w:t>4、设计单位：</w:t>
      </w:r>
      <w:r>
        <w:rPr>
          <w:rFonts w:hint="eastAsia" w:ascii="仿宋" w:hAnsi="仿宋" w:eastAsia="仿宋" w:cs="仿宋"/>
          <w:kern w:val="0"/>
          <w:sz w:val="28"/>
          <w:szCs w:val="28"/>
          <w:lang w:val="en-US" w:eastAsia="zh-CN" w:bidi="ar-SA"/>
        </w:rPr>
        <w:t>云南城建设计院股份有限公司</w:t>
      </w:r>
      <w:r>
        <w:rPr>
          <w:rFonts w:hint="eastAsia" w:ascii="仿宋" w:hAnsi="仿宋" w:eastAsia="仿宋" w:cs="宋体"/>
          <w:sz w:val="28"/>
          <w:szCs w:val="28"/>
        </w:rPr>
        <w:t>。</w:t>
      </w:r>
    </w:p>
    <w:p w14:paraId="10019A52">
      <w:pPr>
        <w:widowControl/>
        <w:spacing w:line="240" w:lineRule="auto"/>
        <w:ind w:firstLine="560" w:firstLineChars="200"/>
        <w:jc w:val="left"/>
        <w:rPr>
          <w:rFonts w:hint="eastAsia" w:ascii="仿宋" w:hAnsi="仿宋" w:eastAsia="仿宋" w:cs="仿宋"/>
          <w:sz w:val="28"/>
          <w:szCs w:val="28"/>
          <w:lang w:eastAsia="zh-CN"/>
        </w:rPr>
      </w:pPr>
      <w:r>
        <w:rPr>
          <w:rFonts w:hint="eastAsia" w:ascii="仿宋" w:hAnsi="仿宋" w:eastAsia="仿宋"/>
          <w:sz w:val="28"/>
          <w:szCs w:val="28"/>
        </w:rPr>
        <w:t>5、建设规模:本工程为</w:t>
      </w:r>
      <w:r>
        <w:rPr>
          <w:rFonts w:hint="eastAsia" w:ascii="仿宋" w:hAnsi="仿宋" w:eastAsia="仿宋" w:cs="仿宋"/>
          <w:sz w:val="28"/>
          <w:szCs w:val="28"/>
        </w:rPr>
        <w:t>昆明市延安医院门诊9楼检验科门诊检验室改造项目</w:t>
      </w:r>
      <w:r>
        <w:rPr>
          <w:rFonts w:hint="eastAsia" w:ascii="仿宋" w:hAnsi="仿宋" w:eastAsia="仿宋" w:cs="宋体"/>
          <w:sz w:val="28"/>
          <w:szCs w:val="28"/>
          <w:lang w:val="en-US" w:eastAsia="zh-CN"/>
        </w:rPr>
        <w:t>，包括门诊楼9楼检验区1、检验区2、医生办公室、休息室、库房、冷库、纯水间、UPS间等改造工程。</w:t>
      </w:r>
    </w:p>
    <w:p w14:paraId="35ECB39D">
      <w:pPr>
        <w:ind w:firstLine="562" w:firstLineChars="200"/>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二、编制范围</w:t>
      </w:r>
    </w:p>
    <w:p w14:paraId="541EA878">
      <w:pPr>
        <w:ind w:firstLine="560" w:firstLineChars="200"/>
        <w:outlineLvl w:val="0"/>
        <w:rPr>
          <w:rFonts w:hint="eastAsia" w:ascii="仿宋" w:hAnsi="仿宋" w:eastAsia="仿宋" w:cs="仿宋"/>
          <w:kern w:val="0"/>
          <w:sz w:val="28"/>
          <w:szCs w:val="28"/>
          <w:lang w:val="en-US" w:eastAsia="zh-CN" w:bidi="ar-SA"/>
        </w:rPr>
      </w:pPr>
      <w:r>
        <w:rPr>
          <w:rFonts w:hint="eastAsia" w:ascii="仿宋" w:hAnsi="仿宋" w:eastAsia="仿宋"/>
          <w:sz w:val="28"/>
          <w:szCs w:val="28"/>
        </w:rPr>
        <w:t>本次招标范围为</w:t>
      </w:r>
      <w:r>
        <w:rPr>
          <w:rFonts w:hint="eastAsia" w:ascii="仿宋" w:hAnsi="仿宋" w:eastAsia="仿宋" w:cs="仿宋"/>
          <w:sz w:val="28"/>
          <w:szCs w:val="28"/>
        </w:rPr>
        <w:t>昆明市延安医院门诊9楼检验科门诊检验室改造项目</w:t>
      </w:r>
      <w:r>
        <w:rPr>
          <w:rFonts w:hint="eastAsia" w:ascii="仿宋" w:hAnsi="仿宋" w:eastAsia="仿宋" w:cs="宋体"/>
          <w:sz w:val="28"/>
          <w:szCs w:val="28"/>
          <w:lang w:val="en-US" w:eastAsia="zh-CN"/>
        </w:rPr>
        <w:t>，</w:t>
      </w:r>
      <w:r>
        <w:rPr>
          <w:rFonts w:hint="eastAsia" w:ascii="仿宋" w:hAnsi="仿宋" w:eastAsia="仿宋"/>
          <w:sz w:val="28"/>
          <w:szCs w:val="28"/>
        </w:rPr>
        <w:t>包含</w:t>
      </w:r>
      <w:r>
        <w:rPr>
          <w:rFonts w:hint="eastAsia" w:ascii="仿宋" w:hAnsi="仿宋" w:eastAsia="仿宋" w:cs="宋体"/>
          <w:sz w:val="28"/>
          <w:szCs w:val="28"/>
          <w:lang w:val="en-US" w:eastAsia="zh-CN"/>
        </w:rPr>
        <w:t>装饰装修、给排水、消防电、电气（强电、弱电）、暖通、气体等专业等，具体详见各专业设计图及</w:t>
      </w:r>
      <w:r>
        <w:rPr>
          <w:rFonts w:hint="eastAsia" w:ascii="仿宋" w:hAnsi="仿宋" w:eastAsia="仿宋" w:cs="仿宋"/>
          <w:kern w:val="0"/>
          <w:sz w:val="28"/>
          <w:szCs w:val="28"/>
          <w:lang w:val="en-US" w:eastAsia="zh-CN" w:bidi="ar-SA"/>
        </w:rPr>
        <w:t>工程量清单招标控制价。</w:t>
      </w:r>
    </w:p>
    <w:p w14:paraId="52E274D7">
      <w:pPr>
        <w:ind w:firstLine="562" w:firstLineChars="200"/>
        <w:outlineLvl w:val="0"/>
        <w:rPr>
          <w:rFonts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、编制依据</w:t>
      </w:r>
    </w:p>
    <w:p w14:paraId="2F3D65DF">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《建设工程工程量清单计价规范》GB50500-2013</w:t>
      </w:r>
      <w:r>
        <w:rPr>
          <w:rFonts w:hint="eastAsia" w:ascii="仿宋" w:hAnsi="仿宋" w:eastAsia="仿宋" w:cs="仿宋"/>
          <w:sz w:val="28"/>
          <w:szCs w:val="28"/>
          <w:lang w:eastAsia="zh-CN"/>
        </w:rPr>
        <w:t>。</w:t>
      </w:r>
    </w:p>
    <w:p w14:paraId="652DAE9E">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《云南省建筑工程计价标准》</w:t>
      </w:r>
      <w:r>
        <w:rPr>
          <w:rFonts w:hint="eastAsia" w:ascii="宋体" w:hAnsi="宋体"/>
          <w:color w:val="000000"/>
          <w:sz w:val="28"/>
          <w:szCs w:val="28"/>
          <w:lang w:val="en-US" w:eastAsia="zh-CN"/>
        </w:rPr>
        <w:t>（上、下）</w:t>
      </w:r>
      <w:r>
        <w:rPr>
          <w:rFonts w:hint="eastAsia" w:ascii="仿宋" w:hAnsi="仿宋" w:eastAsia="仿宋" w:cs="仿宋"/>
          <w:sz w:val="28"/>
          <w:szCs w:val="28"/>
        </w:rPr>
        <w:t>（DBJ 53/T-61-2020）</w:t>
      </w:r>
      <w:r>
        <w:rPr>
          <w:rFonts w:hint="eastAsia" w:ascii="仿宋" w:hAnsi="仿宋" w:eastAsia="仿宋" w:cs="仿宋"/>
          <w:sz w:val="28"/>
          <w:szCs w:val="28"/>
          <w:lang w:eastAsia="zh-CN"/>
        </w:rPr>
        <w:t>。</w:t>
      </w:r>
    </w:p>
    <w:p w14:paraId="327BA4A4">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3</w:t>
      </w:r>
      <w:r>
        <w:rPr>
          <w:rFonts w:hint="eastAsia" w:ascii="仿宋" w:hAnsi="仿宋" w:eastAsia="仿宋" w:cs="仿宋"/>
          <w:sz w:val="28"/>
          <w:szCs w:val="28"/>
        </w:rPr>
        <w:t>、《云南省通用安装工程计价标准》（DBJ 53/T-63-2020）</w:t>
      </w:r>
      <w:r>
        <w:rPr>
          <w:rFonts w:hint="eastAsia" w:ascii="仿宋" w:hAnsi="仿宋" w:eastAsia="仿宋" w:cs="仿宋"/>
          <w:sz w:val="28"/>
          <w:szCs w:val="28"/>
          <w:lang w:eastAsia="zh-CN"/>
        </w:rPr>
        <w:t>。</w:t>
      </w:r>
    </w:p>
    <w:p w14:paraId="3116A20C">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4</w:t>
      </w:r>
      <w:r>
        <w:rPr>
          <w:rFonts w:hint="eastAsia" w:ascii="仿宋" w:hAnsi="仿宋" w:eastAsia="仿宋" w:cs="仿宋"/>
          <w:sz w:val="28"/>
          <w:szCs w:val="28"/>
        </w:rPr>
        <w:t>、《云南省建设工程造价计价规则及机械仪器仪表台班费用定额》（DBJ 53/T-58-2020）</w:t>
      </w:r>
      <w:r>
        <w:rPr>
          <w:rFonts w:hint="eastAsia" w:ascii="仿宋" w:hAnsi="仿宋" w:eastAsia="仿宋" w:cs="仿宋"/>
          <w:sz w:val="28"/>
          <w:szCs w:val="28"/>
          <w:lang w:eastAsia="zh-CN"/>
        </w:rPr>
        <w:t>。</w:t>
      </w:r>
    </w:p>
    <w:p w14:paraId="7E2580EA">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5</w:t>
      </w:r>
      <w:r>
        <w:rPr>
          <w:rFonts w:hint="eastAsia" w:ascii="仿宋" w:hAnsi="仿宋" w:eastAsia="仿宋" w:cs="仿宋"/>
          <w:sz w:val="28"/>
          <w:szCs w:val="28"/>
        </w:rPr>
        <w:t>、关于《云南省建设工程造价计价标准（2020版）》发布实施的通知（云建科 [2021]15号）</w:t>
      </w:r>
      <w:r>
        <w:rPr>
          <w:rFonts w:hint="eastAsia" w:ascii="仿宋" w:hAnsi="仿宋" w:eastAsia="仿宋" w:cs="仿宋"/>
          <w:sz w:val="28"/>
          <w:szCs w:val="28"/>
          <w:lang w:eastAsia="zh-CN"/>
        </w:rPr>
        <w:t>。</w:t>
      </w:r>
    </w:p>
    <w:p w14:paraId="0200E8BE">
      <w:pPr>
        <w:snapToGrid w:val="0"/>
        <w:ind w:firstLine="560" w:firstLineChars="200"/>
        <w:rPr>
          <w:rFonts w:hint="eastAsia" w:ascii="仿宋" w:hAnsi="仿宋" w:eastAsia="仿宋" w:cs="仿宋"/>
          <w:sz w:val="28"/>
          <w:szCs w:val="28"/>
          <w:lang w:eastAsia="zh-CN"/>
        </w:rPr>
      </w:pPr>
      <w:r>
        <w:rPr>
          <w:rFonts w:ascii="仿宋" w:hAnsi="仿宋" w:eastAsia="仿宋" w:cs="仿宋"/>
          <w:sz w:val="28"/>
          <w:szCs w:val="28"/>
        </w:rPr>
        <w:t>6</w:t>
      </w:r>
      <w:r>
        <w:rPr>
          <w:rFonts w:hint="eastAsia" w:ascii="仿宋" w:hAnsi="仿宋" w:eastAsia="仿宋" w:cs="仿宋"/>
          <w:sz w:val="28"/>
          <w:szCs w:val="28"/>
        </w:rPr>
        <w:t>、2019年4月1日起执行的云南省住房和城乡建设厅关于重新调整云南省建设工程造价计价依据中税金综合税率的通知（云建科函〔2019〕62号）</w:t>
      </w:r>
      <w:r>
        <w:rPr>
          <w:rFonts w:hint="eastAsia" w:ascii="仿宋" w:hAnsi="仿宋" w:eastAsia="仿宋" w:cs="仿宋"/>
          <w:sz w:val="28"/>
          <w:szCs w:val="28"/>
          <w:lang w:eastAsia="zh-CN"/>
        </w:rPr>
        <w:t>。</w:t>
      </w:r>
    </w:p>
    <w:p w14:paraId="062D1891">
      <w:pPr>
        <w:snapToGrid w:val="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2023年5月1日（含）起执行的云南省住房和城乡建设厅关于云南省建设工程造价计价标准调整定额人工费的通知（云建科〔2023〕54号）。</w:t>
      </w:r>
    </w:p>
    <w:p w14:paraId="165788C3">
      <w:pPr>
        <w:numPr>
          <w:ilvl w:val="0"/>
          <w:numId w:val="1"/>
        </w:numPr>
        <w:snapToGrid w:val="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建设工程项目有关的标准、规范、技术资料</w:t>
      </w:r>
      <w:r>
        <w:rPr>
          <w:rFonts w:hint="eastAsia" w:ascii="仿宋" w:hAnsi="仿宋" w:eastAsia="仿宋" w:cs="仿宋"/>
          <w:sz w:val="28"/>
          <w:szCs w:val="28"/>
          <w:lang w:eastAsia="zh-CN"/>
        </w:rPr>
        <w:t>。</w:t>
      </w:r>
    </w:p>
    <w:p w14:paraId="6E1CE46E">
      <w:pPr>
        <w:numPr>
          <w:ilvl w:val="0"/>
          <w:numId w:val="1"/>
        </w:numPr>
        <w:snapToGrid w:val="0"/>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建设单位提供的设计施工图纸。</w:t>
      </w:r>
    </w:p>
    <w:p w14:paraId="52600C16">
      <w:pPr>
        <w:ind w:firstLine="281" w:firstLineChars="100"/>
        <w:outlineLvl w:val="0"/>
        <w:rPr>
          <w:rFonts w:ascii="仿宋" w:hAnsi="仿宋" w:eastAsia="仿宋" w:cs="仿宋"/>
          <w:b/>
          <w:bCs/>
          <w:sz w:val="28"/>
          <w:szCs w:val="28"/>
        </w:rPr>
      </w:pP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、价格说明</w:t>
      </w:r>
    </w:p>
    <w:p w14:paraId="7BE36808">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材料价格参考昆明市建设工程定额站《价格指导》2024年11月（总294期）</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2024年云南省建设工程材料及设备价格信息第11期</w:t>
      </w:r>
      <w:r>
        <w:rPr>
          <w:rFonts w:hint="eastAsia" w:ascii="仿宋" w:hAnsi="仿宋" w:eastAsia="仿宋" w:cs="仿宋"/>
          <w:sz w:val="28"/>
          <w:szCs w:val="28"/>
        </w:rPr>
        <w:t>并结合市场现行价格综合考虑计入。</w:t>
      </w:r>
    </w:p>
    <w:p w14:paraId="2D2DDE01">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val="en-US" w:eastAsia="zh-CN"/>
        </w:rPr>
        <w:t>综合单价的确定是根据相关配套计价文件的规定，结合市场供求状况，综合考虑工程投资及现场条件下的施工组织和施工方法、工期、质量、必要的技术措施和合同实施过程中可能发生的风险因素后综合确定的单价。</w:t>
      </w:r>
    </w:p>
    <w:p w14:paraId="1CA7BFA4">
      <w:pPr>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highlight w:val="none"/>
        </w:rPr>
        <w:t>主要材料参考品牌</w:t>
      </w:r>
      <w:r>
        <w:rPr>
          <w:rFonts w:hint="eastAsia" w:ascii="仿宋" w:hAnsi="仿宋" w:eastAsia="仿宋" w:cs="仿宋"/>
          <w:sz w:val="28"/>
          <w:szCs w:val="28"/>
          <w:highlight w:val="none"/>
          <w:lang w:val="en-US" w:eastAsia="zh-CN"/>
        </w:rPr>
        <w:t>按</w:t>
      </w:r>
      <w:r>
        <w:rPr>
          <w:rFonts w:hint="eastAsia" w:ascii="仿宋" w:hAnsi="仿宋" w:eastAsia="仿宋" w:cs="仿宋"/>
          <w:sz w:val="28"/>
          <w:szCs w:val="28"/>
        </w:rPr>
        <w:t>市场中等</w:t>
      </w:r>
      <w:r>
        <w:rPr>
          <w:rFonts w:hint="eastAsia" w:ascii="仿宋" w:hAnsi="仿宋" w:eastAsia="仿宋" w:cs="仿宋"/>
          <w:sz w:val="28"/>
          <w:szCs w:val="28"/>
          <w:lang w:val="en-US" w:eastAsia="zh-CN"/>
        </w:rPr>
        <w:t>偏</w:t>
      </w:r>
      <w:r>
        <w:rPr>
          <w:rFonts w:hint="eastAsia" w:ascii="仿宋" w:hAnsi="仿宋" w:eastAsia="仿宋" w:cs="仿宋"/>
          <w:sz w:val="28"/>
          <w:szCs w:val="28"/>
        </w:rPr>
        <w:t>上档次考虑；施工过程中由建设单位选定具体品牌及样式、颜色、规格型号等；投标人须确保报价的合理性，由于投标人报价失误导致投标报价低于实际采购价导致的亏损，由投标人自行承担。</w:t>
      </w:r>
    </w:p>
    <w:p w14:paraId="4F0FCC44">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为确保各投标人的投标报价在正常合理范围，在评标过程中评标委员会有权对投标人的异常综合单价进行质疑，投标人须作出合理必要解释。无论在评标过程中是否发现和处置了不平衡报价，招标人始终保留有调整中标人不平衡报价的权利。</w:t>
      </w:r>
    </w:p>
    <w:p w14:paraId="1DF7E57D">
      <w:pPr>
        <w:pStyle w:val="11"/>
        <w:widowControl/>
        <w:spacing w:beforeAutospacing="0" w:afterAutospacing="0"/>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5、本项目未计入绿色施工措施费。</w:t>
      </w:r>
    </w:p>
    <w:p w14:paraId="41DF9916">
      <w:pPr>
        <w:snapToGrid w:val="0"/>
        <w:spacing w:before="78" w:beforeLines="25" w:after="78" w:afterLines="25" w:line="360" w:lineRule="auto"/>
        <w:ind w:firstLine="281" w:firstLineChars="100"/>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四、清单说明</w:t>
      </w:r>
    </w:p>
    <w:p w14:paraId="120C6731">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1、工程量清单应与招标文件、投标报价须知、本编制说明、合同条款、技术规范及图纸等文件结合起来查阅与理解。</w:t>
      </w:r>
    </w:p>
    <w:p w14:paraId="2887CF14">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2、本工程采用工程量清单综合单价，工程量清单综合单价均包括但不限于：</w:t>
      </w:r>
      <w:r>
        <w:rPr>
          <w:rFonts w:hint="eastAsia" w:ascii="仿宋" w:hAnsi="仿宋" w:eastAsia="仿宋" w:cs="仿宋"/>
          <w:sz w:val="28"/>
          <w:szCs w:val="28"/>
        </w:rPr>
        <w:t>人工费、材料费、机械费、管理费、利润以及投标人应承担的风险</w:t>
      </w:r>
      <w:r>
        <w:rPr>
          <w:rFonts w:hint="eastAsia" w:ascii="仿宋" w:hAnsi="仿宋" w:eastAsia="仿宋" w:cs="仿宋"/>
          <w:sz w:val="28"/>
          <w:szCs w:val="28"/>
          <w:lang w:val="en-US" w:eastAsia="zh-CN"/>
        </w:rPr>
        <w:t>等。</w:t>
      </w:r>
    </w:p>
    <w:p w14:paraId="299C8DF5">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3、投标人在清单中填报的单价应包含完成每项工作内容所需的全部费用，以及工程量清单中明示或暗示施工中必须发生的工程内容涉及的所有一般风险、责任和义务等的全部费用。</w:t>
      </w:r>
    </w:p>
    <w:p w14:paraId="5644CBBD">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4、工程量清单中本合同工程的每一个细目，需填入单价；对于没有填入单价或总额价的细目，其费用应视为已包括在工程量清单的其他单价或总额价中。</w:t>
      </w:r>
    </w:p>
    <w:p w14:paraId="19B7C371">
      <w:pPr>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6、本编制说明及工程量清单作为招标文件的组成部分，与招标文件互为补充，具有同等效力。</w:t>
      </w:r>
    </w:p>
    <w:p w14:paraId="5EC85691">
      <w:pPr>
        <w:snapToGrid w:val="0"/>
        <w:spacing w:line="360" w:lineRule="auto"/>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sz w:val="28"/>
          <w:szCs w:val="28"/>
          <w:lang w:val="en-US" w:eastAsia="zh-CN"/>
        </w:rPr>
        <w:t>7、</w:t>
      </w:r>
      <w:r>
        <w:rPr>
          <w:rFonts w:hint="eastAsia" w:ascii="仿宋" w:hAnsi="仿宋" w:eastAsia="仿宋" w:cs="仿宋"/>
          <w:kern w:val="0"/>
          <w:sz w:val="28"/>
          <w:szCs w:val="28"/>
          <w:lang w:val="en-US" w:eastAsia="zh-CN" w:bidi="ar-SA"/>
        </w:rPr>
        <w:t>最终提升改造范围以建设单位使用部门确认的范围为准，工程量</w:t>
      </w:r>
      <w:r>
        <w:rPr>
          <w:rFonts w:hint="eastAsia" w:ascii="仿宋" w:hAnsi="仿宋" w:eastAsia="仿宋" w:cs="仿宋"/>
          <w:kern w:val="0"/>
          <w:sz w:val="28"/>
          <w:szCs w:val="28"/>
          <w:highlight w:val="none"/>
          <w:lang w:val="en-US" w:eastAsia="zh-CN" w:bidi="ar-SA"/>
        </w:rPr>
        <w:t>按实</w:t>
      </w:r>
      <w:r>
        <w:rPr>
          <w:rFonts w:hint="eastAsia" w:ascii="仿宋" w:hAnsi="仿宋" w:eastAsia="仿宋" w:cs="仿宋"/>
          <w:kern w:val="0"/>
          <w:sz w:val="28"/>
          <w:szCs w:val="28"/>
          <w:lang w:val="en-US" w:eastAsia="zh-CN" w:bidi="ar-SA"/>
        </w:rPr>
        <w:t>结算。</w:t>
      </w:r>
    </w:p>
    <w:p w14:paraId="746F123B">
      <w:pPr>
        <w:keepNext w:val="0"/>
        <w:keepLines w:val="0"/>
        <w:pageBreakBefore w:val="0"/>
        <w:kinsoku/>
        <w:wordWrap/>
        <w:overflowPunct/>
        <w:topLinePunct w:val="0"/>
        <w:autoSpaceDE/>
        <w:autoSpaceDN/>
        <w:bidi w:val="0"/>
        <w:adjustRightInd/>
        <w:spacing w:line="384" w:lineRule="auto"/>
        <w:ind w:firstLine="562" w:firstLineChars="200"/>
        <w:textAlignment w:val="auto"/>
        <w:outlineLvl w:val="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、工程质量、材料、施工等要求</w:t>
      </w:r>
    </w:p>
    <w:p w14:paraId="201E2537">
      <w:pPr>
        <w:snapToGrid w:val="0"/>
        <w:spacing w:line="360" w:lineRule="auto"/>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1、工程质量要求符合国家验收合格标准，工程质量等级达到招标文件要求。</w:t>
      </w:r>
    </w:p>
    <w:p w14:paraId="5E8635AF">
      <w:pPr>
        <w:snapToGrid w:val="0"/>
        <w:spacing w:line="360" w:lineRule="auto"/>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2、材料质量要求：合格标准；按相关规定提供材料报验。</w:t>
      </w:r>
    </w:p>
    <w:p w14:paraId="1AD6C364">
      <w:pPr>
        <w:snapToGrid w:val="0"/>
        <w:spacing w:line="360" w:lineRule="auto"/>
        <w:ind w:firstLine="560" w:firstLineChars="200"/>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3、施工严格按设计要求及施工规范施工，确保工程质量、施工安全、按期竣工验收。</w:t>
      </w:r>
    </w:p>
    <w:p w14:paraId="2C8CECE4">
      <w:pPr>
        <w:spacing w:line="240" w:lineRule="auto"/>
        <w:ind w:firstLine="281" w:firstLineChars="100"/>
        <w:outlineLvl w:val="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rPr>
        <w:t>暂列金额</w:t>
      </w:r>
      <w:r>
        <w:rPr>
          <w:rFonts w:hint="eastAsia" w:ascii="仿宋" w:hAnsi="仿宋" w:eastAsia="仿宋" w:cs="仿宋"/>
          <w:b/>
          <w:bCs/>
          <w:color w:val="000000"/>
          <w:sz w:val="28"/>
          <w:szCs w:val="28"/>
          <w:lang w:val="en-US" w:eastAsia="zh-CN"/>
        </w:rPr>
        <w:t>及专业工程暂估价</w:t>
      </w:r>
      <w:r>
        <w:rPr>
          <w:rFonts w:hint="eastAsia" w:ascii="仿宋" w:hAnsi="仿宋" w:eastAsia="仿宋" w:cs="仿宋"/>
          <w:b/>
          <w:bCs/>
          <w:color w:val="000000"/>
          <w:sz w:val="28"/>
          <w:szCs w:val="28"/>
        </w:rPr>
        <w:t>说明</w:t>
      </w:r>
    </w:p>
    <w:p w14:paraId="77735CCA">
      <w:pPr>
        <w:spacing w:line="24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1、暂列金额</w:t>
      </w:r>
    </w:p>
    <w:p w14:paraId="034A92DC">
      <w:pPr>
        <w:spacing w:line="24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暂列金额</w:t>
      </w:r>
      <w:r>
        <w:rPr>
          <w:rFonts w:hint="eastAsia" w:ascii="仿宋" w:hAnsi="仿宋" w:eastAsia="仿宋" w:cs="仿宋"/>
          <w:sz w:val="28"/>
          <w:szCs w:val="28"/>
        </w:rPr>
        <w:t>按</w:t>
      </w:r>
      <w:r>
        <w:rPr>
          <w:rFonts w:hint="eastAsia" w:ascii="仿宋" w:hAnsi="仿宋" w:eastAsia="仿宋" w:cs="仿宋"/>
          <w:sz w:val="28"/>
          <w:szCs w:val="28"/>
          <w:lang w:val="en-US" w:eastAsia="zh-CN"/>
        </w:rPr>
        <w:t>24万</w:t>
      </w:r>
      <w:r>
        <w:rPr>
          <w:rFonts w:hint="eastAsia" w:ascii="仿宋" w:hAnsi="仿宋" w:eastAsia="仿宋" w:cs="仿宋"/>
          <w:sz w:val="28"/>
          <w:szCs w:val="28"/>
        </w:rPr>
        <w:t>元计入（</w:t>
      </w:r>
      <w:r>
        <w:rPr>
          <w:rFonts w:hint="eastAsia" w:ascii="仿宋" w:hAnsi="仿宋" w:eastAsia="仿宋" w:cs="仿宋"/>
          <w:bCs/>
          <w:sz w:val="28"/>
          <w:szCs w:val="28"/>
        </w:rPr>
        <w:t>不含税</w:t>
      </w:r>
      <w:r>
        <w:rPr>
          <w:rFonts w:hint="eastAsia" w:ascii="仿宋" w:hAnsi="仿宋" w:eastAsia="仿宋" w:cs="仿宋"/>
          <w:sz w:val="28"/>
          <w:szCs w:val="28"/>
        </w:rPr>
        <w:t>）。</w:t>
      </w:r>
    </w:p>
    <w:p w14:paraId="666C2B45">
      <w:pPr>
        <w:spacing w:line="24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2、专业工程暂估价按109.45万</w:t>
      </w:r>
      <w:r>
        <w:rPr>
          <w:rFonts w:hint="eastAsia" w:ascii="仿宋" w:hAnsi="仿宋" w:eastAsia="仿宋" w:cs="仿宋"/>
          <w:sz w:val="28"/>
          <w:szCs w:val="28"/>
        </w:rPr>
        <w:t>元计入（</w:t>
      </w:r>
      <w:r>
        <w:rPr>
          <w:rFonts w:hint="eastAsia" w:ascii="仿宋" w:hAnsi="仿宋" w:eastAsia="仿宋" w:cs="仿宋"/>
          <w:bCs/>
          <w:sz w:val="28"/>
          <w:szCs w:val="28"/>
        </w:rPr>
        <w:t>不含税</w:t>
      </w:r>
      <w:r>
        <w:rPr>
          <w:rFonts w:hint="eastAsia" w:ascii="仿宋" w:hAnsi="仿宋" w:eastAsia="仿宋" w:cs="仿宋"/>
          <w:sz w:val="28"/>
          <w:szCs w:val="28"/>
        </w:rPr>
        <w:t>）。</w:t>
      </w:r>
    </w:p>
    <w:p w14:paraId="5B1C15B4">
      <w:pPr>
        <w:snapToGrid w:val="0"/>
        <w:spacing w:line="360" w:lineRule="auto"/>
        <w:ind w:firstLine="560" w:firstLineChars="200"/>
        <w:rPr>
          <w:rFonts w:hint="eastAsia" w:ascii="仿宋" w:hAnsi="仿宋" w:eastAsia="仿宋" w:cs="仿宋"/>
          <w:kern w:val="0"/>
          <w:sz w:val="28"/>
          <w:szCs w:val="28"/>
          <w:lang w:val="en-US" w:eastAsia="zh-CN" w:bidi="ar-SA"/>
        </w:rPr>
      </w:pPr>
    </w:p>
    <w:p w14:paraId="180DA21F">
      <w:pPr>
        <w:pStyle w:val="11"/>
        <w:keepNext w:val="0"/>
        <w:keepLines w:val="0"/>
        <w:widowControl/>
        <w:suppressLineNumbers w:val="0"/>
        <w:spacing w:before="0" w:beforeAutospacing="0" w:after="0" w:afterAutospacing="0"/>
        <w:ind w:left="0" w:right="0" w:firstLine="0"/>
        <w:rPr>
          <w:rFonts w:hint="default"/>
          <w:lang w:val="en-US" w:eastAsia="zh-CN"/>
        </w:rPr>
      </w:pPr>
    </w:p>
    <w:p w14:paraId="5E43AB4F">
      <w:pPr>
        <w:pStyle w:val="11"/>
        <w:keepNext w:val="0"/>
        <w:keepLines w:val="0"/>
        <w:widowControl/>
        <w:suppressLineNumbers w:val="0"/>
        <w:spacing w:before="0" w:beforeAutospacing="0" w:after="0" w:afterAutospacing="0"/>
        <w:ind w:left="0" w:right="0" w:firstLine="0"/>
      </w:pPr>
    </w:p>
    <w:p w14:paraId="21CFA9C8">
      <w:pPr>
        <w:pStyle w:val="11"/>
        <w:keepNext w:val="0"/>
        <w:keepLines w:val="0"/>
        <w:widowControl/>
        <w:suppressLineNumbers w:val="0"/>
        <w:spacing w:before="0" w:beforeAutospacing="0" w:after="0" w:afterAutospacing="0"/>
        <w:ind w:left="0" w:right="0" w:firstLine="0"/>
      </w:pPr>
    </w:p>
    <w:p w14:paraId="77F4AC19">
      <w:pPr>
        <w:pStyle w:val="11"/>
        <w:keepNext w:val="0"/>
        <w:keepLines w:val="0"/>
        <w:widowControl/>
        <w:suppressLineNumbers w:val="0"/>
        <w:spacing w:before="0" w:beforeAutospacing="0" w:after="0" w:afterAutospacing="0"/>
        <w:ind w:left="0" w:right="0" w:firstLine="0"/>
      </w:pPr>
    </w:p>
    <w:p w14:paraId="4269B6EB">
      <w:pPr>
        <w:pStyle w:val="6"/>
        <w:ind w:left="0" w:leftChars="0" w:firstLine="0" w:firstLineChars="0"/>
        <w:jc w:val="both"/>
        <w:rPr>
          <w:rFonts w:hint="eastAsia" w:eastAsia="仿宋" w:cs="仿宋"/>
          <w:b/>
          <w:sz w:val="28"/>
          <w:lang w:val="en-US" w:eastAsia="zh-CN"/>
        </w:rPr>
      </w:pPr>
    </w:p>
    <w:p w14:paraId="32B59891">
      <w:pPr>
        <w:spacing w:line="240" w:lineRule="auto"/>
        <w:jc w:val="right"/>
        <w:rPr>
          <w:rFonts w:eastAsia="仿宋" w:cs="仿宋"/>
          <w:b/>
          <w:sz w:val="28"/>
        </w:rPr>
      </w:pPr>
      <w:r>
        <w:rPr>
          <w:rFonts w:hint="eastAsia" w:eastAsia="仿宋" w:cs="仿宋"/>
          <w:b/>
          <w:sz w:val="28"/>
        </w:rPr>
        <w:t>云南耕耘工程造价咨询事务所有限公司</w:t>
      </w:r>
    </w:p>
    <w:p w14:paraId="0305F351">
      <w:pPr>
        <w:spacing w:line="240" w:lineRule="auto"/>
        <w:ind w:firstLine="5040" w:firstLineChars="1800"/>
        <w:outlineLvl w:val="0"/>
        <w:rPr>
          <w:rFonts w:ascii="仿宋" w:hAnsi="仿宋" w:eastAsia="仿宋"/>
          <w:b/>
          <w:bCs/>
          <w:sz w:val="28"/>
          <w:szCs w:val="28"/>
        </w:rPr>
      </w:pPr>
      <w:r>
        <w:rPr>
          <w:rFonts w:hint="eastAsia" w:eastAsia="仿宋" w:cs="仿宋"/>
          <w:sz w:val="28"/>
        </w:rPr>
        <w:t>20</w:t>
      </w:r>
      <w:r>
        <w:rPr>
          <w:rFonts w:hint="eastAsia" w:eastAsia="仿宋" w:cs="仿宋"/>
          <w:sz w:val="28"/>
          <w:lang w:val="en-US" w:eastAsia="zh-CN"/>
        </w:rPr>
        <w:t>24</w:t>
      </w:r>
      <w:r>
        <w:rPr>
          <w:rFonts w:hint="eastAsia" w:ascii="仿宋" w:hAnsi="仿宋" w:eastAsia="仿宋" w:cs="仿宋"/>
          <w:b/>
          <w:sz w:val="28"/>
        </w:rPr>
        <w:t>年</w:t>
      </w:r>
      <w:r>
        <w:rPr>
          <w:rFonts w:hint="eastAsia" w:ascii="仿宋" w:hAnsi="仿宋" w:eastAsia="仿宋" w:cs="仿宋"/>
          <w:b/>
          <w:sz w:val="28"/>
          <w:lang w:val="en-US" w:eastAsia="zh-CN"/>
        </w:rPr>
        <w:t>12</w:t>
      </w:r>
      <w:r>
        <w:rPr>
          <w:rFonts w:hint="eastAsia" w:ascii="仿宋" w:hAnsi="仿宋" w:eastAsia="仿宋" w:cs="仿宋"/>
          <w:b/>
          <w:sz w:val="28"/>
        </w:rPr>
        <w:t>月</w:t>
      </w:r>
      <w:r>
        <w:rPr>
          <w:rFonts w:hint="eastAsia" w:ascii="仿宋" w:hAnsi="仿宋" w:eastAsia="仿宋" w:cs="仿宋"/>
          <w:b/>
          <w:sz w:val="28"/>
          <w:lang w:val="en-US" w:eastAsia="zh-CN"/>
        </w:rPr>
        <w:t>6</w:t>
      </w:r>
      <w:r>
        <w:rPr>
          <w:rFonts w:hint="eastAsia" w:ascii="仿宋" w:hAnsi="仿宋" w:eastAsia="仿宋" w:cs="仿宋"/>
          <w:b/>
          <w:sz w:val="28"/>
        </w:rPr>
        <w:t>日</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6F9BE">
    <w:pPr>
      <w:pStyle w:val="9"/>
    </w:pPr>
    <w:r>
      <w:rPr>
        <w:rFonts w:ascii="宋体" w:hAnsi="宋体" w:cs="宋体"/>
        <w:kern w:val="0"/>
        <w:sz w:val="21"/>
        <w:szCs w:val="21"/>
      </w:rPr>
      <mc:AlternateContent>
        <mc:Choice Requires="wps">
          <w:drawing>
            <wp:anchor distT="0" distB="0" distL="114300" distR="114300" simplePos="0" relativeHeight="251660288" behindDoc="0" locked="0" layoutInCell="1" allowOverlap="1">
              <wp:simplePos x="0" y="0"/>
              <wp:positionH relativeFrom="column">
                <wp:posOffset>790575</wp:posOffset>
              </wp:positionH>
              <wp:positionV relativeFrom="paragraph">
                <wp:posOffset>154940</wp:posOffset>
              </wp:positionV>
              <wp:extent cx="2450465" cy="376555"/>
              <wp:effectExtent l="0" t="0" r="0" b="0"/>
              <wp:wrapSquare wrapText="bothSides"/>
              <wp:docPr id="3" name="文本框 3"/>
              <wp:cNvGraphicFramePr/>
              <a:graphic xmlns:a="http://schemas.openxmlformats.org/drawingml/2006/main">
                <a:graphicData uri="http://schemas.microsoft.com/office/word/2010/wordprocessingShape">
                  <wps:wsp>
                    <wps:cNvSpPr txBox="1"/>
                    <wps:spPr>
                      <a:xfrm>
                        <a:off x="0" y="0"/>
                        <a:ext cx="2450465" cy="376555"/>
                      </a:xfrm>
                      <a:prstGeom prst="rect">
                        <a:avLst/>
                      </a:prstGeom>
                      <a:noFill/>
                      <a:ln>
                        <a:noFill/>
                      </a:ln>
                    </wps:spPr>
                    <wps:txbx>
                      <w:txbxContent>
                        <w:p w14:paraId="174A43BC">
                          <w:pPr>
                            <w:jc w:val="center"/>
                            <w:rPr>
                              <w:rFonts w:ascii="宋体" w:hAnsi="宋体"/>
                              <w:szCs w:val="21"/>
                            </w:rPr>
                          </w:pPr>
                          <w:r>
                            <w:rPr>
                              <w:rFonts w:hint="eastAsia" w:ascii="宋体" w:hAnsi="宋体"/>
                              <w:szCs w:val="21"/>
                            </w:rPr>
                            <w:t>云南耕耘工程造价咨询事务所有限公司</w:t>
                          </w:r>
                        </w:p>
                      </w:txbxContent>
                    </wps:txbx>
                    <wps:bodyPr wrap="none" upright="1"/>
                  </wps:wsp>
                </a:graphicData>
              </a:graphic>
            </wp:anchor>
          </w:drawing>
        </mc:Choice>
        <mc:Fallback>
          <w:pict>
            <v:shape id="_x0000_s1026" o:spid="_x0000_s1026" o:spt="202" type="#_x0000_t202" style="position:absolute;left:0pt;margin-left:62.25pt;margin-top:12.2pt;height:29.65pt;width:192.95pt;mso-wrap-distance-bottom:0pt;mso-wrap-distance-left:9pt;mso-wrap-distance-right:9pt;mso-wrap-distance-top:0pt;mso-wrap-style:none;z-index:251660288;mso-width-relative:page;mso-height-relative:page;" filled="f" stroked="f" coordsize="21600,21600" o:gfxdata="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DjDwj2gAAAAkBAAAPAAAAAAAAAAEAIAAAACIAAABkcnMvZG93bnJldi54bWxQSwECFAAU&#10;AAAACACHTuJAukddLLYBAABaAwAADgAAAAAAAAABACAAAAApAQAAZHJzL2Uyb0RvYy54bWxQSwUG&#10;AAAAAAYABgBZAQAAUQUAAAAA&#10;">
              <v:fill on="f" focussize="0,0"/>
              <v:stroke on="f"/>
              <v:imagedata o:title=""/>
              <o:lock v:ext="edit" aspectratio="f"/>
              <v:textbox>
                <w:txbxContent>
                  <w:p w14:paraId="174A43BC">
                    <w:pPr>
                      <w:jc w:val="center"/>
                      <w:rPr>
                        <w:rFonts w:ascii="宋体" w:hAnsi="宋体"/>
                        <w:szCs w:val="21"/>
                      </w:rPr>
                    </w:pPr>
                    <w:r>
                      <w:rPr>
                        <w:rFonts w:hint="eastAsia" w:ascii="宋体" w:hAnsi="宋体"/>
                        <w:szCs w:val="21"/>
                      </w:rPr>
                      <w:t>云南耕耘工程造价咨询事务所有限公司</w:t>
                    </w:r>
                  </w:p>
                </w:txbxContent>
              </v:textbox>
              <w10:wrap type="square"/>
            </v:shape>
          </w:pict>
        </mc:Fallback>
      </mc:AlternateContent>
    </w:r>
    <w:r>
      <w:rPr>
        <w:rFonts w:hint="eastAsia" w:ascii="宋体" w:hAnsi="宋体" w:cs="宋体"/>
        <w:kern w:val="0"/>
        <w:sz w:val="21"/>
        <w:szCs w:val="21"/>
      </w:rPr>
      <w:t xml:space="preserve"> </w:t>
    </w:r>
    <w:r>
      <w:rPr>
        <w:sz w:val="72"/>
        <w:szCs w:val="72"/>
      </w:rPr>
      <w:drawing>
        <wp:inline distT="0" distB="0" distL="0" distR="0">
          <wp:extent cx="685800" cy="561975"/>
          <wp:effectExtent l="19050" t="0" r="0" b="0"/>
          <wp:docPr id="1" name="图片 6" descr="耕耘公司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耕耘公司LOGO"/>
                  <pic:cNvPicPr>
                    <a:picLocks noChangeAspect="1" noChangeArrowheads="1"/>
                  </pic:cNvPicPr>
                </pic:nvPicPr>
                <pic:blipFill>
                  <a:blip r:embed="rId1"/>
                  <a:srcRect/>
                  <a:stretch>
                    <a:fillRect/>
                  </a:stretch>
                </pic:blipFill>
                <pic:spPr>
                  <a:xfrm>
                    <a:off x="0" y="0"/>
                    <a:ext cx="685800" cy="561975"/>
                  </a:xfrm>
                  <a:prstGeom prst="rect">
                    <a:avLst/>
                  </a:prstGeom>
                  <a:noFill/>
                  <a:ln w="9525">
                    <a:noFill/>
                    <a:miter lim="800000"/>
                    <a:headEnd/>
                    <a:tailEnd/>
                  </a:ln>
                </pic:spPr>
              </pic:pic>
            </a:graphicData>
          </a:graphic>
        </wp:inline>
      </w:drawing>
    </w:r>
    <w:r>
      <w:rPr>
        <w:rFonts w:hint="eastAsia" w:ascii="宋体" w:hAnsi="宋体" w:cs="宋体"/>
        <w:kern w:val="0"/>
        <w:sz w:val="21"/>
        <w:szCs w:val="21"/>
      </w:rPr>
      <w:t xml:space="preserve">                                                    </w:t>
    </w:r>
    <w:r>
      <w:rPr>
        <w:rStyle w:val="14"/>
        <w:rFonts w:hint="eastAsia"/>
        <w:kern w:val="0"/>
        <w:sz w:val="21"/>
        <w:szCs w:val="21"/>
      </w:rPr>
      <w:t>第</w:t>
    </w:r>
    <w:r>
      <w:rPr>
        <w:rStyle w:val="14"/>
        <w:kern w:val="0"/>
        <w:sz w:val="21"/>
        <w:szCs w:val="21"/>
      </w:rPr>
      <w:fldChar w:fldCharType="begin"/>
    </w:r>
    <w:r>
      <w:rPr>
        <w:rStyle w:val="14"/>
        <w:kern w:val="0"/>
        <w:sz w:val="21"/>
        <w:szCs w:val="21"/>
      </w:rPr>
      <w:instrText xml:space="preserve"> PAGE   \* MERGEFORMAT </w:instrText>
    </w:r>
    <w:r>
      <w:rPr>
        <w:rStyle w:val="14"/>
        <w:kern w:val="0"/>
        <w:sz w:val="21"/>
        <w:szCs w:val="21"/>
      </w:rPr>
      <w:fldChar w:fldCharType="separate"/>
    </w:r>
    <w:r>
      <w:rPr>
        <w:rStyle w:val="14"/>
        <w:kern w:val="0"/>
        <w:sz w:val="21"/>
        <w:szCs w:val="21"/>
        <w:lang w:val="zh-CN"/>
      </w:rPr>
      <w:t>9</w:t>
    </w:r>
    <w:r>
      <w:rPr>
        <w:rStyle w:val="14"/>
        <w:kern w:val="0"/>
        <w:sz w:val="21"/>
        <w:szCs w:val="21"/>
      </w:rPr>
      <w:fldChar w:fldCharType="end"/>
    </w:r>
    <w:r>
      <w:rPr>
        <w:rStyle w:val="14"/>
        <w:rFonts w:hint="eastAsia"/>
        <w:kern w:val="0"/>
        <w:sz w:val="21"/>
        <w:szCs w:val="21"/>
      </w:rPr>
      <w:t>页 共</w:t>
    </w:r>
    <w:r>
      <w:rPr>
        <w:rStyle w:val="14"/>
        <w:rFonts w:hint="eastAsia"/>
        <w:kern w:val="0"/>
        <w:sz w:val="21"/>
        <w:szCs w:val="21"/>
        <w:lang w:val="en-US" w:eastAsia="zh-CN"/>
      </w:rPr>
      <w:t>4</w:t>
    </w:r>
    <w:r>
      <w:rPr>
        <w:rStyle w:val="14"/>
        <w:rFonts w:hint="eastAsia"/>
        <w:kern w:val="0"/>
        <w:sz w:val="21"/>
        <w:szCs w:val="21"/>
      </w:rPr>
      <w:t>页</w:t>
    </w:r>
  </w:p>
  <w:p w14:paraId="43C876DE">
    <w:pPr>
      <w:pStyle w:val="19"/>
      <w:tabs>
        <w:tab w:val="right" w:pos="8730"/>
      </w:tabs>
      <w:ind w:firstLine="0" w:firstLineChars="0"/>
      <w:jc w:val="both"/>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14412">
    <w:pPr>
      <w:pStyle w:val="19"/>
      <w:ind w:firstLine="400"/>
    </w:pPr>
    <w:r>
      <mc:AlternateContent>
        <mc:Choice Requires="wps">
          <w:drawing>
            <wp:anchor distT="0" distB="0" distL="114300" distR="114300" simplePos="0" relativeHeight="251659264" behindDoc="0" locked="0" layoutInCell="1" allowOverlap="1">
              <wp:simplePos x="0" y="0"/>
              <wp:positionH relativeFrom="column">
                <wp:posOffset>-882015</wp:posOffset>
              </wp:positionH>
              <wp:positionV relativeFrom="paragraph">
                <wp:posOffset>-294640</wp:posOffset>
              </wp:positionV>
              <wp:extent cx="7168515" cy="405765"/>
              <wp:effectExtent l="6350" t="6350" r="6985" b="6985"/>
              <wp:wrapNone/>
              <wp:docPr id="2" name="自选图形 1"/>
              <wp:cNvGraphicFramePr/>
              <a:graphic xmlns:a="http://schemas.openxmlformats.org/drawingml/2006/main">
                <a:graphicData uri="http://schemas.microsoft.com/office/word/2010/wordprocessingShape">
                  <wps:wsp>
                    <wps:cNvSpPr/>
                    <wps:spPr>
                      <a:xfrm>
                        <a:off x="0" y="0"/>
                        <a:ext cx="7168515" cy="405765"/>
                      </a:xfrm>
                      <a:prstGeom prst="roundRect">
                        <a:avLst>
                          <a:gd name="adj" fmla="val 16667"/>
                        </a:avLst>
                      </a:prstGeom>
                      <a:gradFill rotWithShape="0">
                        <a:gsLst>
                          <a:gs pos="0">
                            <a:srgbClr val="92CDDC"/>
                          </a:gs>
                          <a:gs pos="50000">
                            <a:srgbClr val="DAEEF3"/>
                          </a:gs>
                          <a:gs pos="100000">
                            <a:srgbClr val="92CDDC"/>
                          </a:gs>
                        </a:gsLst>
                        <a:lin ang="18900000" scaled="1"/>
                        <a:tileRect/>
                      </a:gradFill>
                      <a:ln w="12700" cap="flat" cmpd="sng">
                        <a:solidFill>
                          <a:srgbClr val="92CDDC"/>
                        </a:solidFill>
                        <a:prstDash val="solid"/>
                        <a:headEnd type="none" w="med" len="med"/>
                        <a:tailEnd type="none" w="med" len="med"/>
                      </a:ln>
                      <a:effectLst>
                        <a:outerShdw sy="50000" rotWithShape="0">
                          <a:srgbClr val="DAEEF3">
                            <a:alpha val="50000"/>
                          </a:srgbClr>
                        </a:outerShdw>
                      </a:effectLst>
                    </wps:spPr>
                    <wps:txbx>
                      <w:txbxContent>
                        <w:p w14:paraId="0058AD26">
                          <w:pPr>
                            <w:pStyle w:val="6"/>
                            <w:ind w:firstLine="723" w:firstLineChars="300"/>
                            <w:jc w:val="both"/>
                          </w:pPr>
                          <w:r>
                            <w:rPr>
                              <w:rFonts w:hint="eastAsia" w:ascii="仿宋" w:hAnsi="仿宋" w:eastAsia="仿宋" w:cs="仿宋"/>
                              <w:b/>
                              <w:bCs/>
                              <w:sz w:val="24"/>
                              <w:szCs w:val="24"/>
                              <w:lang w:eastAsia="zh-CN"/>
                            </w:rPr>
                            <w:t>昆明市延安医院门诊9楼检验科门诊检验室改造项目工程量清单及招标控制价编制说明</w:t>
                          </w:r>
                        </w:p>
                        <w:p w14:paraId="69C00B09">
                          <w:pPr>
                            <w:rPr>
                              <w:szCs w:val="21"/>
                            </w:rPr>
                          </w:pPr>
                          <w:r>
                            <w:rPr>
                              <w:rFonts w:hint="eastAsia"/>
                              <w:szCs w:val="21"/>
                            </w:rPr>
                            <w:t xml:space="preserve"> </w:t>
                          </w:r>
                        </w:p>
                      </w:txbxContent>
                    </wps:txbx>
                    <wps:bodyPr upright="1"/>
                  </wps:wsp>
                </a:graphicData>
              </a:graphic>
            </wp:anchor>
          </w:drawing>
        </mc:Choice>
        <mc:Fallback>
          <w:pict>
            <v:roundrect id="自选图形 1" o:spid="_x0000_s1026" o:spt="2" style="position:absolute;left:0pt;margin-left:-69.45pt;margin-top:-23.2pt;height:31.95pt;width:564.45pt;z-index:251659264;mso-width-relative:page;mso-height-relative:page;" fillcolor="#92CDDC" filled="t" stroked="t" coordsize="21600,21600" arcsize="0.166666666666667" o:gfxdata="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OCzWsvZAAAACwEAAA8AAAAAAAAAAQAgAAAAIgAAAGRycy9kb3ducmV2Lnht&#10;bFBLAQIUABQAAAAIAIdO4kBnc+ImowIAAK4FAAAOAAAAAAAAAAEAIAAAACgBAABkcnMvZTJvRG9j&#10;LnhtbFBLBQYAAAAABgAGAFkBAAA9BgAAAAA=&#10;">
              <v:fill type="gradient" on="t" color2="#DAEEF3" angle="135" focus="50%" focussize="0,0"/>
              <v:stroke weight="1pt" color="#92CDDC" joinstyle="round"/>
              <v:imagedata o:title=""/>
              <o:lock v:ext="edit" aspectratio="f"/>
              <v:shadow on="t" type="perspective" color="#DAEEF3" opacity="32768f" offset="0pt,0pt" origin="0f,32768f" matrix="65536f,0f,0f,32768f"/>
              <v:textbox>
                <w:txbxContent>
                  <w:p w14:paraId="0058AD26">
                    <w:pPr>
                      <w:pStyle w:val="6"/>
                      <w:ind w:firstLine="723" w:firstLineChars="300"/>
                      <w:jc w:val="both"/>
                    </w:pPr>
                    <w:r>
                      <w:rPr>
                        <w:rFonts w:hint="eastAsia" w:ascii="仿宋" w:hAnsi="仿宋" w:eastAsia="仿宋" w:cs="仿宋"/>
                        <w:b/>
                        <w:bCs/>
                        <w:sz w:val="24"/>
                        <w:szCs w:val="24"/>
                        <w:lang w:eastAsia="zh-CN"/>
                      </w:rPr>
                      <w:t>昆明市延安医院门诊9楼检验科门诊检验室改造项目工程量清单及招标控制价编制说明</w:t>
                    </w:r>
                  </w:p>
                  <w:p w14:paraId="69C00B09">
                    <w:pPr>
                      <w:rPr>
                        <w:szCs w:val="21"/>
                      </w:rPr>
                    </w:pPr>
                    <w:r>
                      <w:rPr>
                        <w:rFonts w:hint="eastAsia"/>
                        <w:szCs w:val="21"/>
                      </w:rPr>
                      <w:t xml:space="preserve"> </w:t>
                    </w:r>
                  </w:p>
                </w:txbxContent>
              </v:textbox>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A542F"/>
    <w:multiLevelType w:val="singleLevel"/>
    <w:tmpl w:val="C9BA542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wYmIyZTBiMzQyOGVjMjQ4OTBkZjU4YjU1MGQxNDMifQ=="/>
  </w:docVars>
  <w:rsids>
    <w:rsidRoot w:val="00551533"/>
    <w:rsid w:val="000135FA"/>
    <w:rsid w:val="000548C7"/>
    <w:rsid w:val="00070486"/>
    <w:rsid w:val="0007709B"/>
    <w:rsid w:val="000C33DA"/>
    <w:rsid w:val="00117E58"/>
    <w:rsid w:val="001636D9"/>
    <w:rsid w:val="001A38DA"/>
    <w:rsid w:val="001D4E1D"/>
    <w:rsid w:val="001F0DE9"/>
    <w:rsid w:val="00242812"/>
    <w:rsid w:val="002C5A20"/>
    <w:rsid w:val="0043164F"/>
    <w:rsid w:val="00434D88"/>
    <w:rsid w:val="00435C6D"/>
    <w:rsid w:val="00462FB8"/>
    <w:rsid w:val="005331A2"/>
    <w:rsid w:val="00541D17"/>
    <w:rsid w:val="00551533"/>
    <w:rsid w:val="0059121F"/>
    <w:rsid w:val="005A0B10"/>
    <w:rsid w:val="005C3CCF"/>
    <w:rsid w:val="005E1886"/>
    <w:rsid w:val="005F112A"/>
    <w:rsid w:val="00664202"/>
    <w:rsid w:val="006846B1"/>
    <w:rsid w:val="006C6136"/>
    <w:rsid w:val="006F7833"/>
    <w:rsid w:val="00700717"/>
    <w:rsid w:val="00712A13"/>
    <w:rsid w:val="00737D0B"/>
    <w:rsid w:val="00760F80"/>
    <w:rsid w:val="00790653"/>
    <w:rsid w:val="007B4551"/>
    <w:rsid w:val="007C33C5"/>
    <w:rsid w:val="00841565"/>
    <w:rsid w:val="00842C22"/>
    <w:rsid w:val="00890760"/>
    <w:rsid w:val="008A13A9"/>
    <w:rsid w:val="008C26B5"/>
    <w:rsid w:val="008C43E4"/>
    <w:rsid w:val="00945FF5"/>
    <w:rsid w:val="009A5A51"/>
    <w:rsid w:val="009C2762"/>
    <w:rsid w:val="009D50D4"/>
    <w:rsid w:val="00A22E12"/>
    <w:rsid w:val="00A871A7"/>
    <w:rsid w:val="00AE0D3E"/>
    <w:rsid w:val="00AF0BAA"/>
    <w:rsid w:val="00BB2EEA"/>
    <w:rsid w:val="00C755B0"/>
    <w:rsid w:val="00C961B7"/>
    <w:rsid w:val="00D02C7C"/>
    <w:rsid w:val="00D1502A"/>
    <w:rsid w:val="00D16935"/>
    <w:rsid w:val="00D31391"/>
    <w:rsid w:val="00DB0977"/>
    <w:rsid w:val="00DD3EBF"/>
    <w:rsid w:val="00DE5C43"/>
    <w:rsid w:val="00E12A21"/>
    <w:rsid w:val="00E144E6"/>
    <w:rsid w:val="00E24C7A"/>
    <w:rsid w:val="00E86EE7"/>
    <w:rsid w:val="00EA2447"/>
    <w:rsid w:val="00EC06D4"/>
    <w:rsid w:val="00F3508C"/>
    <w:rsid w:val="00F439DA"/>
    <w:rsid w:val="00F46F83"/>
    <w:rsid w:val="00F6609D"/>
    <w:rsid w:val="00F874CC"/>
    <w:rsid w:val="00FB4084"/>
    <w:rsid w:val="02172403"/>
    <w:rsid w:val="031D702B"/>
    <w:rsid w:val="041A2F36"/>
    <w:rsid w:val="048B4EFC"/>
    <w:rsid w:val="04BA0275"/>
    <w:rsid w:val="055A37C8"/>
    <w:rsid w:val="05D75149"/>
    <w:rsid w:val="05DC3BB6"/>
    <w:rsid w:val="060B066D"/>
    <w:rsid w:val="06312967"/>
    <w:rsid w:val="079D3D08"/>
    <w:rsid w:val="09B32AC7"/>
    <w:rsid w:val="09F661BC"/>
    <w:rsid w:val="0A711F57"/>
    <w:rsid w:val="0AF500AB"/>
    <w:rsid w:val="0B841B44"/>
    <w:rsid w:val="0BB83708"/>
    <w:rsid w:val="0CDD0FA5"/>
    <w:rsid w:val="0DB735A4"/>
    <w:rsid w:val="0E8C7444"/>
    <w:rsid w:val="0ED42A0D"/>
    <w:rsid w:val="0F7C47F9"/>
    <w:rsid w:val="0F9014FA"/>
    <w:rsid w:val="10021A28"/>
    <w:rsid w:val="115D0E47"/>
    <w:rsid w:val="11A402E3"/>
    <w:rsid w:val="126624FC"/>
    <w:rsid w:val="130152C1"/>
    <w:rsid w:val="13175196"/>
    <w:rsid w:val="14343FD5"/>
    <w:rsid w:val="169F7586"/>
    <w:rsid w:val="17190E2C"/>
    <w:rsid w:val="177249E0"/>
    <w:rsid w:val="19212219"/>
    <w:rsid w:val="192B12EA"/>
    <w:rsid w:val="1A5F7EF8"/>
    <w:rsid w:val="1A9C26B3"/>
    <w:rsid w:val="1ACD5603"/>
    <w:rsid w:val="1B416AF3"/>
    <w:rsid w:val="1B943177"/>
    <w:rsid w:val="1C7157BC"/>
    <w:rsid w:val="1C891447"/>
    <w:rsid w:val="1D295A36"/>
    <w:rsid w:val="1D52077B"/>
    <w:rsid w:val="1ECB750D"/>
    <w:rsid w:val="205E57EC"/>
    <w:rsid w:val="2109283D"/>
    <w:rsid w:val="21B70AA2"/>
    <w:rsid w:val="21F91F85"/>
    <w:rsid w:val="23137077"/>
    <w:rsid w:val="236E713A"/>
    <w:rsid w:val="246E3081"/>
    <w:rsid w:val="24EA4592"/>
    <w:rsid w:val="250C5731"/>
    <w:rsid w:val="25987D07"/>
    <w:rsid w:val="26040EF9"/>
    <w:rsid w:val="263979DC"/>
    <w:rsid w:val="26C756DD"/>
    <w:rsid w:val="26F251F5"/>
    <w:rsid w:val="27C6290A"/>
    <w:rsid w:val="295A2D1F"/>
    <w:rsid w:val="29986C5C"/>
    <w:rsid w:val="2B946609"/>
    <w:rsid w:val="2BDD46C6"/>
    <w:rsid w:val="2BF17288"/>
    <w:rsid w:val="2CE61979"/>
    <w:rsid w:val="2D1905EE"/>
    <w:rsid w:val="2D8B2BB2"/>
    <w:rsid w:val="2EAE2D5D"/>
    <w:rsid w:val="2F57478F"/>
    <w:rsid w:val="30162D9E"/>
    <w:rsid w:val="30F06C49"/>
    <w:rsid w:val="32273199"/>
    <w:rsid w:val="322A6B9F"/>
    <w:rsid w:val="329C79C0"/>
    <w:rsid w:val="338D0741"/>
    <w:rsid w:val="34403304"/>
    <w:rsid w:val="345A163D"/>
    <w:rsid w:val="34B56067"/>
    <w:rsid w:val="35845BB2"/>
    <w:rsid w:val="36644AC3"/>
    <w:rsid w:val="3702509D"/>
    <w:rsid w:val="37C02616"/>
    <w:rsid w:val="37F64A91"/>
    <w:rsid w:val="38463182"/>
    <w:rsid w:val="386F1DB7"/>
    <w:rsid w:val="38F41E6B"/>
    <w:rsid w:val="38F67C84"/>
    <w:rsid w:val="39AE0BDB"/>
    <w:rsid w:val="3A233BEC"/>
    <w:rsid w:val="3A2F56EB"/>
    <w:rsid w:val="3AC24E98"/>
    <w:rsid w:val="3B1473E8"/>
    <w:rsid w:val="3C8160E6"/>
    <w:rsid w:val="3C9E39FD"/>
    <w:rsid w:val="3DC165DD"/>
    <w:rsid w:val="3EBC004B"/>
    <w:rsid w:val="3F98256E"/>
    <w:rsid w:val="3FF63646"/>
    <w:rsid w:val="40BC08F6"/>
    <w:rsid w:val="415E19AD"/>
    <w:rsid w:val="41984D19"/>
    <w:rsid w:val="42011E3C"/>
    <w:rsid w:val="4219765E"/>
    <w:rsid w:val="42724E75"/>
    <w:rsid w:val="4309412E"/>
    <w:rsid w:val="438566BB"/>
    <w:rsid w:val="46595485"/>
    <w:rsid w:val="465F41FD"/>
    <w:rsid w:val="479C6B73"/>
    <w:rsid w:val="47DB5B06"/>
    <w:rsid w:val="48254FD3"/>
    <w:rsid w:val="48882823"/>
    <w:rsid w:val="4AC565F9"/>
    <w:rsid w:val="4AF6229F"/>
    <w:rsid w:val="4B2C48CA"/>
    <w:rsid w:val="4BCE1DB1"/>
    <w:rsid w:val="4C2C2DD4"/>
    <w:rsid w:val="4C5F3BCF"/>
    <w:rsid w:val="4CC649BE"/>
    <w:rsid w:val="4D636464"/>
    <w:rsid w:val="4D830DDF"/>
    <w:rsid w:val="4E32687E"/>
    <w:rsid w:val="4EA316E4"/>
    <w:rsid w:val="4F3D70A6"/>
    <w:rsid w:val="4F872546"/>
    <w:rsid w:val="50DB6B76"/>
    <w:rsid w:val="50F66DC4"/>
    <w:rsid w:val="510403C5"/>
    <w:rsid w:val="514F30C0"/>
    <w:rsid w:val="526606C2"/>
    <w:rsid w:val="52DB0DF8"/>
    <w:rsid w:val="532E2484"/>
    <w:rsid w:val="537F7306"/>
    <w:rsid w:val="539845B9"/>
    <w:rsid w:val="54FE1085"/>
    <w:rsid w:val="54FE3E8F"/>
    <w:rsid w:val="557A4319"/>
    <w:rsid w:val="56244A6C"/>
    <w:rsid w:val="57966C44"/>
    <w:rsid w:val="58030761"/>
    <w:rsid w:val="58AD0DF8"/>
    <w:rsid w:val="5A2D4CD1"/>
    <w:rsid w:val="5A4107B8"/>
    <w:rsid w:val="5A8B5169"/>
    <w:rsid w:val="5AA25217"/>
    <w:rsid w:val="5BB017D6"/>
    <w:rsid w:val="5CA249EC"/>
    <w:rsid w:val="5D504448"/>
    <w:rsid w:val="5D8D1146"/>
    <w:rsid w:val="5DD01ED3"/>
    <w:rsid w:val="5FFA4D07"/>
    <w:rsid w:val="60940771"/>
    <w:rsid w:val="60E2185B"/>
    <w:rsid w:val="60EC6236"/>
    <w:rsid w:val="61330476"/>
    <w:rsid w:val="616E0E01"/>
    <w:rsid w:val="624C11F7"/>
    <w:rsid w:val="62913A4F"/>
    <w:rsid w:val="63B03C00"/>
    <w:rsid w:val="654D7B34"/>
    <w:rsid w:val="65760A2D"/>
    <w:rsid w:val="66EC29DA"/>
    <w:rsid w:val="69B82F3E"/>
    <w:rsid w:val="6A91230E"/>
    <w:rsid w:val="6B574702"/>
    <w:rsid w:val="6BF012D0"/>
    <w:rsid w:val="6F3D132A"/>
    <w:rsid w:val="6F982479"/>
    <w:rsid w:val="70346FC6"/>
    <w:rsid w:val="70AB72F6"/>
    <w:rsid w:val="70D17862"/>
    <w:rsid w:val="70E76A1A"/>
    <w:rsid w:val="722F2E7B"/>
    <w:rsid w:val="72B22AFC"/>
    <w:rsid w:val="73463ECB"/>
    <w:rsid w:val="738F0DBE"/>
    <w:rsid w:val="741552C3"/>
    <w:rsid w:val="7598448E"/>
    <w:rsid w:val="7739697A"/>
    <w:rsid w:val="77865220"/>
    <w:rsid w:val="77EA7495"/>
    <w:rsid w:val="78743654"/>
    <w:rsid w:val="78BB7F1A"/>
    <w:rsid w:val="78D87374"/>
    <w:rsid w:val="78F11153"/>
    <w:rsid w:val="790F4D60"/>
    <w:rsid w:val="79532E9E"/>
    <w:rsid w:val="7AA31C03"/>
    <w:rsid w:val="7BF32717"/>
    <w:rsid w:val="7E257BC2"/>
    <w:rsid w:val="7E2D0162"/>
    <w:rsid w:val="7EE06773"/>
    <w:rsid w:val="7FEF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3"/>
    <w:basedOn w:val="1"/>
    <w:next w:val="1"/>
    <w:link w:val="17"/>
    <w:qFormat/>
    <w:uiPriority w:val="0"/>
    <w:pPr>
      <w:keepNext/>
      <w:keepLines/>
      <w:spacing w:before="260" w:after="260" w:line="416" w:lineRule="auto"/>
      <w:outlineLvl w:val="2"/>
    </w:pPr>
    <w:rPr>
      <w:b/>
      <w:bCs/>
      <w:sz w:val="32"/>
      <w:szCs w:val="32"/>
    </w:rPr>
  </w:style>
  <w:style w:type="paragraph" w:styleId="3">
    <w:name w:val="heading 4"/>
    <w:basedOn w:val="1"/>
    <w:next w:val="1"/>
    <w:link w:val="18"/>
    <w:qFormat/>
    <w:uiPriority w:val="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0"/>
    <w:semiHidden/>
    <w:unhideWhenUsed/>
    <w:qFormat/>
    <w:uiPriority w:val="99"/>
    <w:rPr>
      <w:rFonts w:ascii="宋体"/>
      <w:sz w:val="18"/>
      <w:szCs w:val="18"/>
    </w:rPr>
  </w:style>
  <w:style w:type="paragraph" w:styleId="5">
    <w:name w:val="annotation text"/>
    <w:basedOn w:val="1"/>
    <w:semiHidden/>
    <w:unhideWhenUsed/>
    <w:qFormat/>
    <w:uiPriority w:val="99"/>
    <w:pPr>
      <w:jc w:val="left"/>
    </w:pPr>
  </w:style>
  <w:style w:type="paragraph" w:styleId="6">
    <w:name w:val="Body Text"/>
    <w:basedOn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7">
    <w:name w:val="Body Text Indent"/>
    <w:basedOn w:val="1"/>
    <w:qFormat/>
    <w:uiPriority w:val="0"/>
    <w:pPr>
      <w:spacing w:line="440" w:lineRule="exact"/>
      <w:ind w:left="420"/>
    </w:pPr>
    <w:rPr>
      <w:rFonts w:ascii="楷体_GB2312" w:eastAsia="楷体_GB2312"/>
      <w:sz w:val="36"/>
    </w:rPr>
  </w:style>
  <w:style w:type="paragraph" w:styleId="8">
    <w:name w:val="Balloon Text"/>
    <w:basedOn w:val="1"/>
    <w:link w:val="22"/>
    <w:semiHidden/>
    <w:unhideWhenUsed/>
    <w:qFormat/>
    <w:uiPriority w:val="99"/>
    <w:pPr>
      <w:spacing w:line="240" w:lineRule="auto"/>
    </w:pPr>
    <w:rPr>
      <w:sz w:val="18"/>
      <w:szCs w:val="18"/>
    </w:rPr>
  </w:style>
  <w:style w:type="paragraph" w:styleId="9">
    <w:name w:val="footer"/>
    <w:basedOn w:val="1"/>
    <w:link w:val="16"/>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10">
    <w:name w:val="header"/>
    <w:basedOn w:val="1"/>
    <w:link w:val="15"/>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11">
    <w:name w:val="Normal (Web)"/>
    <w:basedOn w:val="1"/>
    <w:unhideWhenUsed/>
    <w:qFormat/>
    <w:uiPriority w:val="0"/>
    <w:pPr>
      <w:widowControl/>
      <w:spacing w:before="100" w:beforeAutospacing="1" w:after="100" w:afterAutospacing="1" w:line="240" w:lineRule="auto"/>
      <w:jc w:val="left"/>
    </w:pPr>
    <w:rPr>
      <w:rFonts w:ascii="宋体" w:hAnsi="宋体" w:cs="宋体"/>
      <w:kern w:val="0"/>
      <w:sz w:val="24"/>
      <w:szCs w:val="24"/>
    </w:rPr>
  </w:style>
  <w:style w:type="character" w:styleId="14">
    <w:name w:val="page number"/>
    <w:basedOn w:val="13"/>
    <w:qFormat/>
    <w:uiPriority w:val="0"/>
  </w:style>
  <w:style w:type="character" w:customStyle="1" w:styleId="15">
    <w:name w:val="页眉 Char"/>
    <w:basedOn w:val="13"/>
    <w:link w:val="10"/>
    <w:semiHidden/>
    <w:qFormat/>
    <w:uiPriority w:val="99"/>
    <w:rPr>
      <w:sz w:val="18"/>
      <w:szCs w:val="18"/>
    </w:rPr>
  </w:style>
  <w:style w:type="character" w:customStyle="1" w:styleId="16">
    <w:name w:val="页脚 Char"/>
    <w:basedOn w:val="13"/>
    <w:link w:val="9"/>
    <w:qFormat/>
    <w:uiPriority w:val="99"/>
    <w:rPr>
      <w:sz w:val="18"/>
      <w:szCs w:val="18"/>
    </w:rPr>
  </w:style>
  <w:style w:type="character" w:customStyle="1" w:styleId="17">
    <w:name w:val="标题 3 Char"/>
    <w:basedOn w:val="13"/>
    <w:link w:val="2"/>
    <w:qFormat/>
    <w:uiPriority w:val="0"/>
    <w:rPr>
      <w:rFonts w:ascii="Calibri" w:hAnsi="Calibri" w:eastAsia="宋体" w:cs="Times New Roman"/>
      <w:b/>
      <w:bCs/>
      <w:sz w:val="32"/>
      <w:szCs w:val="32"/>
    </w:rPr>
  </w:style>
  <w:style w:type="character" w:customStyle="1" w:styleId="18">
    <w:name w:val="标题 4 Char"/>
    <w:basedOn w:val="13"/>
    <w:link w:val="3"/>
    <w:qFormat/>
    <w:uiPriority w:val="9"/>
    <w:rPr>
      <w:rFonts w:ascii="Arial" w:hAnsi="Arial" w:eastAsia="黑体" w:cs="Times New Roman"/>
      <w:b/>
      <w:bCs/>
      <w:sz w:val="28"/>
      <w:szCs w:val="28"/>
    </w:rPr>
  </w:style>
  <w:style w:type="paragraph" w:customStyle="1" w:styleId="19">
    <w:name w:val="列出段落1"/>
    <w:basedOn w:val="1"/>
    <w:qFormat/>
    <w:uiPriority w:val="0"/>
    <w:pPr>
      <w:widowControl/>
      <w:spacing w:line="240" w:lineRule="auto"/>
      <w:ind w:firstLine="420" w:firstLineChars="200"/>
      <w:jc w:val="left"/>
    </w:pPr>
    <w:rPr>
      <w:rFonts w:ascii="Times New Roman" w:hAnsi="Times New Roman"/>
      <w:kern w:val="0"/>
      <w:sz w:val="20"/>
      <w:szCs w:val="20"/>
    </w:rPr>
  </w:style>
  <w:style w:type="character" w:customStyle="1" w:styleId="20">
    <w:name w:val="文档结构图 Char"/>
    <w:basedOn w:val="13"/>
    <w:link w:val="4"/>
    <w:semiHidden/>
    <w:qFormat/>
    <w:uiPriority w:val="99"/>
    <w:rPr>
      <w:rFonts w:ascii="宋体" w:hAnsi="Calibri"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3"/>
    <w:link w:val="8"/>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www.cr173.com</Company>
  <Pages>4</Pages>
  <Words>1560</Words>
  <Characters>1663</Characters>
  <Lines>33</Lines>
  <Paragraphs>9</Paragraphs>
  <TotalTime>5</TotalTime>
  <ScaleCrop>false</ScaleCrop>
  <LinksUpToDate>false</LinksUpToDate>
  <CharactersWithSpaces>1668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2015-04-13T05:28:00Z</dcterms:created>
  <dc:creator>changhao</dc:creator>
  <cp:lastModifiedBy>红红</cp:lastModifiedBy>
  <cp:lastPrinted>2024-12-02T04:53:00Z</cp:lastPrinted>
  <dcterms:modified xsi:type="dcterms:W3CDTF">2024-12-06T07:56:33Z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54093CA3F2094321AC87BA8503056206_13</vt:lpwstr>
  </property>
  <property fmtid="{D5CDD505-2E9C-101B-9397-08002B2CF9AE}" pid="4" name="commondata">
    <vt:lpwstr>eyJoZGlkIjoiY2Q1OTRmOWYyMWNkOGI3MjI1MTZlNTk4YmQxMTI5N2UifQ==</vt:lpwstr>
  </property>
</Properties>
</file>