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32F31A">
      <w:pPr>
        <w:spacing w:before="120" w:beforeLines="50" w:line="360" w:lineRule="auto"/>
        <w:jc w:val="center"/>
        <w:rPr>
          <w:rFonts w:hint="eastAsia" w:ascii="宋体" w:hAnsi="宋体" w:eastAsia="宋体" w:cs="宋体"/>
          <w:b/>
          <w:color w:val="auto"/>
          <w:sz w:val="32"/>
          <w:szCs w:val="32"/>
          <w:highlight w:val="none"/>
          <w:lang w:eastAsia="zh-CN"/>
        </w:rPr>
      </w:pPr>
      <w:bookmarkStart w:id="1315" w:name="_GoBack"/>
      <w:r>
        <w:rPr>
          <w:rFonts w:hint="eastAsia" w:ascii="宋体" w:hAnsi="宋体" w:eastAsia="宋体" w:cs="宋体"/>
          <w:b/>
          <w:color w:val="auto"/>
          <w:sz w:val="32"/>
          <w:szCs w:val="32"/>
          <w:highlight w:val="none"/>
          <w:lang w:eastAsia="zh-CN"/>
        </w:rPr>
        <w:drawing>
          <wp:anchor distT="0" distB="0" distL="114300" distR="114300" simplePos="0" relativeHeight="251659264" behindDoc="1" locked="0" layoutInCell="1" allowOverlap="1">
            <wp:simplePos x="0" y="0"/>
            <wp:positionH relativeFrom="column">
              <wp:posOffset>-911860</wp:posOffset>
            </wp:positionH>
            <wp:positionV relativeFrom="paragraph">
              <wp:posOffset>-705485</wp:posOffset>
            </wp:positionV>
            <wp:extent cx="7505700" cy="10619105"/>
            <wp:effectExtent l="0" t="0" r="0" b="0"/>
            <wp:wrapTight wrapText="bothSides">
              <wp:wrapPolygon>
                <wp:start x="0" y="0"/>
                <wp:lineTo x="0" y="21621"/>
                <wp:lineTo x="21631" y="21621"/>
                <wp:lineTo x="21631" y="0"/>
                <wp:lineTo x="0" y="0"/>
              </wp:wrapPolygon>
            </wp:wrapTight>
            <wp:docPr id="1" name="图片 1"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
                    <pic:cNvPicPr>
                      <a:picLocks noChangeAspect="1"/>
                    </pic:cNvPicPr>
                  </pic:nvPicPr>
                  <pic:blipFill>
                    <a:blip r:embed="rId18"/>
                    <a:stretch>
                      <a:fillRect/>
                    </a:stretch>
                  </pic:blipFill>
                  <pic:spPr>
                    <a:xfrm>
                      <a:off x="0" y="0"/>
                      <a:ext cx="7505700" cy="10619105"/>
                    </a:xfrm>
                    <a:prstGeom prst="rect">
                      <a:avLst/>
                    </a:prstGeom>
                  </pic:spPr>
                </pic:pic>
              </a:graphicData>
            </a:graphic>
          </wp:anchor>
        </w:drawing>
      </w:r>
      <w:bookmarkEnd w:id="1315"/>
    </w:p>
    <w:p w14:paraId="350890A1">
      <w:pPr>
        <w:spacing w:line="360" w:lineRule="auto"/>
        <w:ind w:firstLine="2554" w:firstLineChars="795"/>
        <w:rPr>
          <w:rFonts w:hint="eastAsia" w:asciiTheme="minorEastAsia" w:hAnsiTheme="minorEastAsia" w:eastAsiaTheme="minorEastAsia"/>
          <w:b/>
          <w:color w:val="auto"/>
          <w:sz w:val="32"/>
          <w:szCs w:val="32"/>
          <w:highlight w:val="none"/>
        </w:rPr>
        <w:sectPr>
          <w:headerReference r:id="rId3" w:type="default"/>
          <w:footerReference r:id="rId5" w:type="default"/>
          <w:headerReference r:id="rId4" w:type="even"/>
          <w:footerReference r:id="rId6" w:type="even"/>
          <w:pgSz w:w="11906" w:h="16838"/>
          <w:pgMar w:top="1157" w:right="1474" w:bottom="1157" w:left="1474" w:header="340" w:footer="850" w:gutter="0"/>
          <w:cols w:space="0" w:num="1"/>
          <w:titlePg/>
          <w:rtlGutter w:val="0"/>
          <w:docGrid w:linePitch="312" w:charSpace="0"/>
        </w:sectPr>
      </w:pPr>
    </w:p>
    <w:p w14:paraId="2658B29A">
      <w:pPr>
        <w:pStyle w:val="42"/>
        <w:tabs>
          <w:tab w:val="right" w:leader="dot" w:pos="9736"/>
        </w:tabs>
        <w:spacing w:line="360" w:lineRule="auto"/>
        <w:ind w:left="0" w:leftChars="0" w:firstLine="0" w:firstLineChars="0"/>
        <w:jc w:val="center"/>
        <w:rPr>
          <w:rFonts w:hint="eastAsia" w:asciiTheme="minorEastAsia" w:hAnsiTheme="minorEastAsia" w:eastAsiaTheme="minorEastAsia"/>
          <w:b/>
          <w:bCs/>
          <w:color w:val="auto"/>
          <w:sz w:val="28"/>
          <w:szCs w:val="28"/>
          <w:highlight w:val="none"/>
        </w:rPr>
      </w:pPr>
      <w:bookmarkStart w:id="0" w:name="_Toc458763736"/>
      <w:bookmarkStart w:id="1" w:name="_Toc37603093"/>
      <w:bookmarkStart w:id="2" w:name="_Hlk521320756"/>
      <w:r>
        <w:rPr>
          <w:rFonts w:hint="eastAsia" w:asciiTheme="minorEastAsia" w:hAnsiTheme="minorEastAsia" w:eastAsiaTheme="minorEastAsia"/>
          <w:b/>
          <w:bCs/>
          <w:color w:val="auto"/>
          <w:sz w:val="28"/>
          <w:szCs w:val="28"/>
          <w:highlight w:val="none"/>
        </w:rPr>
        <w:t>目 录</w:t>
      </w:r>
    </w:p>
    <w:bookmarkEnd w:id="0"/>
    <w:bookmarkEnd w:id="1"/>
    <w:p w14:paraId="032A0387">
      <w:pPr>
        <w:pStyle w:val="35"/>
        <w:keepNext w:val="0"/>
        <w:keepLines w:val="0"/>
        <w:pageBreakBefore w:val="0"/>
        <w:widowControl w:val="0"/>
        <w:tabs>
          <w:tab w:val="right" w:leader="dot" w:pos="8958"/>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i w:val="0"/>
          <w:iCs w:val="0"/>
          <w:color w:val="auto"/>
          <w:sz w:val="24"/>
          <w:szCs w:val="24"/>
        </w:rPr>
      </w:pPr>
      <w:bookmarkStart w:id="3" w:name="_Toc28359011"/>
      <w:bookmarkStart w:id="4" w:name="_Toc153670621"/>
      <w:bookmarkStart w:id="5" w:name="_Toc35393797"/>
      <w:bookmarkStart w:id="6" w:name="_Hlk9513089"/>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TOC \o "1-3" \h \u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_Toc9501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第一章 竞争性谈判公告</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_Toc9501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2</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75CB28CC">
      <w:pPr>
        <w:pStyle w:val="42"/>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_Toc18859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一、项目基本情况</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_Toc18859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2</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48E256EB">
      <w:pPr>
        <w:pStyle w:val="42"/>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_Toc12499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二、供应商的资格要求</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_Toc12499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2</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2D91FCFC">
      <w:pPr>
        <w:pStyle w:val="42"/>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_Toc16336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三、获取采购文件</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_Toc16336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2</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44F0BC7D">
      <w:pPr>
        <w:pStyle w:val="42"/>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_Toc15532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四、响应文件提交</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_Toc15532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4CD3BF1A">
      <w:pPr>
        <w:pStyle w:val="42"/>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_Toc8973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五、开启</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_Toc8973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02EBC48F">
      <w:pPr>
        <w:pStyle w:val="42"/>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_Toc2494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六、公告期限</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_Toc2494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3637680B">
      <w:pPr>
        <w:pStyle w:val="42"/>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_Toc13858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七、其他补充事宜</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_Toc13858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04118B6A">
      <w:pPr>
        <w:pStyle w:val="42"/>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_Toc17855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八、凡对本次采购提出询问，请按以下方式联系</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_Toc17855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4</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6E8E43E7">
      <w:pPr>
        <w:pStyle w:val="35"/>
        <w:keepNext w:val="0"/>
        <w:keepLines w:val="0"/>
        <w:pageBreakBefore w:val="0"/>
        <w:widowControl w:val="0"/>
        <w:tabs>
          <w:tab w:val="right" w:leader="dot" w:pos="8958"/>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_Toc30207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第二章 供应商须知</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_Toc30207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5</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4C427456">
      <w:pPr>
        <w:pStyle w:val="42"/>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_Toc12203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一、供应商须知前附表</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_Toc12203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5</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1D478ADC">
      <w:pPr>
        <w:pStyle w:val="42"/>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_Toc11342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二、供应商须知正文部分</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_Toc11342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11</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4937C16E">
      <w:pPr>
        <w:pStyle w:val="35"/>
        <w:keepNext w:val="0"/>
        <w:keepLines w:val="0"/>
        <w:pageBreakBefore w:val="0"/>
        <w:widowControl w:val="0"/>
        <w:tabs>
          <w:tab w:val="right" w:leader="dot" w:pos="8958"/>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_Toc19557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第三章 合同条款及格式</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_Toc19557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19</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3AD5AF82">
      <w:pPr>
        <w:pStyle w:val="35"/>
        <w:keepNext w:val="0"/>
        <w:keepLines w:val="0"/>
        <w:pageBreakBefore w:val="0"/>
        <w:widowControl w:val="0"/>
        <w:tabs>
          <w:tab w:val="right" w:leader="dot" w:pos="8958"/>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_Toc10735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第四章 响应文件格式</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_Toc10735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28</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1A88FE8B">
      <w:pPr>
        <w:pStyle w:val="27"/>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_Toc7510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谈判一览表</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_Toc7510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29</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6A56A93A">
      <w:pPr>
        <w:pStyle w:val="42"/>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_Toc1981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一、资格文件</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_Toc1981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30</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3B7CDEA8">
      <w:pPr>
        <w:pStyle w:val="27"/>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_Toc7266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（一）具有独立承担民事责任的能力</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_Toc7266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30</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561D3B36">
      <w:pPr>
        <w:pStyle w:val="27"/>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_Toc15828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（二）具有良好的商业信誉和健全的财务会计制度</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_Toc15828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31</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2196E00A">
      <w:pPr>
        <w:pStyle w:val="27"/>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_Toc27273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（三）具有履行合同所必需的设备和专业技术能力</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_Toc27273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32</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1D045DC8">
      <w:pPr>
        <w:pStyle w:val="27"/>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_Toc25533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（四）有依法缴纳税收和社会保障资金的良好记录</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_Toc25533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33</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1F87EDF4">
      <w:pPr>
        <w:pStyle w:val="27"/>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_Toc8923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（五）参加政府采购活动前三年内，在经营活动中没有重大违法记录</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_Toc8923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34</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0A45B022">
      <w:pPr>
        <w:pStyle w:val="42"/>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_Toc11078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二、商务报价文件</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_Toc11078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35</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2EA1A5F4">
      <w:pPr>
        <w:pStyle w:val="27"/>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_Toc12003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（一）谈判函</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_Toc12003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35</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4863A88D">
      <w:pPr>
        <w:pStyle w:val="27"/>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_Toc17119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（二）法定代表人身份证明及授权委托书</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_Toc17119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36</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2ED9A98C">
      <w:pPr>
        <w:pStyle w:val="27"/>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_Toc2591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（三）供应商承诺书</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_Toc2591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38</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52BD9241">
      <w:pPr>
        <w:pStyle w:val="27"/>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_Toc19381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（四）谈判报价</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_Toc19381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39</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1626CF82">
      <w:pPr>
        <w:pStyle w:val="27"/>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_Toc7715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（五）拟派服务人员表</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_Toc7715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43</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6264685B">
      <w:pPr>
        <w:pStyle w:val="27"/>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_Toc2492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（六）采购需求响应承诺书</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_Toc2492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44</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69491B92">
      <w:pPr>
        <w:pStyle w:val="27"/>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_Toc25850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（七）其他</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_Toc25850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45</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201AB0FB">
      <w:pPr>
        <w:pStyle w:val="42"/>
        <w:keepNext w:val="0"/>
        <w:keepLines w:val="0"/>
        <w:pageBreakBefore w:val="0"/>
        <w:widowControl w:val="0"/>
        <w:tabs>
          <w:tab w:val="right" w:leader="dot" w:pos="8958"/>
        </w:tabs>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_Toc25871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二次报价表（模版）</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_Toc25871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46</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2EE764CD">
      <w:pPr>
        <w:pStyle w:val="35"/>
        <w:keepNext w:val="0"/>
        <w:keepLines w:val="0"/>
        <w:pageBreakBefore w:val="0"/>
        <w:widowControl w:val="0"/>
        <w:tabs>
          <w:tab w:val="right" w:leader="dot" w:pos="8958"/>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_Toc11149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第五章 采购需求及要求</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_Toc11149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47</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0E7FAC9D">
      <w:pPr>
        <w:pStyle w:val="35"/>
        <w:keepNext w:val="0"/>
        <w:keepLines w:val="0"/>
        <w:pageBreakBefore w:val="0"/>
        <w:widowControl w:val="0"/>
        <w:tabs>
          <w:tab w:val="right" w:leader="dot" w:pos="8958"/>
        </w:tabs>
        <w:kinsoku/>
        <w:wordWrap/>
        <w:overflowPunct/>
        <w:topLinePunct w:val="0"/>
        <w:autoSpaceDE/>
        <w:autoSpaceDN/>
        <w:bidi w:val="0"/>
        <w:adjustRightInd/>
        <w:snapToGrid/>
        <w:spacing w:before="0" w:after="0" w:line="400" w:lineRule="exact"/>
        <w:textAlignment w:val="auto"/>
        <w:rPr>
          <w:rFonts w:hint="eastAsia" w:ascii="宋体" w:hAnsi="宋体" w:eastAsia="宋体" w:cs="宋体"/>
          <w:b w:val="0"/>
          <w:bCs w:val="0"/>
          <w:i w:val="0"/>
          <w:iCs w:val="0"/>
          <w:color w:val="auto"/>
          <w:sz w:val="24"/>
          <w:szCs w:val="24"/>
        </w:rPr>
      </w:pPr>
      <w:r>
        <w:rPr>
          <w:rFonts w:hint="eastAsia" w:ascii="宋体" w:hAnsi="宋体" w:eastAsia="宋体" w:cs="宋体"/>
          <w:b w:val="0"/>
          <w:bCs w:val="0"/>
          <w:i w:val="0"/>
          <w:iCs w:val="0"/>
          <w:smallCaps/>
          <w:color w:val="auto"/>
          <w:sz w:val="24"/>
          <w:szCs w:val="24"/>
          <w:highlight w:val="none"/>
        </w:rPr>
        <w:fldChar w:fldCharType="begin"/>
      </w:r>
      <w:r>
        <w:rPr>
          <w:rFonts w:hint="eastAsia" w:ascii="宋体" w:hAnsi="宋体" w:eastAsia="宋体" w:cs="宋体"/>
          <w:b w:val="0"/>
          <w:bCs w:val="0"/>
          <w:i w:val="0"/>
          <w:iCs w:val="0"/>
          <w:smallCaps/>
          <w:color w:val="auto"/>
          <w:sz w:val="24"/>
          <w:szCs w:val="24"/>
          <w:highlight w:val="none"/>
        </w:rPr>
        <w:instrText xml:space="preserve"> HYPERLINK \l _Toc20304 </w:instrText>
      </w:r>
      <w:r>
        <w:rPr>
          <w:rFonts w:hint="eastAsia" w:ascii="宋体" w:hAnsi="宋体" w:eastAsia="宋体" w:cs="宋体"/>
          <w:b w:val="0"/>
          <w:bCs w:val="0"/>
          <w:i w:val="0"/>
          <w:iCs w:val="0"/>
          <w:smallCaps/>
          <w:color w:val="auto"/>
          <w:sz w:val="24"/>
          <w:szCs w:val="24"/>
          <w:highlight w:val="none"/>
        </w:rPr>
        <w:fldChar w:fldCharType="separate"/>
      </w:r>
      <w:r>
        <w:rPr>
          <w:rFonts w:hint="eastAsia" w:ascii="宋体" w:hAnsi="宋体" w:eastAsia="宋体" w:cs="宋体"/>
          <w:b w:val="0"/>
          <w:bCs w:val="0"/>
          <w:i w:val="0"/>
          <w:iCs w:val="0"/>
          <w:color w:val="auto"/>
          <w:sz w:val="24"/>
          <w:szCs w:val="24"/>
          <w:highlight w:val="none"/>
        </w:rPr>
        <w:t>第六章 评审办法（最低评标价法）</w:t>
      </w:r>
      <w:r>
        <w:rPr>
          <w:rFonts w:hint="eastAsia" w:ascii="宋体" w:hAnsi="宋体" w:eastAsia="宋体" w:cs="宋体"/>
          <w:b w:val="0"/>
          <w:bCs w:val="0"/>
          <w:i w:val="0"/>
          <w:iCs w:val="0"/>
          <w:color w:val="auto"/>
          <w:sz w:val="24"/>
          <w:szCs w:val="24"/>
        </w:rPr>
        <w:tab/>
      </w:r>
      <w:r>
        <w:rPr>
          <w:rFonts w:hint="eastAsia" w:ascii="宋体" w:hAnsi="宋体" w:eastAsia="宋体" w:cs="宋体"/>
          <w:b w:val="0"/>
          <w:bCs w:val="0"/>
          <w:i w:val="0"/>
          <w:iCs w:val="0"/>
          <w:color w:val="auto"/>
          <w:sz w:val="24"/>
          <w:szCs w:val="24"/>
        </w:rPr>
        <w:fldChar w:fldCharType="begin"/>
      </w:r>
      <w:r>
        <w:rPr>
          <w:rFonts w:hint="eastAsia" w:ascii="宋体" w:hAnsi="宋体" w:eastAsia="宋体" w:cs="宋体"/>
          <w:b w:val="0"/>
          <w:bCs w:val="0"/>
          <w:i w:val="0"/>
          <w:iCs w:val="0"/>
          <w:color w:val="auto"/>
          <w:sz w:val="24"/>
          <w:szCs w:val="24"/>
        </w:rPr>
        <w:instrText xml:space="preserve"> PAGEREF _Toc20304 \h </w:instrText>
      </w:r>
      <w:r>
        <w:rPr>
          <w:rFonts w:hint="eastAsia" w:ascii="宋体" w:hAnsi="宋体" w:eastAsia="宋体" w:cs="宋体"/>
          <w:b w:val="0"/>
          <w:bCs w:val="0"/>
          <w:i w:val="0"/>
          <w:iCs w:val="0"/>
          <w:color w:val="auto"/>
          <w:sz w:val="24"/>
          <w:szCs w:val="24"/>
        </w:rPr>
        <w:fldChar w:fldCharType="separate"/>
      </w:r>
      <w:r>
        <w:rPr>
          <w:rFonts w:hint="eastAsia" w:ascii="宋体" w:hAnsi="宋体" w:eastAsia="宋体" w:cs="宋体"/>
          <w:b w:val="0"/>
          <w:bCs w:val="0"/>
          <w:i w:val="0"/>
          <w:iCs w:val="0"/>
          <w:color w:val="auto"/>
          <w:sz w:val="24"/>
          <w:szCs w:val="24"/>
        </w:rPr>
        <w:t>49</w:t>
      </w:r>
      <w:r>
        <w:rPr>
          <w:rFonts w:hint="eastAsia" w:ascii="宋体" w:hAnsi="宋体" w:eastAsia="宋体" w:cs="宋体"/>
          <w:b w:val="0"/>
          <w:bCs w:val="0"/>
          <w:i w:val="0"/>
          <w:iCs w:val="0"/>
          <w:color w:val="auto"/>
          <w:sz w:val="24"/>
          <w:szCs w:val="24"/>
        </w:rPr>
        <w:fldChar w:fldCharType="end"/>
      </w:r>
      <w:r>
        <w:rPr>
          <w:rFonts w:hint="eastAsia" w:ascii="宋体" w:hAnsi="宋体" w:eastAsia="宋体" w:cs="宋体"/>
          <w:b w:val="0"/>
          <w:bCs w:val="0"/>
          <w:i w:val="0"/>
          <w:iCs w:val="0"/>
          <w:smallCaps/>
          <w:color w:val="auto"/>
          <w:sz w:val="24"/>
          <w:szCs w:val="24"/>
          <w:highlight w:val="none"/>
        </w:rPr>
        <w:fldChar w:fldCharType="end"/>
      </w:r>
    </w:p>
    <w:p w14:paraId="0D8F47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HAnsi"/>
          <w:bCs/>
          <w:smallCaps/>
          <w:color w:val="auto"/>
          <w:sz w:val="20"/>
          <w:szCs w:val="21"/>
          <w:highlight w:val="none"/>
        </w:rPr>
        <w:sectPr>
          <w:headerReference r:id="rId7" w:type="first"/>
          <w:footerReference r:id="rId9" w:type="first"/>
          <w:footerReference r:id="rId8" w:type="default"/>
          <w:pgSz w:w="11906" w:h="16838"/>
          <w:pgMar w:top="1157" w:right="1474" w:bottom="1157" w:left="1474" w:header="510" w:footer="850" w:gutter="0"/>
          <w:pgNumType w:start="1"/>
          <w:cols w:space="0" w:num="1"/>
          <w:rtlGutter w:val="0"/>
          <w:docGrid w:linePitch="312" w:charSpace="0"/>
        </w:sectPr>
      </w:pPr>
      <w:r>
        <w:rPr>
          <w:rFonts w:hint="eastAsia" w:ascii="宋体" w:hAnsi="宋体" w:eastAsia="宋体" w:cs="宋体"/>
          <w:b w:val="0"/>
          <w:bCs w:val="0"/>
          <w:i w:val="0"/>
          <w:iCs w:val="0"/>
          <w:smallCaps/>
          <w:color w:val="auto"/>
          <w:sz w:val="24"/>
          <w:szCs w:val="24"/>
          <w:highlight w:val="none"/>
        </w:rPr>
        <w:fldChar w:fldCharType="end"/>
      </w:r>
    </w:p>
    <w:p w14:paraId="3E8F2B35">
      <w:pPr>
        <w:pStyle w:val="42"/>
        <w:tabs>
          <w:tab w:val="right" w:leader="dot" w:pos="8948"/>
        </w:tabs>
        <w:spacing w:line="360" w:lineRule="auto"/>
        <w:ind w:left="0"/>
        <w:jc w:val="center"/>
        <w:outlineLvl w:val="0"/>
        <w:rPr>
          <w:rFonts w:hint="eastAsia" w:asciiTheme="minorEastAsia" w:hAnsiTheme="minorEastAsia" w:eastAsiaTheme="minorEastAsia"/>
          <w:b/>
          <w:bCs/>
          <w:color w:val="auto"/>
          <w:sz w:val="32"/>
          <w:szCs w:val="32"/>
          <w:highlight w:val="none"/>
        </w:rPr>
      </w:pPr>
      <w:bookmarkStart w:id="7" w:name="_Toc9501"/>
      <w:r>
        <w:rPr>
          <w:rFonts w:hint="eastAsia" w:asciiTheme="minorEastAsia" w:hAnsiTheme="minorEastAsia" w:eastAsiaTheme="minorEastAsia"/>
          <w:b/>
          <w:bCs/>
          <w:color w:val="auto"/>
          <w:sz w:val="32"/>
          <w:szCs w:val="32"/>
          <w:highlight w:val="none"/>
        </w:rPr>
        <w:t xml:space="preserve">第一章 </w:t>
      </w:r>
      <w:bookmarkStart w:id="8" w:name="_Hlk69293590"/>
      <w:bookmarkStart w:id="9" w:name="_Hlk153792832"/>
      <w:r>
        <w:rPr>
          <w:rFonts w:hint="eastAsia" w:asciiTheme="minorEastAsia" w:hAnsiTheme="minorEastAsia" w:eastAsiaTheme="minorEastAsia"/>
          <w:b/>
          <w:bCs/>
          <w:color w:val="auto"/>
          <w:sz w:val="32"/>
          <w:szCs w:val="32"/>
          <w:highlight w:val="none"/>
        </w:rPr>
        <w:t>竞争性谈判公告</w:t>
      </w:r>
      <w:bookmarkEnd w:id="3"/>
      <w:bookmarkEnd w:id="4"/>
      <w:bookmarkEnd w:id="5"/>
      <w:bookmarkEnd w:id="7"/>
    </w:p>
    <w:p w14:paraId="15797410">
      <w:pPr>
        <w:pBdr>
          <w:top w:val="single" w:color="auto" w:sz="4" w:space="4"/>
          <w:left w:val="single" w:color="auto" w:sz="4" w:space="0"/>
          <w:bottom w:val="single" w:color="auto" w:sz="4" w:space="1"/>
          <w:right w:val="single" w:color="auto" w:sz="4" w:space="0"/>
        </w:pBdr>
        <w:spacing w:line="360"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项目概况</w:t>
      </w:r>
    </w:p>
    <w:p w14:paraId="6F663B30">
      <w:pPr>
        <w:pBdr>
          <w:top w:val="single" w:color="auto" w:sz="4" w:space="4"/>
          <w:left w:val="single" w:color="auto" w:sz="4" w:space="0"/>
          <w:bottom w:val="single" w:color="auto" w:sz="4" w:space="1"/>
          <w:right w:val="single" w:color="auto" w:sz="4" w:space="0"/>
        </w:pBdr>
        <w:wordWrap w:val="0"/>
        <w:spacing w:line="360" w:lineRule="auto"/>
        <w:ind w:firstLine="420" w:firstLineChars="200"/>
        <w:rPr>
          <w:rFonts w:hint="eastAsia" w:asciiTheme="minorEastAsia" w:hAnsiTheme="minorEastAsia" w:eastAsiaTheme="minorEastAsia"/>
          <w:color w:val="auto"/>
          <w:szCs w:val="21"/>
          <w:highlight w:val="none"/>
        </w:rPr>
      </w:pPr>
      <w:r>
        <w:rPr>
          <w:rFonts w:hint="eastAsia" w:ascii="宋体" w:hAnsi="宋体" w:cs="宋体"/>
          <w:color w:val="auto"/>
          <w:sz w:val="21"/>
          <w:szCs w:val="21"/>
          <w:highlight w:val="none"/>
          <w:u w:val="single"/>
          <w:lang w:val="en-US" w:eastAsia="zh-CN"/>
        </w:rPr>
        <w:t>宜良县中医医院保安、保洁服务项目采购</w:t>
      </w:r>
      <w:r>
        <w:rPr>
          <w:rFonts w:hint="eastAsia" w:asciiTheme="minorEastAsia" w:hAnsiTheme="minorEastAsia" w:eastAsiaTheme="minorEastAsia"/>
          <w:color w:val="auto"/>
          <w:szCs w:val="21"/>
          <w:highlight w:val="none"/>
        </w:rPr>
        <w:t>的潜在供应商应在</w:t>
      </w:r>
      <w:r>
        <w:rPr>
          <w:rFonts w:hint="eastAsia" w:asciiTheme="minorEastAsia" w:hAnsiTheme="minorEastAsia" w:eastAsiaTheme="minorEastAsia"/>
          <w:color w:val="auto"/>
          <w:szCs w:val="21"/>
          <w:highlight w:val="none"/>
          <w:u w:val="single"/>
        </w:rPr>
        <w:t>政府采购云平台（网址:</w:t>
      </w:r>
      <w:r>
        <w:rPr>
          <w:rFonts w:asciiTheme="minorEastAsia" w:hAnsiTheme="minorEastAsia" w:eastAsiaTheme="minorEastAsia"/>
          <w:color w:val="auto"/>
          <w:szCs w:val="21"/>
          <w:highlight w:val="none"/>
          <w:u w:val="single"/>
        </w:rPr>
        <w:t>https://www.zcygov.cn/</w:t>
      </w:r>
      <w:r>
        <w:rPr>
          <w:rFonts w:hint="eastAsia"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获取采购文件，并于2024-</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23</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13</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30</w:t>
      </w:r>
      <w:r>
        <w:rPr>
          <w:rFonts w:hint="eastAsia" w:asciiTheme="minorEastAsia" w:hAnsiTheme="minorEastAsia" w:eastAsiaTheme="minorEastAsia"/>
          <w:color w:val="auto"/>
          <w:szCs w:val="21"/>
          <w:highlight w:val="none"/>
        </w:rPr>
        <w:t>（北京时间）前提交响应文件。</w:t>
      </w:r>
    </w:p>
    <w:p w14:paraId="3FF9952D">
      <w:pPr>
        <w:spacing w:before="120" w:beforeLines="50" w:line="360" w:lineRule="auto"/>
        <w:outlineLvl w:val="1"/>
        <w:rPr>
          <w:rFonts w:hint="eastAsia" w:asciiTheme="minorEastAsia" w:hAnsiTheme="minorEastAsia" w:eastAsiaTheme="minorEastAsia"/>
          <w:b/>
          <w:bCs/>
          <w:color w:val="auto"/>
          <w:sz w:val="24"/>
          <w:szCs w:val="24"/>
          <w:highlight w:val="none"/>
        </w:rPr>
      </w:pPr>
      <w:bookmarkStart w:id="10" w:name="_Toc87538346"/>
      <w:bookmarkStart w:id="11" w:name="_Toc87543795"/>
      <w:bookmarkStart w:id="12" w:name="_Toc84356229"/>
      <w:bookmarkStart w:id="13" w:name="_Toc53412193"/>
      <w:bookmarkStart w:id="14" w:name="_Toc35393629"/>
      <w:bookmarkStart w:id="15" w:name="_Toc35393798"/>
      <w:bookmarkStart w:id="16" w:name="_Toc109809289"/>
      <w:bookmarkStart w:id="17" w:name="_Toc45976872"/>
      <w:bookmarkStart w:id="18" w:name="_Toc153670622"/>
      <w:bookmarkStart w:id="19" w:name="_Toc69678406"/>
      <w:bookmarkStart w:id="20" w:name="_Toc28359089"/>
      <w:bookmarkStart w:id="21" w:name="_Toc28359012"/>
      <w:bookmarkStart w:id="22" w:name="_Toc83753869"/>
      <w:bookmarkStart w:id="23" w:name="_Toc98033911"/>
      <w:bookmarkStart w:id="24" w:name="_Toc45791325"/>
      <w:bookmarkStart w:id="25" w:name="_Toc18859"/>
      <w:bookmarkStart w:id="26" w:name="_Toc98864988"/>
      <w:r>
        <w:rPr>
          <w:rFonts w:hint="eastAsia" w:asciiTheme="minorEastAsia" w:hAnsiTheme="minorEastAsia" w:eastAsiaTheme="minorEastAsia"/>
          <w:b/>
          <w:bCs/>
          <w:color w:val="auto"/>
          <w:sz w:val="24"/>
          <w:szCs w:val="24"/>
          <w:highlight w:val="none"/>
        </w:rPr>
        <w:t>一、项目基本情况</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4DCB92F">
      <w:pPr>
        <w:spacing w:line="360" w:lineRule="auto"/>
        <w:ind w:firstLine="420" w:firstLineChars="200"/>
        <w:rPr>
          <w:rFonts w:hint="eastAsia"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项目编号：</w:t>
      </w:r>
      <w:r>
        <w:rPr>
          <w:rFonts w:hint="eastAsia" w:cs="Times New Roman" w:asciiTheme="minorEastAsia" w:hAnsiTheme="minorEastAsia" w:eastAsiaTheme="minorEastAsia"/>
          <w:color w:val="auto"/>
          <w:szCs w:val="21"/>
          <w:highlight w:val="none"/>
          <w:lang w:val="en-US" w:eastAsia="zh-CN"/>
        </w:rPr>
        <w:t>宜采公2024334008</w:t>
      </w:r>
    </w:p>
    <w:p w14:paraId="0633E617">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val="en-US" w:eastAsia="zh-CN"/>
        </w:rPr>
        <w:t>宜良县中医医院保安、保洁服务项目采购</w:t>
      </w:r>
    </w:p>
    <w:p w14:paraId="16AA6390">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采购方式：竞争性谈判</w:t>
      </w:r>
    </w:p>
    <w:p w14:paraId="21BA598B">
      <w:pPr>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预算金额（万元）：4</w:t>
      </w:r>
      <w:r>
        <w:rPr>
          <w:rFonts w:hint="eastAsia" w:asciiTheme="minorEastAsia" w:hAnsiTheme="minorEastAsia" w:eastAsiaTheme="minorEastAsia"/>
          <w:color w:val="auto"/>
          <w:szCs w:val="21"/>
          <w:highlight w:val="none"/>
          <w:lang w:val="en-US" w:eastAsia="zh-CN"/>
        </w:rPr>
        <w:t>0</w:t>
      </w:r>
    </w:p>
    <w:p w14:paraId="0509E5E4">
      <w:pPr>
        <w:spacing w:line="360" w:lineRule="auto"/>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最高限价（万元）：4</w:t>
      </w:r>
      <w:r>
        <w:rPr>
          <w:rFonts w:hint="eastAsia" w:asciiTheme="minorEastAsia" w:hAnsiTheme="minorEastAsia" w:eastAsiaTheme="minorEastAsia"/>
          <w:color w:val="auto"/>
          <w:szCs w:val="21"/>
          <w:highlight w:val="none"/>
          <w:lang w:val="en-US" w:eastAsia="zh-CN"/>
        </w:rPr>
        <w:t>0</w:t>
      </w:r>
    </w:p>
    <w:p w14:paraId="7C9B39A7">
      <w:pPr>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采购需求：负责宜良县中医院内的保安、保洁服务工作，共12人，包括保安员6名，保洁6名。所有派驻到医院的安保人员必须全部政审合格并持保安证上岗，同时消控室现场值班人员必须持有消防监督管理部门认可的建（构）筑物消防员证上岗。</w:t>
      </w:r>
    </w:p>
    <w:p w14:paraId="67C51EBD">
      <w:pPr>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注：具体采购需求及要求详见采购文件第五章“采购需求及要求”。</w:t>
      </w:r>
    </w:p>
    <w:p w14:paraId="10391A5F">
      <w:pPr>
        <w:spacing w:line="360" w:lineRule="auto"/>
        <w:ind w:firstLine="42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合同履行期限：预招3年，合同一年一签（按年进行考核，考核合格后提出申请进行续签,考核内容由院方制定）。</w:t>
      </w:r>
    </w:p>
    <w:p w14:paraId="79B55C97">
      <w:pPr>
        <w:spacing w:line="360" w:lineRule="auto"/>
        <w:ind w:firstLine="420"/>
        <w:rPr>
          <w:rFonts w:hint="eastAsia" w:asciiTheme="minorEastAsia" w:hAnsiTheme="minorEastAsia" w:eastAsiaTheme="minorEastAsia"/>
          <w:color w:val="auto"/>
          <w:szCs w:val="21"/>
          <w:highlight w:val="none"/>
        </w:rPr>
      </w:pPr>
      <w:r>
        <w:rPr>
          <w:rFonts w:hint="eastAsia" w:ascii="宋体" w:hAnsi="宋体" w:eastAsia="宋体" w:cs="Times New Roman"/>
          <w:color w:val="auto"/>
          <w:szCs w:val="21"/>
          <w:highlight w:val="none"/>
          <w:lang w:val="en-US" w:eastAsia="zh-CN"/>
        </w:rPr>
        <w:t>本项目（否）接受联合体投标。</w:t>
      </w:r>
    </w:p>
    <w:p w14:paraId="3DAE01E5">
      <w:pPr>
        <w:spacing w:line="360" w:lineRule="auto"/>
        <w:outlineLvl w:val="1"/>
        <w:rPr>
          <w:rFonts w:hint="eastAsia" w:asciiTheme="minorEastAsia" w:hAnsiTheme="minorEastAsia" w:eastAsiaTheme="minorEastAsia"/>
          <w:b/>
          <w:bCs/>
          <w:color w:val="auto"/>
          <w:sz w:val="24"/>
          <w:szCs w:val="24"/>
          <w:highlight w:val="none"/>
        </w:rPr>
      </w:pPr>
      <w:bookmarkStart w:id="27" w:name="_Toc53412194"/>
      <w:bookmarkStart w:id="28" w:name="_Toc28359090"/>
      <w:bookmarkStart w:id="29" w:name="_Toc98864989"/>
      <w:bookmarkStart w:id="30" w:name="_Toc35393799"/>
      <w:bookmarkStart w:id="31" w:name="_Toc84356230"/>
      <w:bookmarkStart w:id="32" w:name="_Toc87538347"/>
      <w:bookmarkStart w:id="33" w:name="_Toc98033912"/>
      <w:bookmarkStart w:id="34" w:name="_Toc12499"/>
      <w:bookmarkStart w:id="35" w:name="_Toc109809290"/>
      <w:bookmarkStart w:id="36" w:name="_Toc83753870"/>
      <w:bookmarkStart w:id="37" w:name="_Toc69678407"/>
      <w:bookmarkStart w:id="38" w:name="_Toc45976873"/>
      <w:bookmarkStart w:id="39" w:name="_Toc35393630"/>
      <w:bookmarkStart w:id="40" w:name="_Toc28359013"/>
      <w:bookmarkStart w:id="41" w:name="_Toc45791326"/>
      <w:bookmarkStart w:id="42" w:name="_Toc87543796"/>
      <w:bookmarkStart w:id="43" w:name="_Toc153670623"/>
      <w:r>
        <w:rPr>
          <w:rFonts w:hint="eastAsia" w:asciiTheme="minorEastAsia" w:hAnsiTheme="minorEastAsia" w:eastAsiaTheme="minorEastAsia"/>
          <w:b/>
          <w:bCs/>
          <w:color w:val="auto"/>
          <w:sz w:val="24"/>
          <w:szCs w:val="24"/>
          <w:highlight w:val="none"/>
        </w:rPr>
        <w:t>二、供应商的资格要求</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78B7D8A">
      <w:pPr>
        <w:spacing w:line="360" w:lineRule="auto"/>
        <w:ind w:firstLine="420" w:firstLineChars="200"/>
        <w:rPr>
          <w:rFonts w:hint="eastAsia" w:asciiTheme="minorEastAsia" w:hAnsiTheme="minorEastAsia" w:eastAsiaTheme="minorEastAsia"/>
          <w:color w:val="auto"/>
          <w:szCs w:val="21"/>
          <w:highlight w:val="none"/>
        </w:rPr>
      </w:pPr>
      <w:bookmarkStart w:id="44" w:name="_Hlk109738198"/>
      <w:bookmarkStart w:id="45" w:name="_Toc28359091"/>
      <w:bookmarkStart w:id="46" w:name="_Toc28359014"/>
      <w:r>
        <w:rPr>
          <w:rFonts w:hint="eastAsia" w:asciiTheme="minorEastAsia" w:hAnsiTheme="minorEastAsia" w:eastAsiaTheme="minorEastAsia"/>
          <w:color w:val="auto"/>
          <w:szCs w:val="21"/>
          <w:highlight w:val="none"/>
        </w:rPr>
        <w:t>1.满足《中华人民共和国政府采购法》第二十二条规定；</w:t>
      </w:r>
    </w:p>
    <w:p w14:paraId="1D5BFEB0">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落实政府采购政策需满足的资格要求：本项目</w:t>
      </w:r>
      <w:r>
        <w:rPr>
          <w:rFonts w:hint="eastAsia" w:asciiTheme="minorEastAsia" w:hAnsiTheme="minorEastAsia" w:eastAsiaTheme="minorEastAsia"/>
          <w:color w:val="auto"/>
          <w:szCs w:val="21"/>
          <w:highlight w:val="none"/>
          <w:lang w:val="en-US" w:eastAsia="zh-CN"/>
        </w:rPr>
        <w:t>不</w:t>
      </w:r>
      <w:r>
        <w:rPr>
          <w:rFonts w:hint="eastAsia" w:asciiTheme="minorEastAsia" w:hAnsiTheme="minorEastAsia" w:eastAsiaTheme="minorEastAsia"/>
          <w:color w:val="auto"/>
          <w:szCs w:val="21"/>
          <w:highlight w:val="none"/>
        </w:rPr>
        <w:t xml:space="preserve">专门面向中小微企业采购。 </w:t>
      </w:r>
    </w:p>
    <w:p w14:paraId="6D465A76">
      <w:pPr>
        <w:spacing w:line="360" w:lineRule="auto"/>
        <w:ind w:firstLine="420" w:firstLineChars="200"/>
        <w:rPr>
          <w:rFonts w:hint="eastAsia" w:ascii="宋体" w:hAnsi="宋体"/>
          <w:color w:val="auto"/>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本项目的特定资格要求：</w:t>
      </w:r>
      <w:r>
        <w:rPr>
          <w:rFonts w:hint="eastAsia" w:ascii="宋体" w:hAnsi="宋体"/>
          <w:color w:val="auto"/>
          <w:highlight w:val="none"/>
        </w:rPr>
        <w:t>无。</w:t>
      </w:r>
    </w:p>
    <w:bookmarkEnd w:id="44"/>
    <w:p w14:paraId="3F09475F">
      <w:pPr>
        <w:spacing w:line="360" w:lineRule="auto"/>
        <w:outlineLvl w:val="1"/>
        <w:rPr>
          <w:rFonts w:hint="eastAsia" w:asciiTheme="minorEastAsia" w:hAnsiTheme="minorEastAsia" w:eastAsiaTheme="minorEastAsia"/>
          <w:b/>
          <w:bCs/>
          <w:color w:val="auto"/>
          <w:sz w:val="24"/>
          <w:szCs w:val="24"/>
          <w:highlight w:val="none"/>
        </w:rPr>
      </w:pPr>
      <w:bookmarkStart w:id="47" w:name="_Toc35393631"/>
      <w:bookmarkStart w:id="48" w:name="_Toc35393800"/>
      <w:bookmarkStart w:id="49" w:name="_Toc53412195"/>
      <w:bookmarkStart w:id="50" w:name="_Toc109809291"/>
      <w:bookmarkStart w:id="51" w:name="_Toc98864990"/>
      <w:bookmarkStart w:id="52" w:name="_Toc87538348"/>
      <w:bookmarkStart w:id="53" w:name="_Toc69678408"/>
      <w:bookmarkStart w:id="54" w:name="_Toc87543797"/>
      <w:bookmarkStart w:id="55" w:name="_Toc83753871"/>
      <w:bookmarkStart w:id="56" w:name="_Toc153670624"/>
      <w:bookmarkStart w:id="57" w:name="_Toc45791327"/>
      <w:bookmarkStart w:id="58" w:name="_Toc16336"/>
      <w:bookmarkStart w:id="59" w:name="_Toc45976874"/>
      <w:bookmarkStart w:id="60" w:name="_Toc98033913"/>
      <w:bookmarkStart w:id="61" w:name="_Toc84356231"/>
      <w:r>
        <w:rPr>
          <w:rFonts w:hint="eastAsia" w:asciiTheme="minorEastAsia" w:hAnsiTheme="minorEastAsia" w:eastAsiaTheme="minorEastAsia"/>
          <w:b/>
          <w:bCs/>
          <w:color w:val="auto"/>
          <w:sz w:val="24"/>
          <w:szCs w:val="24"/>
          <w:highlight w:val="none"/>
        </w:rPr>
        <w:t>三、获取</w:t>
      </w:r>
      <w:bookmarkEnd w:id="45"/>
      <w:bookmarkEnd w:id="46"/>
      <w:bookmarkEnd w:id="47"/>
      <w:bookmarkEnd w:id="48"/>
      <w:r>
        <w:rPr>
          <w:rFonts w:hint="eastAsia" w:asciiTheme="minorEastAsia" w:hAnsiTheme="minorEastAsia" w:eastAsiaTheme="minorEastAsia"/>
          <w:b/>
          <w:bCs/>
          <w:color w:val="auto"/>
          <w:sz w:val="24"/>
          <w:szCs w:val="24"/>
          <w:highlight w:val="none"/>
        </w:rPr>
        <w:t>采购文件</w:t>
      </w:r>
      <w:bookmarkEnd w:id="49"/>
      <w:bookmarkEnd w:id="50"/>
      <w:bookmarkEnd w:id="51"/>
      <w:bookmarkEnd w:id="52"/>
      <w:bookmarkEnd w:id="53"/>
      <w:bookmarkEnd w:id="54"/>
      <w:bookmarkEnd w:id="55"/>
      <w:bookmarkEnd w:id="56"/>
      <w:bookmarkEnd w:id="57"/>
      <w:bookmarkEnd w:id="58"/>
      <w:bookmarkEnd w:id="59"/>
      <w:bookmarkEnd w:id="60"/>
      <w:bookmarkEnd w:id="61"/>
    </w:p>
    <w:p w14:paraId="694AF015">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Theme="minorEastAsia" w:hAnsiTheme="minorEastAsia" w:eastAsiaTheme="minorEastAsia"/>
          <w:color w:val="auto"/>
          <w:szCs w:val="21"/>
          <w:highlight w:val="none"/>
        </w:rPr>
        <w:t>时间：2024-</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17</w:t>
      </w:r>
      <w:r>
        <w:rPr>
          <w:rFonts w:hint="eastAsia" w:asciiTheme="minorEastAsia" w:hAnsiTheme="minorEastAsia" w:eastAsiaTheme="minorEastAsia"/>
          <w:color w:val="auto"/>
          <w:szCs w:val="21"/>
          <w:highlight w:val="none"/>
        </w:rPr>
        <w:t>至2024-</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20</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w:t>
      </w:r>
      <w:r>
        <w:rPr>
          <w:rFonts w:hint="eastAsia" w:ascii="宋体" w:hAnsi="宋体" w:eastAsia="宋体" w:cs="宋体"/>
          <w:color w:val="auto"/>
          <w:kern w:val="0"/>
          <w:sz w:val="21"/>
          <w:szCs w:val="21"/>
          <w:highlight w:val="none"/>
        </w:rPr>
        <w:t>详见云南省政府采购网（http://www.yngp.com/）、“政采云”平台 （https://www.zcygov.cn）有关时间安排</w:t>
      </w:r>
      <w:r>
        <w:rPr>
          <w:rFonts w:hint="eastAsia" w:ascii="宋体" w:hAnsi="宋体" w:eastAsia="宋体" w:cs="宋体"/>
          <w:color w:val="auto"/>
          <w:kern w:val="0"/>
          <w:sz w:val="21"/>
          <w:szCs w:val="21"/>
          <w:highlight w:val="none"/>
          <w:lang w:eastAsia="zh-CN"/>
        </w:rPr>
        <w:t>。</w:t>
      </w:r>
    </w:p>
    <w:p w14:paraId="46F22D82">
      <w:pPr>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地点：政府采购云平台（</w:t>
      </w:r>
      <w:r>
        <w:rPr>
          <w:rFonts w:hint="eastAsia" w:asciiTheme="minorEastAsia" w:hAnsiTheme="minorEastAsia" w:eastAsiaTheme="minorEastAsia"/>
          <w:color w:val="auto"/>
          <w:szCs w:val="21"/>
          <w:highlight w:val="none"/>
        </w:rPr>
        <w:t>网址：</w:t>
      </w:r>
      <w:r>
        <w:rPr>
          <w:rFonts w:asciiTheme="minorEastAsia" w:hAnsiTheme="minorEastAsia" w:eastAsiaTheme="minorEastAsia"/>
          <w:color w:val="auto"/>
          <w:szCs w:val="21"/>
          <w:highlight w:val="none"/>
        </w:rPr>
        <w:t>https://www.zcygov.cn/</w:t>
      </w:r>
      <w:r>
        <w:rPr>
          <w:rFonts w:hint="eastAsia" w:cs="宋体" w:asciiTheme="minorEastAsia" w:hAnsiTheme="minorEastAsia" w:eastAsiaTheme="minorEastAsia"/>
          <w:color w:val="auto"/>
          <w:szCs w:val="21"/>
          <w:highlight w:val="none"/>
        </w:rPr>
        <w:t>）</w:t>
      </w:r>
    </w:p>
    <w:p w14:paraId="33CBF4F6">
      <w:pPr>
        <w:wordWrap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方式：</w:t>
      </w:r>
    </w:p>
    <w:p w14:paraId="43F33831">
      <w:pPr>
        <w:wordWrap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凡有意参与谈判者，须在政府采购云平台办理数字证书（CA），并在政府采购云平台绑定数字证书（CA）后线上获取采购文件及其它采购资料。CA申领链接：</w:t>
      </w:r>
      <w:r>
        <w:rPr>
          <w:rFonts w:ascii="宋体" w:hAnsi="宋体"/>
          <w:color w:val="auto"/>
          <w:highlight w:val="none"/>
        </w:rPr>
        <w:t>http://yzt.ynsmartcert.cn</w:t>
      </w:r>
      <w:r>
        <w:rPr>
          <w:rFonts w:hint="eastAsia" w:cs="宋体" w:asciiTheme="minorEastAsia" w:hAnsiTheme="minorEastAsia" w:eastAsiaTheme="minorEastAsia"/>
          <w:color w:val="auto"/>
          <w:szCs w:val="21"/>
          <w:highlight w:val="none"/>
        </w:rPr>
        <w:t>（客服热线：0871-67276028&lt;紧急可拨19988166369&gt;）或https://cap.yunnanca.net/login（客服热线：4006727666）；CA申领后需登陆政府采购云平台完成数字证书（CA）绑定才可以使用；若供应商之前已经注册并办理过企业数字证书（CA）的，可以直接绑定，无需重复办理。供应商在注册办理过程中若有疑问，可以拨打客服热线95763咨询。</w:t>
      </w:r>
    </w:p>
    <w:p w14:paraId="2491176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2.供应商申领到企业数字证书（CA）后进入政府采购云平台（</w:t>
      </w:r>
      <w:r>
        <w:rPr>
          <w:rFonts w:hint="eastAsia" w:asciiTheme="minorEastAsia" w:hAnsiTheme="minorEastAsia" w:eastAsiaTheme="minorEastAsia"/>
          <w:color w:val="auto"/>
          <w:szCs w:val="21"/>
          <w:highlight w:val="none"/>
        </w:rPr>
        <w:t>网址：</w:t>
      </w:r>
      <w:r>
        <w:rPr>
          <w:rFonts w:asciiTheme="minorEastAsia" w:hAnsiTheme="minorEastAsia" w:eastAsiaTheme="minorEastAsia"/>
          <w:color w:val="auto"/>
          <w:szCs w:val="21"/>
          <w:highlight w:val="none"/>
        </w:rPr>
        <w:t>https://www.zcygov.cn/</w:t>
      </w:r>
      <w:r>
        <w:rPr>
          <w:rFonts w:hint="eastAsia" w:cs="宋体" w:asciiTheme="minorEastAsia" w:hAnsiTheme="minorEastAsia" w:eastAsiaTheme="minorEastAsia"/>
          <w:color w:val="auto"/>
          <w:szCs w:val="21"/>
          <w:highlight w:val="none"/>
        </w:rPr>
        <w:t>）并绑定企业数字证书（CA），</w:t>
      </w:r>
      <w:r>
        <w:rPr>
          <w:rFonts w:hint="eastAsia" w:asciiTheme="minorEastAsia" w:hAnsiTheme="minorEastAsia" w:eastAsiaTheme="minorEastAsia"/>
          <w:color w:val="auto"/>
          <w:szCs w:val="21"/>
          <w:highlight w:val="none"/>
        </w:rPr>
        <w:t>在</w:t>
      </w:r>
      <w:r>
        <w:rPr>
          <w:rFonts w:hint="eastAsia" w:cs="宋体" w:asciiTheme="minorEastAsia" w:hAnsiTheme="minorEastAsia" w:eastAsiaTheme="minorEastAsia"/>
          <w:color w:val="auto"/>
          <w:szCs w:val="21"/>
          <w:highlight w:val="none"/>
        </w:rPr>
        <w:t>网上获取采购文件及其它采购资料</w:t>
      </w:r>
      <w:r>
        <w:rPr>
          <w:rFonts w:hint="eastAsia" w:asciiTheme="minorEastAsia" w:hAnsiTheme="minorEastAsia" w:eastAsiaTheme="minorEastAsia"/>
          <w:color w:val="auto"/>
          <w:szCs w:val="21"/>
          <w:highlight w:val="none"/>
        </w:rPr>
        <w:t>（操作路径：登录“</w:t>
      </w:r>
      <w:r>
        <w:rPr>
          <w:rFonts w:hint="eastAsia" w:cs="宋体" w:asciiTheme="minorEastAsia" w:hAnsiTheme="minorEastAsia" w:eastAsiaTheme="minorEastAsia"/>
          <w:color w:val="auto"/>
          <w:szCs w:val="21"/>
          <w:highlight w:val="none"/>
        </w:rPr>
        <w:t>政府采购云平台</w:t>
      </w:r>
      <w:r>
        <w:rPr>
          <w:rFonts w:hint="eastAsia" w:asciiTheme="minorEastAsia" w:hAnsiTheme="minorEastAsia" w:eastAsiaTheme="minorEastAsia"/>
          <w:color w:val="auto"/>
          <w:szCs w:val="21"/>
          <w:highlight w:val="none"/>
        </w:rPr>
        <w:t>-项目采购-获取采购文件-找到本项目-点击“申请获取采购文件”），此为参与谈判的唯一途径。</w:t>
      </w:r>
    </w:p>
    <w:p w14:paraId="0FE3C18E">
      <w:pPr>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售价（元）：</w:t>
      </w:r>
      <w:r>
        <w:rPr>
          <w:rFonts w:cs="宋体" w:asciiTheme="minorEastAsia" w:hAnsiTheme="minorEastAsia" w:eastAsiaTheme="minorEastAsia"/>
          <w:color w:val="auto"/>
          <w:szCs w:val="21"/>
          <w:highlight w:val="none"/>
        </w:rPr>
        <w:t>0</w:t>
      </w:r>
    </w:p>
    <w:p w14:paraId="5028AE06">
      <w:pPr>
        <w:spacing w:line="360" w:lineRule="auto"/>
        <w:outlineLvl w:val="1"/>
        <w:rPr>
          <w:rFonts w:hint="eastAsia" w:asciiTheme="minorEastAsia" w:hAnsiTheme="minorEastAsia" w:eastAsiaTheme="minorEastAsia"/>
          <w:b/>
          <w:bCs/>
          <w:color w:val="auto"/>
          <w:sz w:val="24"/>
          <w:szCs w:val="24"/>
          <w:highlight w:val="none"/>
        </w:rPr>
      </w:pPr>
      <w:bookmarkStart w:id="62" w:name="_Toc28359015"/>
      <w:bookmarkStart w:id="63" w:name="_Toc15532"/>
      <w:bookmarkStart w:id="64" w:name="_Toc109809292"/>
      <w:bookmarkStart w:id="65" w:name="_Toc45976875"/>
      <w:bookmarkStart w:id="66" w:name="_Toc98033914"/>
      <w:bookmarkStart w:id="67" w:name="_Toc87538349"/>
      <w:bookmarkStart w:id="68" w:name="_Toc84356232"/>
      <w:bookmarkStart w:id="69" w:name="_Toc53412196"/>
      <w:bookmarkStart w:id="70" w:name="_Toc69678409"/>
      <w:bookmarkStart w:id="71" w:name="_Toc28359092"/>
      <w:bookmarkStart w:id="72" w:name="_Toc153670625"/>
      <w:bookmarkStart w:id="73" w:name="_Toc98864991"/>
      <w:bookmarkStart w:id="74" w:name="_Toc35393801"/>
      <w:bookmarkStart w:id="75" w:name="_Toc45791328"/>
      <w:bookmarkStart w:id="76" w:name="_Toc87543798"/>
      <w:bookmarkStart w:id="77" w:name="_Toc83753872"/>
      <w:bookmarkStart w:id="78" w:name="_Toc35393632"/>
      <w:r>
        <w:rPr>
          <w:rFonts w:hint="eastAsia" w:asciiTheme="minorEastAsia" w:hAnsiTheme="minorEastAsia" w:eastAsiaTheme="minorEastAsia"/>
          <w:b/>
          <w:bCs/>
          <w:color w:val="auto"/>
          <w:sz w:val="24"/>
          <w:szCs w:val="24"/>
          <w:highlight w:val="none"/>
        </w:rPr>
        <w:t>四、响应文件提交</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43A90142">
      <w:pPr>
        <w:spacing w:line="360" w:lineRule="auto"/>
        <w:ind w:firstLine="420"/>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截止时间：</w:t>
      </w:r>
      <w:r>
        <w:rPr>
          <w:rFonts w:hint="eastAsia" w:asciiTheme="minorEastAsia" w:hAnsiTheme="minorEastAsia" w:eastAsiaTheme="minorEastAsia"/>
          <w:color w:val="auto"/>
          <w:szCs w:val="21"/>
          <w:highlight w:val="none"/>
        </w:rPr>
        <w:t>2024-</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23</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13</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30</w:t>
      </w:r>
      <w:r>
        <w:rPr>
          <w:rFonts w:hint="eastAsia" w:asciiTheme="minorEastAsia" w:hAnsiTheme="minorEastAsia" w:eastAsiaTheme="minorEastAsia"/>
          <w:color w:val="auto"/>
          <w:szCs w:val="21"/>
          <w:highlight w:val="none"/>
        </w:rPr>
        <w:t>（北京时间）</w:t>
      </w:r>
    </w:p>
    <w:p w14:paraId="45A21C17">
      <w:pPr>
        <w:spacing w:line="360" w:lineRule="auto"/>
        <w:ind w:firstLine="420"/>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地点：</w:t>
      </w:r>
      <w:bookmarkStart w:id="79" w:name="_Hlk116478573"/>
      <w:r>
        <w:rPr>
          <w:rFonts w:hint="eastAsia" w:asciiTheme="minorEastAsia" w:hAnsiTheme="minorEastAsia" w:eastAsiaTheme="minorEastAsia"/>
          <w:bCs/>
          <w:color w:val="auto"/>
          <w:szCs w:val="21"/>
          <w:highlight w:val="none"/>
        </w:rPr>
        <w:t>政府采购云平台（</w:t>
      </w:r>
      <w:r>
        <w:rPr>
          <w:rFonts w:hint="eastAsia" w:cs="宋体" w:asciiTheme="minorEastAsia" w:hAnsiTheme="minorEastAsia" w:eastAsiaTheme="minorEastAsia"/>
          <w:color w:val="auto"/>
          <w:kern w:val="0"/>
          <w:szCs w:val="21"/>
          <w:highlight w:val="none"/>
        </w:rPr>
        <w:t>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0"/>
          <w:rFonts w:hint="eastAsia" w:cs="宋体" w:asciiTheme="minorEastAsia" w:hAnsiTheme="minorEastAsia" w:eastAsiaTheme="minorEastAsia"/>
          <w:color w:val="auto"/>
          <w:kern w:val="0"/>
          <w:szCs w:val="21"/>
          <w:highlight w:val="none"/>
          <w:u w:val="none"/>
        </w:rPr>
        <w:t>https://www.zcygov.cn/</w:t>
      </w:r>
      <w:r>
        <w:rPr>
          <w:rStyle w:val="60"/>
          <w:rFonts w:hint="eastAsia" w:cs="宋体" w:asciiTheme="minorEastAsia" w:hAnsiTheme="minorEastAsia" w:eastAsiaTheme="minorEastAsia"/>
          <w:color w:val="auto"/>
          <w:kern w:val="0"/>
          <w:szCs w:val="21"/>
          <w:highlight w:val="none"/>
          <w:u w:val="none"/>
        </w:rPr>
        <w:fldChar w:fldCharType="end"/>
      </w:r>
      <w:r>
        <w:rPr>
          <w:rFonts w:hint="eastAsia" w:asciiTheme="minorEastAsia" w:hAnsiTheme="minorEastAsia" w:eastAsiaTheme="minorEastAsia"/>
          <w:bCs/>
          <w:color w:val="auto"/>
          <w:szCs w:val="21"/>
          <w:highlight w:val="none"/>
        </w:rPr>
        <w:t>）</w:t>
      </w:r>
      <w:bookmarkEnd w:id="79"/>
    </w:p>
    <w:p w14:paraId="771C7365">
      <w:pPr>
        <w:spacing w:line="360" w:lineRule="auto"/>
        <w:outlineLvl w:val="1"/>
        <w:rPr>
          <w:rFonts w:hint="eastAsia" w:asciiTheme="minorEastAsia" w:hAnsiTheme="minorEastAsia" w:eastAsiaTheme="minorEastAsia"/>
          <w:b/>
          <w:bCs/>
          <w:color w:val="auto"/>
          <w:sz w:val="24"/>
          <w:szCs w:val="24"/>
          <w:highlight w:val="none"/>
        </w:rPr>
      </w:pPr>
      <w:bookmarkStart w:id="80" w:name="_Toc45791329"/>
      <w:bookmarkStart w:id="81" w:name="_Toc98864992"/>
      <w:bookmarkStart w:id="82" w:name="_Toc87538350"/>
      <w:bookmarkStart w:id="83" w:name="_Toc109809293"/>
      <w:bookmarkStart w:id="84" w:name="_Toc45976876"/>
      <w:bookmarkStart w:id="85" w:name="_Toc35393802"/>
      <w:bookmarkStart w:id="86" w:name="_Toc84356233"/>
      <w:bookmarkStart w:id="87" w:name="_Toc87543799"/>
      <w:bookmarkStart w:id="88" w:name="_Toc153670626"/>
      <w:bookmarkStart w:id="89" w:name="_Toc98033915"/>
      <w:bookmarkStart w:id="90" w:name="_Toc28359016"/>
      <w:bookmarkStart w:id="91" w:name="_Toc69678410"/>
      <w:bookmarkStart w:id="92" w:name="_Toc35393633"/>
      <w:bookmarkStart w:id="93" w:name="_Toc28359093"/>
      <w:bookmarkStart w:id="94" w:name="_Toc8973"/>
      <w:bookmarkStart w:id="95" w:name="_Toc83753873"/>
      <w:bookmarkStart w:id="96" w:name="_Toc53412197"/>
      <w:r>
        <w:rPr>
          <w:rFonts w:hint="eastAsia" w:asciiTheme="minorEastAsia" w:hAnsiTheme="minorEastAsia" w:eastAsiaTheme="minorEastAsia"/>
          <w:b/>
          <w:bCs/>
          <w:color w:val="auto"/>
          <w:sz w:val="24"/>
          <w:szCs w:val="24"/>
          <w:highlight w:val="none"/>
        </w:rPr>
        <w:t>五、开启</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983F01E">
      <w:pPr>
        <w:spacing w:line="360" w:lineRule="auto"/>
        <w:ind w:firstLine="420" w:firstLineChars="200"/>
        <w:rPr>
          <w:rFonts w:hint="eastAsia" w:asciiTheme="minorEastAsia" w:hAnsiTheme="minorEastAsia" w:eastAsiaTheme="minorEastAsia"/>
          <w:bCs/>
          <w:color w:val="auto"/>
          <w:szCs w:val="21"/>
          <w:highlight w:val="none"/>
          <w:u w:val="single"/>
        </w:rPr>
      </w:pPr>
      <w:r>
        <w:rPr>
          <w:rFonts w:hint="eastAsia" w:asciiTheme="minorEastAsia" w:hAnsiTheme="minorEastAsia" w:eastAsiaTheme="minorEastAsia"/>
          <w:color w:val="auto"/>
          <w:szCs w:val="21"/>
          <w:highlight w:val="none"/>
        </w:rPr>
        <w:t>时间：2024-</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23</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13</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30</w:t>
      </w:r>
      <w:r>
        <w:rPr>
          <w:rFonts w:hint="eastAsia" w:asciiTheme="minorEastAsia" w:hAnsiTheme="minorEastAsia" w:eastAsiaTheme="minorEastAsia"/>
          <w:color w:val="auto"/>
          <w:szCs w:val="21"/>
          <w:highlight w:val="none"/>
        </w:rPr>
        <w:t>（北京时间）</w:t>
      </w:r>
    </w:p>
    <w:p w14:paraId="759F5D47">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地点：</w:t>
      </w:r>
      <w:r>
        <w:rPr>
          <w:rFonts w:hint="eastAsia" w:asciiTheme="minorEastAsia" w:hAnsiTheme="minorEastAsia" w:eastAsiaTheme="minorEastAsia"/>
          <w:color w:val="auto"/>
          <w:highlight w:val="none"/>
        </w:rPr>
        <w:t>政府采购云平台（</w:t>
      </w:r>
      <w:r>
        <w:rPr>
          <w:rFonts w:hint="eastAsia" w:cs="宋体" w:asciiTheme="minorEastAsia" w:hAnsiTheme="minorEastAsia" w:eastAsiaTheme="minorEastAsia"/>
          <w:color w:val="auto"/>
          <w:kern w:val="0"/>
          <w:szCs w:val="21"/>
          <w:highlight w:val="none"/>
        </w:rPr>
        <w:t>网址：https://www.zcygov.cn/</w:t>
      </w:r>
      <w:r>
        <w:rPr>
          <w:rFonts w:hint="eastAsia" w:asciiTheme="minorEastAsia" w:hAnsiTheme="minorEastAsia" w:eastAsiaTheme="minorEastAsia"/>
          <w:color w:val="auto"/>
          <w:highlight w:val="none"/>
        </w:rPr>
        <w:t>）</w:t>
      </w:r>
    </w:p>
    <w:p w14:paraId="7DCA5756">
      <w:pPr>
        <w:spacing w:line="360" w:lineRule="auto"/>
        <w:outlineLvl w:val="1"/>
        <w:rPr>
          <w:rFonts w:hint="eastAsia" w:asciiTheme="minorEastAsia" w:hAnsiTheme="minorEastAsia" w:eastAsiaTheme="minorEastAsia"/>
          <w:b/>
          <w:bCs/>
          <w:color w:val="auto"/>
          <w:sz w:val="24"/>
          <w:szCs w:val="24"/>
          <w:highlight w:val="none"/>
        </w:rPr>
      </w:pPr>
      <w:bookmarkStart w:id="97" w:name="_Toc28359094"/>
      <w:bookmarkStart w:id="98" w:name="_Toc35393803"/>
      <w:bookmarkStart w:id="99" w:name="_Toc28359017"/>
      <w:bookmarkStart w:id="100" w:name="_Toc45976877"/>
      <w:bookmarkStart w:id="101" w:name="_Toc45791330"/>
      <w:bookmarkStart w:id="102" w:name="_Toc35393634"/>
      <w:bookmarkStart w:id="103" w:name="_Toc109809294"/>
      <w:bookmarkStart w:id="104" w:name="_Toc83753874"/>
      <w:bookmarkStart w:id="105" w:name="_Toc153670627"/>
      <w:bookmarkStart w:id="106" w:name="_Toc87538351"/>
      <w:bookmarkStart w:id="107" w:name="_Toc53412198"/>
      <w:bookmarkStart w:id="108" w:name="_Toc69678411"/>
      <w:bookmarkStart w:id="109" w:name="_Toc98864993"/>
      <w:bookmarkStart w:id="110" w:name="_Toc2494"/>
      <w:bookmarkStart w:id="111" w:name="_Toc87543800"/>
      <w:bookmarkStart w:id="112" w:name="_Toc98033916"/>
      <w:bookmarkStart w:id="113" w:name="_Toc84356234"/>
      <w:r>
        <w:rPr>
          <w:rFonts w:hint="eastAsia" w:asciiTheme="minorEastAsia" w:hAnsiTheme="minorEastAsia" w:eastAsiaTheme="minorEastAsia"/>
          <w:b/>
          <w:bCs/>
          <w:color w:val="auto"/>
          <w:sz w:val="24"/>
          <w:szCs w:val="24"/>
          <w:highlight w:val="none"/>
        </w:rPr>
        <w:t>六、</w:t>
      </w:r>
      <w:bookmarkEnd w:id="97"/>
      <w:bookmarkEnd w:id="98"/>
      <w:bookmarkEnd w:id="99"/>
      <w:bookmarkEnd w:id="100"/>
      <w:bookmarkEnd w:id="101"/>
      <w:bookmarkEnd w:id="102"/>
      <w:r>
        <w:rPr>
          <w:rFonts w:hint="eastAsia" w:asciiTheme="minorEastAsia" w:hAnsiTheme="minorEastAsia" w:eastAsiaTheme="minorEastAsia"/>
          <w:b/>
          <w:bCs/>
          <w:color w:val="auto"/>
          <w:sz w:val="24"/>
          <w:szCs w:val="24"/>
          <w:highlight w:val="none"/>
        </w:rPr>
        <w:t>公告期限</w:t>
      </w:r>
      <w:bookmarkEnd w:id="103"/>
      <w:bookmarkEnd w:id="104"/>
      <w:bookmarkEnd w:id="105"/>
      <w:bookmarkEnd w:id="106"/>
      <w:bookmarkEnd w:id="107"/>
      <w:bookmarkEnd w:id="108"/>
      <w:bookmarkEnd w:id="109"/>
      <w:bookmarkEnd w:id="110"/>
      <w:bookmarkEnd w:id="111"/>
      <w:bookmarkEnd w:id="112"/>
      <w:bookmarkEnd w:id="113"/>
    </w:p>
    <w:p w14:paraId="568589D5">
      <w:pPr>
        <w:spacing w:line="360" w:lineRule="auto"/>
        <w:ind w:firstLine="420" w:firstLineChars="200"/>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自本公告发布之日起3个工作日。</w:t>
      </w:r>
    </w:p>
    <w:p w14:paraId="5C059980">
      <w:pPr>
        <w:spacing w:line="360" w:lineRule="auto"/>
        <w:outlineLvl w:val="1"/>
        <w:rPr>
          <w:rFonts w:hint="eastAsia" w:asciiTheme="minorEastAsia" w:hAnsiTheme="minorEastAsia" w:eastAsiaTheme="minorEastAsia"/>
          <w:b/>
          <w:bCs/>
          <w:color w:val="auto"/>
          <w:sz w:val="24"/>
          <w:szCs w:val="24"/>
          <w:highlight w:val="none"/>
        </w:rPr>
      </w:pPr>
      <w:bookmarkStart w:id="114" w:name="_Toc13858"/>
      <w:bookmarkStart w:id="115" w:name="_Toc35393804"/>
      <w:bookmarkStart w:id="116" w:name="_Toc87538352"/>
      <w:bookmarkStart w:id="117" w:name="_Toc84356235"/>
      <w:bookmarkStart w:id="118" w:name="_Toc98864994"/>
      <w:bookmarkStart w:id="119" w:name="_Toc98033917"/>
      <w:bookmarkStart w:id="120" w:name="_Toc153670628"/>
      <w:bookmarkStart w:id="121" w:name="_Toc109809295"/>
      <w:bookmarkStart w:id="122" w:name="_Toc45791331"/>
      <w:bookmarkStart w:id="123" w:name="_Toc53412199"/>
      <w:bookmarkStart w:id="124" w:name="_Toc69678412"/>
      <w:bookmarkStart w:id="125" w:name="_Toc45976878"/>
      <w:bookmarkStart w:id="126" w:name="_Toc87543801"/>
      <w:bookmarkStart w:id="127" w:name="_Toc83753875"/>
      <w:bookmarkStart w:id="128" w:name="_Toc35393635"/>
      <w:r>
        <w:rPr>
          <w:rFonts w:hint="eastAsia" w:asciiTheme="minorEastAsia" w:hAnsiTheme="minorEastAsia" w:eastAsiaTheme="minorEastAsia"/>
          <w:b/>
          <w:bCs/>
          <w:color w:val="auto"/>
          <w:sz w:val="24"/>
          <w:szCs w:val="24"/>
          <w:highlight w:val="none"/>
        </w:rPr>
        <w:t>七、其他补充事宜</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DDEBDA2">
      <w:pPr>
        <w:pStyle w:val="52"/>
        <w:spacing w:line="360" w:lineRule="auto"/>
        <w:ind w:firstLine="405" w:firstLineChars="19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开标方式：网上开标</w:t>
      </w:r>
    </w:p>
    <w:p w14:paraId="2C4C273A">
      <w:pPr>
        <w:pStyle w:val="52"/>
        <w:spacing w:line="360" w:lineRule="auto"/>
        <w:ind w:firstLine="405" w:firstLineChars="19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是否需要缴纳投标保证金：否</w:t>
      </w:r>
    </w:p>
    <w:p w14:paraId="00899864">
      <w:pPr>
        <w:pStyle w:val="5"/>
        <w:spacing w:line="360" w:lineRule="auto"/>
        <w:ind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w:t>
      </w:r>
    </w:p>
    <w:p w14:paraId="6A71F4B2">
      <w:pPr>
        <w:pStyle w:val="5"/>
        <w:spacing w:line="360" w:lineRule="auto"/>
        <w:ind w:firstLineChars="200"/>
        <w:rPr>
          <w:rFonts w:hint="eastAsia" w:ascii="宋体" w:hAnsi="宋体"/>
          <w:color w:val="auto"/>
          <w:szCs w:val="21"/>
          <w:highlight w:val="none"/>
        </w:rPr>
      </w:pPr>
      <w:r>
        <w:rPr>
          <w:rFonts w:hint="eastAsia" w:ascii="宋体" w:hAnsi="宋体"/>
          <w:color w:val="auto"/>
          <w:szCs w:val="21"/>
          <w:highlight w:val="none"/>
        </w:rPr>
        <w:t>1.资金来源：</w:t>
      </w:r>
      <w:r>
        <w:rPr>
          <w:rFonts w:hint="eastAsia"/>
          <w:color w:val="auto"/>
          <w:highlight w:val="none"/>
        </w:rPr>
        <w:t>财政性资金</w:t>
      </w:r>
      <w:r>
        <w:rPr>
          <w:rFonts w:hint="eastAsia" w:ascii="宋体" w:hAnsi="宋体"/>
          <w:color w:val="auto"/>
          <w:szCs w:val="21"/>
          <w:highlight w:val="none"/>
        </w:rPr>
        <w:t>；资金落实情况：已落实。</w:t>
      </w:r>
    </w:p>
    <w:p w14:paraId="72C3E3A3">
      <w:pPr>
        <w:pStyle w:val="5"/>
        <w:spacing w:line="360" w:lineRule="auto"/>
        <w:rPr>
          <w:rFonts w:hint="eastAsia" w:ascii="宋体" w:hAnsi="宋体"/>
          <w:color w:val="auto"/>
          <w:szCs w:val="21"/>
          <w:highlight w:val="none"/>
        </w:rPr>
      </w:pPr>
      <w:r>
        <w:rPr>
          <w:rFonts w:hint="eastAsia" w:ascii="宋体" w:hAnsi="宋体"/>
          <w:color w:val="auto"/>
          <w:szCs w:val="21"/>
          <w:highlight w:val="none"/>
        </w:rPr>
        <w:t>2.服务地点：</w:t>
      </w:r>
      <w:r>
        <w:rPr>
          <w:rFonts w:hint="eastAsia" w:ascii="宋体" w:hAnsi="宋体"/>
          <w:color w:val="auto"/>
          <w:szCs w:val="21"/>
          <w:highlight w:val="none"/>
          <w:lang w:val="en-US" w:eastAsia="zh-CN"/>
        </w:rPr>
        <w:t>宜良县中医医院</w:t>
      </w:r>
      <w:r>
        <w:rPr>
          <w:rFonts w:hint="eastAsia" w:ascii="宋体" w:hAnsi="宋体"/>
          <w:color w:val="auto"/>
          <w:szCs w:val="21"/>
          <w:highlight w:val="none"/>
        </w:rPr>
        <w:t>。</w:t>
      </w:r>
    </w:p>
    <w:p w14:paraId="1B1727C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3.质量要求：符合国家、省、市以及行业的相关要求，并且满足采购人的需求。</w:t>
      </w:r>
    </w:p>
    <w:p w14:paraId="625D3B3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4.包件划分：本项目不划分包件。</w:t>
      </w:r>
    </w:p>
    <w:p w14:paraId="1B51CA1A">
      <w:pPr>
        <w:wordWrap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5.信誉要求：供应商未被中国执行信息公开网（网址：</w:t>
      </w:r>
      <w:r>
        <w:rPr>
          <w:rFonts w:ascii="宋体" w:hAnsi="宋体"/>
          <w:color w:val="auto"/>
          <w:szCs w:val="21"/>
          <w:highlight w:val="none"/>
        </w:rPr>
        <w:t>http://zxgk.court.gov.cn/shixin/</w:t>
      </w:r>
      <w:r>
        <w:rPr>
          <w:rFonts w:hint="eastAsia" w:ascii="宋体" w:hAnsi="宋体"/>
          <w:color w:val="auto"/>
          <w:szCs w:val="21"/>
          <w:highlight w:val="none"/>
        </w:rPr>
        <w:t>）列入“失信被执行人”；未被信用中国（网址：</w:t>
      </w:r>
      <w:r>
        <w:rPr>
          <w:rFonts w:ascii="宋体" w:hAnsi="宋体"/>
          <w:color w:val="auto"/>
          <w:szCs w:val="21"/>
          <w:highlight w:val="none"/>
        </w:rPr>
        <w:t>https://www.creditchina.gov.cn/</w:t>
      </w:r>
      <w:r>
        <w:rPr>
          <w:rFonts w:hint="eastAsia" w:ascii="宋体" w:hAnsi="宋体"/>
          <w:color w:val="auto"/>
          <w:szCs w:val="21"/>
          <w:highlight w:val="none"/>
        </w:rPr>
        <w:t>）列入“重大税收违法案件当事人名单”以及“政府采购严重违法失信行为记录名单”；未被中国政府采购网（网址：</w:t>
      </w:r>
      <w:r>
        <w:rPr>
          <w:rFonts w:ascii="宋体" w:hAnsi="宋体"/>
          <w:color w:val="auto"/>
          <w:szCs w:val="21"/>
          <w:highlight w:val="none"/>
        </w:rPr>
        <w:t>http://www.ccgp.gov.cn/</w:t>
      </w:r>
      <w:r>
        <w:rPr>
          <w:rFonts w:hint="eastAsia" w:ascii="宋体" w:hAnsi="宋体"/>
          <w:color w:val="auto"/>
          <w:szCs w:val="21"/>
          <w:highlight w:val="none"/>
        </w:rPr>
        <w:t>）列为“政府采购严重违法失信行为信息记录”（评审前由采购人或采购中心在相关网站进行查询，并留存网站查询截图，供谈判小组备查）。</w:t>
      </w:r>
    </w:p>
    <w:p w14:paraId="5FEEC940">
      <w:pPr>
        <w:wordWrap w:val="0"/>
        <w:spacing w:line="360" w:lineRule="auto"/>
        <w:ind w:firstLine="420" w:firstLineChars="200"/>
        <w:rPr>
          <w:rFonts w:hint="eastAsia" w:asciiTheme="minorEastAsia" w:hAnsiTheme="minorEastAsia" w:eastAsiaTheme="minorEastAsia"/>
          <w:color w:val="auto"/>
          <w:szCs w:val="21"/>
          <w:highlight w:val="none"/>
        </w:rPr>
      </w:pPr>
      <w:r>
        <w:rPr>
          <w:rFonts w:hint="eastAsia" w:ascii="宋体" w:hAnsi="宋体" w:eastAsiaTheme="minorEastAsia"/>
          <w:color w:val="auto"/>
          <w:szCs w:val="21"/>
          <w:highlight w:val="none"/>
        </w:rPr>
        <w:t>6.</w:t>
      </w:r>
      <w:r>
        <w:rPr>
          <w:rFonts w:hint="eastAsia" w:asciiTheme="minorEastAsia" w:hAnsiTheme="minorEastAsia" w:eastAsiaTheme="minorEastAsia"/>
          <w:color w:val="auto"/>
          <w:szCs w:val="21"/>
          <w:highlight w:val="none"/>
        </w:rPr>
        <w:t>公告发布媒介：本次竞争性谈判公告在云南省政府采购网（网址：</w:t>
      </w:r>
      <w:r>
        <w:rPr>
          <w:color w:val="auto"/>
          <w:highlight w:val="none"/>
        </w:rPr>
        <w:fldChar w:fldCharType="begin"/>
      </w:r>
      <w:r>
        <w:rPr>
          <w:color w:val="auto"/>
          <w:highlight w:val="none"/>
        </w:rPr>
        <w:instrText xml:space="preserve"> HYPERLINK "http://www.yngp.com/" </w:instrText>
      </w:r>
      <w:r>
        <w:rPr>
          <w:color w:val="auto"/>
          <w:highlight w:val="none"/>
        </w:rPr>
        <w:fldChar w:fldCharType="separate"/>
      </w:r>
      <w:r>
        <w:rPr>
          <w:rStyle w:val="60"/>
          <w:rFonts w:hint="eastAsia" w:asciiTheme="minorEastAsia" w:hAnsiTheme="minorEastAsia" w:eastAsiaTheme="minorEastAsia"/>
          <w:color w:val="auto"/>
          <w:szCs w:val="21"/>
          <w:highlight w:val="none"/>
          <w:u w:val="none"/>
        </w:rPr>
        <w:t>http://www.yngp.com/</w:t>
      </w:r>
      <w:r>
        <w:rPr>
          <w:rStyle w:val="60"/>
          <w:rFonts w:hint="eastAsia" w:asciiTheme="minorEastAsia" w:hAnsiTheme="minorEastAsia" w:eastAsiaTheme="minorEastAsia"/>
          <w:color w:val="auto"/>
          <w:szCs w:val="21"/>
          <w:highlight w:val="none"/>
          <w:u w:val="none"/>
        </w:rPr>
        <w:fldChar w:fldCharType="end"/>
      </w:r>
      <w:r>
        <w:rPr>
          <w:rFonts w:hint="eastAsia" w:asciiTheme="minorEastAsia" w:hAnsiTheme="minorEastAsia" w:eastAsiaTheme="minorEastAsia"/>
          <w:color w:val="auto"/>
          <w:szCs w:val="21"/>
          <w:highlight w:val="none"/>
        </w:rPr>
        <w:t>）上发布，公告内容和时间以云南省政府采购网发布的信息为准。</w:t>
      </w:r>
    </w:p>
    <w:p w14:paraId="2BC3094F">
      <w:pPr>
        <w:wordWrap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采购项目需要落实的政府采购政策：《政府采购促进中小企业发展管理办法》（财库〔2020〕46号）、《关于进一步加大政府采购支持中小企业力度的通知》（财库〔2022〕19号）、《财政部民政部中国残疾人联合会关于促进残疾人就业政府采购政策的通知》（财库〔2017〕141号）、《关于政府采购支持监狱企业发展有关问题的通知》(财库〔2014〕68号)。</w:t>
      </w:r>
      <w:r>
        <w:rPr>
          <w:rFonts w:hint="eastAsia" w:ascii="宋体" w:hAnsi="宋体"/>
          <w:color w:val="auto"/>
          <w:szCs w:val="21"/>
          <w:highlight w:val="none"/>
        </w:rPr>
        <w:t xml:space="preserve"> </w:t>
      </w:r>
    </w:p>
    <w:p w14:paraId="6AF890A3">
      <w:pPr>
        <w:widowControl/>
        <w:wordWrap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宋体" w:hAnsi="宋体" w:eastAsiaTheme="minorEastAsia"/>
          <w:color w:val="auto"/>
          <w:highlight w:val="none"/>
        </w:rPr>
        <w:t>8.</w:t>
      </w:r>
      <w:r>
        <w:rPr>
          <w:rFonts w:hint="eastAsia" w:asciiTheme="minorEastAsia" w:hAnsiTheme="minorEastAsia" w:eastAsiaTheme="minorEastAsia"/>
          <w:color w:val="auto"/>
          <w:szCs w:val="21"/>
          <w:highlight w:val="none"/>
        </w:rPr>
        <w:t>响应文件的提交方式：本项目为全流程电子化项目。凡有意参与谈判者，请自行前往政府采购云平台“客户端&amp;驱动下载”网页（网址：</w:t>
      </w:r>
      <w:r>
        <w:rPr>
          <w:rFonts w:asciiTheme="minorEastAsia" w:hAnsiTheme="minorEastAsia" w:eastAsiaTheme="minorEastAsia"/>
          <w:color w:val="auto"/>
          <w:szCs w:val="21"/>
          <w:highlight w:val="none"/>
        </w:rPr>
        <w:t>https://customer.zcygov.cn/CA-driver-download?utm=web-ca-front.3ddc8fbb.0.0.91c6cff0db1311ec8cfbc9f613d30204</w:t>
      </w:r>
      <w:r>
        <w:rPr>
          <w:rFonts w:hint="eastAsia" w:asciiTheme="minorEastAsia" w:hAnsiTheme="minorEastAsia" w:eastAsiaTheme="minorEastAsia"/>
          <w:color w:val="auto"/>
          <w:szCs w:val="21"/>
          <w:highlight w:val="none"/>
        </w:rPr>
        <w:t>）下载并安装“政采云投标客户端”。供应商按照采购文件和政府采购云平台（网址：https://www.zcygov.cn/）的要求编制、加密电子响应文件，响应文件在提交截止时间前未完成上传的，视为撤回响应文件。供应商在政府采购云平台提交电子版响应文件时，请填写参与远程开标活动经办人的联系方式。</w:t>
      </w:r>
    </w:p>
    <w:p w14:paraId="73914BE7">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9.响应文件的解密方式：在线解密。供应商须提前在自有场地配置有音视频通话（带摄像头及话筒的电脑）功能的相应设备及稳定网络的环境下，并按政府采购云平台开标大厅中的提示完成响应文件的解密</w:t>
      </w:r>
      <w:r>
        <w:rPr>
          <w:rFonts w:hint="eastAsia" w:cs="宋体" w:asciiTheme="minorEastAsia" w:hAnsiTheme="minorEastAsia" w:eastAsiaTheme="minorEastAsia"/>
          <w:color w:val="auto"/>
          <w:kern w:val="0"/>
          <w:szCs w:val="21"/>
          <w:highlight w:val="none"/>
        </w:rPr>
        <w:t>。</w:t>
      </w:r>
    </w:p>
    <w:p w14:paraId="2819C36C">
      <w:pPr>
        <w:spacing w:line="360" w:lineRule="auto"/>
        <w:outlineLvl w:val="1"/>
        <w:rPr>
          <w:rFonts w:hint="eastAsia" w:asciiTheme="minorEastAsia" w:hAnsiTheme="minorEastAsia" w:eastAsiaTheme="minorEastAsia"/>
          <w:b/>
          <w:bCs/>
          <w:color w:val="auto"/>
          <w:sz w:val="24"/>
          <w:szCs w:val="24"/>
          <w:highlight w:val="none"/>
        </w:rPr>
      </w:pPr>
      <w:bookmarkStart w:id="129" w:name="_Toc69678413"/>
      <w:bookmarkStart w:id="130" w:name="_Toc83753876"/>
      <w:bookmarkStart w:id="131" w:name="_Toc45791335"/>
      <w:bookmarkStart w:id="132" w:name="_Toc84356236"/>
      <w:bookmarkStart w:id="133" w:name="_Toc17855"/>
      <w:bookmarkStart w:id="134" w:name="_Toc98033918"/>
      <w:bookmarkStart w:id="135" w:name="_Toc109809296"/>
      <w:bookmarkStart w:id="136" w:name="_Toc35393805"/>
      <w:bookmarkStart w:id="137" w:name="_Toc35393636"/>
      <w:bookmarkStart w:id="138" w:name="_Toc87538353"/>
      <w:bookmarkStart w:id="139" w:name="_Toc153670629"/>
      <w:bookmarkStart w:id="140" w:name="_Toc98864995"/>
      <w:bookmarkStart w:id="141" w:name="_Toc28359018"/>
      <w:bookmarkStart w:id="142" w:name="_Toc28359095"/>
      <w:bookmarkStart w:id="143" w:name="_Toc87543802"/>
      <w:bookmarkStart w:id="144" w:name="_Toc53412200"/>
      <w:bookmarkStart w:id="145" w:name="_Toc45976881"/>
      <w:r>
        <w:rPr>
          <w:rFonts w:hint="eastAsia" w:asciiTheme="minorEastAsia" w:hAnsiTheme="minorEastAsia" w:eastAsiaTheme="minorEastAsia"/>
          <w:b/>
          <w:bCs/>
          <w:color w:val="auto"/>
          <w:sz w:val="24"/>
          <w:szCs w:val="24"/>
          <w:highlight w:val="none"/>
        </w:rPr>
        <w:t>八、凡对本次采购提出询问，请按</w:t>
      </w:r>
      <w:r>
        <w:rPr>
          <w:rFonts w:asciiTheme="minorEastAsia" w:hAnsiTheme="minorEastAsia" w:eastAsiaTheme="minorEastAsia"/>
          <w:b/>
          <w:bCs/>
          <w:color w:val="auto"/>
          <w:sz w:val="24"/>
          <w:szCs w:val="24"/>
          <w:highlight w:val="none"/>
        </w:rPr>
        <w:t>以下方式</w:t>
      </w:r>
      <w:r>
        <w:rPr>
          <w:rFonts w:hint="eastAsia" w:asciiTheme="minorEastAsia" w:hAnsiTheme="minorEastAsia" w:eastAsiaTheme="minorEastAsia"/>
          <w:b/>
          <w:bCs/>
          <w:color w:val="auto"/>
          <w:sz w:val="24"/>
          <w:szCs w:val="24"/>
          <w:highlight w:val="none"/>
        </w:rPr>
        <w:t>联系</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bookmarkEnd w:id="2"/>
    <w:bookmarkEnd w:id="6"/>
    <w:bookmarkEnd w:id="8"/>
    <w:p w14:paraId="5D843F4F">
      <w:pPr>
        <w:spacing w:line="360" w:lineRule="auto"/>
        <w:ind w:firstLine="420" w:firstLineChars="200"/>
        <w:rPr>
          <w:rFonts w:hint="eastAsia" w:asciiTheme="minorEastAsia" w:hAnsiTheme="minorEastAsia" w:eastAsiaTheme="minorEastAsia"/>
          <w:color w:val="auto"/>
          <w:szCs w:val="21"/>
          <w:highlight w:val="none"/>
        </w:rPr>
      </w:pPr>
      <w:bookmarkStart w:id="146" w:name="_Toc37603101"/>
      <w:bookmarkStart w:id="147" w:name="_Toc42204978"/>
      <w:r>
        <w:rPr>
          <w:rFonts w:hint="eastAsia" w:asciiTheme="minorEastAsia" w:hAnsiTheme="minorEastAsia" w:eastAsiaTheme="minorEastAsia"/>
          <w:color w:val="auto"/>
          <w:szCs w:val="21"/>
          <w:highlight w:val="none"/>
        </w:rPr>
        <w:t>1.采购人信息</w:t>
      </w:r>
    </w:p>
    <w:p w14:paraId="357D9FD4">
      <w:pPr>
        <w:spacing w:line="360" w:lineRule="auto"/>
        <w:ind w:firstLine="420" w:firstLineChars="200"/>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名    称：</w:t>
      </w:r>
      <w:r>
        <w:rPr>
          <w:rFonts w:hint="eastAsia" w:asciiTheme="minorEastAsia" w:hAnsiTheme="minorEastAsia" w:eastAsiaTheme="minorEastAsia"/>
          <w:color w:val="auto"/>
          <w:szCs w:val="21"/>
          <w:highlight w:val="none"/>
          <w:lang w:eastAsia="zh-CN"/>
        </w:rPr>
        <w:t>宜良县中医医院</w:t>
      </w:r>
    </w:p>
    <w:p w14:paraId="2F695199">
      <w:pPr>
        <w:spacing w:line="360" w:lineRule="auto"/>
        <w:ind w:firstLine="420" w:firstLineChars="20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地    址：</w:t>
      </w:r>
      <w:r>
        <w:rPr>
          <w:rFonts w:hint="eastAsia" w:asciiTheme="minorEastAsia" w:hAnsiTheme="minorEastAsia" w:eastAsiaTheme="minorEastAsia"/>
          <w:color w:val="auto"/>
          <w:szCs w:val="21"/>
          <w:highlight w:val="none"/>
          <w:lang w:eastAsia="zh-CN"/>
        </w:rPr>
        <w:t>宜良县振兴街</w:t>
      </w:r>
      <w:r>
        <w:rPr>
          <w:rFonts w:hint="eastAsia" w:asciiTheme="minorEastAsia" w:hAnsiTheme="minorEastAsia" w:eastAsiaTheme="minorEastAsia"/>
          <w:color w:val="auto"/>
          <w:szCs w:val="21"/>
          <w:highlight w:val="none"/>
          <w:lang w:val="en-US" w:eastAsia="zh-CN"/>
        </w:rPr>
        <w:t>37号</w:t>
      </w:r>
    </w:p>
    <w:p w14:paraId="4E837D43">
      <w:pPr>
        <w:spacing w:line="360" w:lineRule="auto"/>
        <w:ind w:firstLine="420" w:firstLineChars="200"/>
        <w:rPr>
          <w:rFonts w:hint="eastAsia" w:ascii="宋体" w:hAnsi="宋体" w:cs="宋体"/>
          <w:color w:val="auto"/>
          <w:kern w:val="0"/>
          <w:lang w:eastAsia="zh-CN"/>
        </w:rPr>
      </w:pPr>
      <w:r>
        <w:rPr>
          <w:rFonts w:hint="eastAsia" w:ascii="宋体" w:hAnsi="宋体" w:eastAsia="宋体" w:cs="宋体"/>
          <w:color w:val="auto"/>
          <w:kern w:val="0"/>
        </w:rPr>
        <w:t>联系人：</w:t>
      </w:r>
      <w:r>
        <w:rPr>
          <w:rFonts w:hint="eastAsia" w:ascii="宋体" w:hAnsi="宋体" w:cs="宋体"/>
          <w:color w:val="auto"/>
          <w:kern w:val="0"/>
          <w:lang w:eastAsia="zh-CN"/>
        </w:rPr>
        <w:t>袁师</w:t>
      </w:r>
    </w:p>
    <w:p w14:paraId="766C1C4B">
      <w:pPr>
        <w:spacing w:line="360" w:lineRule="auto"/>
        <w:ind w:firstLine="420" w:firstLineChars="200"/>
        <w:rPr>
          <w:rFonts w:hint="default" w:asciiTheme="minorEastAsia" w:hAnsiTheme="minorEastAsia" w:eastAsiaTheme="minorEastAsia"/>
          <w:color w:val="auto"/>
          <w:szCs w:val="21"/>
          <w:highlight w:val="none"/>
          <w:lang w:val="en-US" w:eastAsia="zh-CN"/>
        </w:rPr>
      </w:pPr>
      <w:r>
        <w:rPr>
          <w:rFonts w:hint="eastAsia" w:ascii="宋体" w:hAnsi="宋体" w:eastAsia="宋体" w:cs="宋体"/>
          <w:color w:val="auto"/>
          <w:kern w:val="0"/>
        </w:rPr>
        <w:t>电话：</w:t>
      </w: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val="en-US" w:eastAsia="zh-CN"/>
        </w:rPr>
        <w:t>0871-67538719</w:t>
      </w:r>
    </w:p>
    <w:p w14:paraId="2C864E8D">
      <w:pPr>
        <w:spacing w:line="360" w:lineRule="auto"/>
        <w:ind w:firstLine="420" w:firstLineChars="200"/>
        <w:rPr>
          <w:rFonts w:hint="eastAsia" w:asciiTheme="minorEastAsia" w:hAnsiTheme="minorEastAsia" w:eastAsiaTheme="minorEastAsia"/>
          <w:color w:val="auto"/>
          <w:szCs w:val="21"/>
          <w:highlight w:val="none"/>
        </w:rPr>
      </w:pPr>
    </w:p>
    <w:p w14:paraId="378040E1">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hint="eastAsia" w:ascii="宋体" w:hAnsi="宋体" w:eastAsia="宋体" w:cs="宋体"/>
          <w:color w:val="auto"/>
          <w:kern w:val="0"/>
        </w:rPr>
        <w:t>集中采购机构</w:t>
      </w:r>
      <w:r>
        <w:rPr>
          <w:rFonts w:hint="eastAsia" w:asciiTheme="minorEastAsia" w:hAnsiTheme="minorEastAsia" w:eastAsiaTheme="minorEastAsia"/>
          <w:color w:val="auto"/>
          <w:szCs w:val="21"/>
          <w:highlight w:val="none"/>
        </w:rPr>
        <w:t>信息</w:t>
      </w:r>
    </w:p>
    <w:p w14:paraId="4E45C06B">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    称：</w:t>
      </w:r>
      <w:r>
        <w:rPr>
          <w:rFonts w:hint="eastAsia" w:ascii="宋体" w:hAnsi="宋体" w:eastAsia="宋体" w:cs="宋体"/>
          <w:color w:val="auto"/>
          <w:kern w:val="0"/>
          <w:sz w:val="21"/>
          <w:szCs w:val="21"/>
          <w:lang w:eastAsia="zh-CN"/>
        </w:rPr>
        <w:t>宜良县政府集中采购中心</w:t>
      </w:r>
    </w:p>
    <w:p w14:paraId="64F3AA0D">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　　址：</w:t>
      </w:r>
      <w:r>
        <w:rPr>
          <w:rFonts w:hint="eastAsia" w:ascii="宋体" w:hAnsi="宋体" w:eastAsia="宋体" w:cs="宋体"/>
          <w:color w:val="auto"/>
          <w:kern w:val="0"/>
          <w:lang w:eastAsia="zh-CN"/>
        </w:rPr>
        <w:t>宜良县匡远街道温泉路</w:t>
      </w:r>
      <w:r>
        <w:rPr>
          <w:rFonts w:hint="eastAsia" w:ascii="宋体" w:hAnsi="宋体" w:eastAsia="宋体" w:cs="宋体"/>
          <w:color w:val="auto"/>
          <w:kern w:val="0"/>
          <w:lang w:val="en-US" w:eastAsia="zh-CN"/>
        </w:rPr>
        <w:t>10号公务楼7楼</w:t>
      </w:r>
    </w:p>
    <w:p w14:paraId="660D37B3">
      <w:pPr>
        <w:spacing w:line="360" w:lineRule="auto"/>
        <w:ind w:firstLine="420" w:firstLineChars="200"/>
        <w:rPr>
          <w:rFonts w:hint="eastAsia" w:ascii="宋体" w:hAnsi="宋体" w:eastAsia="宋体" w:cs="宋体"/>
          <w:color w:val="auto"/>
          <w:kern w:val="0"/>
          <w:lang w:val="en-US" w:eastAsia="zh-CN"/>
        </w:rPr>
      </w:pPr>
      <w:r>
        <w:rPr>
          <w:rFonts w:hint="eastAsia" w:ascii="宋体" w:hAnsi="宋体" w:eastAsia="宋体" w:cs="宋体"/>
          <w:color w:val="auto"/>
          <w:kern w:val="0"/>
        </w:rPr>
        <w:t>联系人：</w:t>
      </w:r>
      <w:r>
        <w:rPr>
          <w:rFonts w:hint="eastAsia" w:ascii="宋体" w:hAnsi="宋体" w:eastAsia="宋体" w:cs="宋体"/>
          <w:color w:val="auto"/>
          <w:kern w:val="0"/>
          <w:lang w:val="en-US" w:eastAsia="zh-CN"/>
        </w:rPr>
        <w:t>李老师</w:t>
      </w:r>
    </w:p>
    <w:p w14:paraId="72CFA51D">
      <w:pPr>
        <w:spacing w:line="360" w:lineRule="auto"/>
        <w:ind w:firstLine="420" w:firstLineChars="200"/>
        <w:rPr>
          <w:rFonts w:hint="eastAsia" w:asciiTheme="minorEastAsia" w:hAnsiTheme="minorEastAsia" w:eastAsiaTheme="minorEastAsia"/>
          <w:color w:val="auto"/>
          <w:szCs w:val="21"/>
          <w:highlight w:val="none"/>
        </w:rPr>
      </w:pPr>
      <w:r>
        <w:rPr>
          <w:rFonts w:hint="eastAsia" w:ascii="宋体" w:hAnsi="宋体" w:eastAsia="宋体" w:cs="宋体"/>
          <w:color w:val="auto"/>
          <w:kern w:val="0"/>
        </w:rPr>
        <w:t>电话：0871-64982947</w:t>
      </w:r>
      <w:r>
        <w:rPr>
          <w:rFonts w:hint="eastAsia" w:asciiTheme="minorEastAsia" w:hAnsiTheme="minorEastAsia" w:eastAsiaTheme="minorEastAsia"/>
          <w:color w:val="auto"/>
          <w:szCs w:val="21"/>
          <w:highlight w:val="none"/>
        </w:rPr>
        <w:t xml:space="preserve"> </w:t>
      </w:r>
    </w:p>
    <w:p w14:paraId="22FE350F">
      <w:pPr>
        <w:spacing w:line="360" w:lineRule="auto"/>
        <w:ind w:firstLine="420" w:firstLineChars="200"/>
        <w:rPr>
          <w:rFonts w:hint="eastAsia" w:asciiTheme="minorEastAsia" w:hAnsiTheme="minorEastAsia" w:eastAsiaTheme="minorEastAsia"/>
          <w:color w:val="auto"/>
          <w:szCs w:val="21"/>
          <w:highlight w:val="none"/>
        </w:rPr>
      </w:pPr>
    </w:p>
    <w:p w14:paraId="0D464D1B">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3.项目联系方式</w:t>
      </w:r>
    </w:p>
    <w:p w14:paraId="5D08B151">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项目联系人：李老师</w:t>
      </w:r>
    </w:p>
    <w:p w14:paraId="7B12E362">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　  话：</w:t>
      </w:r>
      <w:bookmarkEnd w:id="9"/>
      <w:r>
        <w:rPr>
          <w:rFonts w:hint="eastAsia" w:ascii="宋体" w:hAnsi="宋体" w:eastAsia="宋体" w:cs="宋体"/>
          <w:color w:val="auto"/>
          <w:kern w:val="0"/>
        </w:rPr>
        <w:t>0871-64982947</w:t>
      </w:r>
      <w:r>
        <w:rPr>
          <w:rFonts w:asciiTheme="minorEastAsia" w:hAnsiTheme="minorEastAsia" w:eastAsiaTheme="minorEastAsia"/>
          <w:color w:val="auto"/>
          <w:szCs w:val="21"/>
          <w:highlight w:val="none"/>
        </w:rPr>
        <w:br w:type="page"/>
      </w:r>
    </w:p>
    <w:p w14:paraId="1EAA211D">
      <w:pPr>
        <w:spacing w:line="360" w:lineRule="auto"/>
        <w:jc w:val="center"/>
        <w:outlineLvl w:val="0"/>
        <w:rPr>
          <w:rFonts w:hint="eastAsia" w:asciiTheme="minorEastAsia" w:hAnsiTheme="minorEastAsia" w:eastAsiaTheme="minorEastAsia"/>
          <w:b/>
          <w:bCs/>
          <w:color w:val="auto"/>
          <w:sz w:val="32"/>
          <w:szCs w:val="32"/>
          <w:highlight w:val="none"/>
        </w:rPr>
      </w:pPr>
      <w:bookmarkStart w:id="148" w:name="_Toc30207"/>
      <w:bookmarkStart w:id="149" w:name="_Toc153670630"/>
      <w:r>
        <w:rPr>
          <w:rFonts w:hint="eastAsia" w:asciiTheme="minorEastAsia" w:hAnsiTheme="minorEastAsia" w:eastAsiaTheme="minorEastAsia"/>
          <w:b/>
          <w:bCs/>
          <w:color w:val="auto"/>
          <w:sz w:val="32"/>
          <w:szCs w:val="32"/>
          <w:highlight w:val="none"/>
        </w:rPr>
        <w:t>第二章 供应商须知</w:t>
      </w:r>
      <w:bookmarkEnd w:id="146"/>
      <w:bookmarkEnd w:id="147"/>
      <w:bookmarkEnd w:id="148"/>
      <w:bookmarkEnd w:id="149"/>
    </w:p>
    <w:p w14:paraId="7FC50868">
      <w:pPr>
        <w:pStyle w:val="4"/>
        <w:spacing w:line="360" w:lineRule="auto"/>
        <w:rPr>
          <w:rFonts w:hint="eastAsia" w:asciiTheme="minorEastAsia" w:hAnsiTheme="minorEastAsia" w:eastAsiaTheme="minorEastAsia"/>
          <w:color w:val="auto"/>
          <w:szCs w:val="28"/>
          <w:highlight w:val="none"/>
        </w:rPr>
      </w:pPr>
      <w:bookmarkStart w:id="150" w:name="_Toc12203"/>
      <w:bookmarkStart w:id="151" w:name="_Toc132362632"/>
      <w:bookmarkStart w:id="152" w:name="_Toc153670631"/>
      <w:r>
        <w:rPr>
          <w:rFonts w:hint="eastAsia" w:asciiTheme="minorEastAsia" w:hAnsiTheme="minorEastAsia" w:eastAsiaTheme="minorEastAsia"/>
          <w:color w:val="auto"/>
          <w:szCs w:val="28"/>
          <w:highlight w:val="none"/>
        </w:rPr>
        <w:t>一、供应商须知前附表</w:t>
      </w:r>
      <w:bookmarkEnd w:id="150"/>
      <w:bookmarkEnd w:id="151"/>
      <w:bookmarkEnd w:id="152"/>
    </w:p>
    <w:tbl>
      <w:tblPr>
        <w:tblStyle w:val="53"/>
        <w:tblW w:w="4998" w:type="pct"/>
        <w:jc w:val="center"/>
        <w:tblLayout w:type="autofit"/>
        <w:tblCellMar>
          <w:top w:w="0" w:type="dxa"/>
          <w:left w:w="0" w:type="dxa"/>
          <w:bottom w:w="0" w:type="dxa"/>
          <w:right w:w="0" w:type="dxa"/>
        </w:tblCellMar>
      </w:tblPr>
      <w:tblGrid>
        <w:gridCol w:w="842"/>
        <w:gridCol w:w="1856"/>
        <w:gridCol w:w="6266"/>
      </w:tblGrid>
      <w:tr w14:paraId="4836F820">
        <w:trPr>
          <w:trHeight w:val="489"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44E08ACC">
            <w:pPr>
              <w:autoSpaceDE w:val="0"/>
              <w:autoSpaceDN w:val="0"/>
              <w:spacing w:before="60" w:after="60"/>
              <w:contextualSpacing/>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w:t>
            </w:r>
          </w:p>
        </w:tc>
        <w:tc>
          <w:tcPr>
            <w:tcW w:w="1035" w:type="pct"/>
            <w:tcBorders>
              <w:top w:val="single" w:color="auto" w:sz="4" w:space="0"/>
              <w:left w:val="single" w:color="auto" w:sz="4" w:space="0"/>
              <w:bottom w:val="single" w:color="auto" w:sz="4" w:space="0"/>
              <w:right w:val="single" w:color="auto" w:sz="4" w:space="0"/>
            </w:tcBorders>
            <w:vAlign w:val="center"/>
          </w:tcPr>
          <w:p w14:paraId="75398840">
            <w:pPr>
              <w:wordWrap w:val="0"/>
              <w:autoSpaceDE w:val="0"/>
              <w:autoSpaceDN w:val="0"/>
              <w:spacing w:before="60" w:after="60"/>
              <w:contextualSpacing/>
              <w:jc w:val="center"/>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条款名称</w:t>
            </w:r>
          </w:p>
        </w:tc>
        <w:tc>
          <w:tcPr>
            <w:tcW w:w="3494" w:type="pct"/>
            <w:tcBorders>
              <w:top w:val="single" w:color="auto" w:sz="4" w:space="0"/>
              <w:left w:val="single" w:color="auto" w:sz="4" w:space="0"/>
              <w:bottom w:val="single" w:color="auto" w:sz="4" w:space="0"/>
              <w:right w:val="single" w:color="auto" w:sz="4" w:space="0"/>
            </w:tcBorders>
            <w:vAlign w:val="center"/>
          </w:tcPr>
          <w:p w14:paraId="3B2CFEC7">
            <w:pPr>
              <w:wordWrap w:val="0"/>
              <w:autoSpaceDE w:val="0"/>
              <w:autoSpaceDN w:val="0"/>
              <w:spacing w:before="60" w:after="60"/>
              <w:ind w:left="-15" w:leftChars="-7" w:firstLine="15" w:firstLineChars="7"/>
              <w:contextualSpacing/>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编列内容</w:t>
            </w:r>
          </w:p>
        </w:tc>
      </w:tr>
      <w:tr w14:paraId="39B1696A">
        <w:tblPrEx>
          <w:tblCellMar>
            <w:top w:w="0" w:type="dxa"/>
            <w:left w:w="0" w:type="dxa"/>
            <w:bottom w:w="0" w:type="dxa"/>
            <w:right w:w="0" w:type="dxa"/>
          </w:tblCellMar>
        </w:tblPrEx>
        <w:trPr>
          <w:trHeight w:val="567"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7FD9C9AC">
            <w:pPr>
              <w:wordWrap w:val="0"/>
              <w:autoSpaceDE w:val="0"/>
              <w:autoSpaceDN w:val="0"/>
              <w:spacing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w:t>
            </w:r>
          </w:p>
        </w:tc>
        <w:tc>
          <w:tcPr>
            <w:tcW w:w="1035" w:type="pct"/>
            <w:tcBorders>
              <w:top w:val="single" w:color="auto" w:sz="4" w:space="0"/>
              <w:left w:val="single" w:color="auto" w:sz="4" w:space="0"/>
              <w:bottom w:val="single" w:color="auto" w:sz="4" w:space="0"/>
              <w:right w:val="single" w:color="auto" w:sz="4" w:space="0"/>
            </w:tcBorders>
            <w:vAlign w:val="center"/>
          </w:tcPr>
          <w:p w14:paraId="611ADAD2">
            <w:pPr>
              <w:wordWrap w:val="0"/>
              <w:autoSpaceDE w:val="0"/>
              <w:autoSpaceDN w:val="0"/>
              <w:spacing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w:t>
            </w:r>
          </w:p>
        </w:tc>
        <w:tc>
          <w:tcPr>
            <w:tcW w:w="3494" w:type="pct"/>
            <w:tcBorders>
              <w:top w:val="single" w:color="auto" w:sz="4" w:space="0"/>
              <w:left w:val="single" w:color="auto" w:sz="4" w:space="0"/>
              <w:bottom w:val="single" w:color="auto" w:sz="4" w:space="0"/>
              <w:right w:val="single" w:color="auto" w:sz="4" w:space="0"/>
            </w:tcBorders>
          </w:tcPr>
          <w:p w14:paraId="032A263B">
            <w:pPr>
              <w:spacing w:before="120" w:beforeLines="50" w:line="360" w:lineRule="auto"/>
              <w:ind w:left="105" w:leftChars="50"/>
              <w:rPr>
                <w:rFonts w:hint="default" w:cs="宋体"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采购人</w:t>
            </w:r>
            <w:r>
              <w:rPr>
                <w:rFonts w:hint="eastAsia" w:cs="宋体" w:asciiTheme="minorEastAsia" w:hAnsiTheme="minorEastAsia" w:eastAsiaTheme="minorEastAsia"/>
                <w:color w:val="auto"/>
                <w:szCs w:val="21"/>
                <w:highlight w:val="none"/>
              </w:rPr>
              <w:t>名称：</w:t>
            </w:r>
            <w:r>
              <w:rPr>
                <w:rFonts w:hint="eastAsia" w:cs="宋体" w:asciiTheme="minorEastAsia" w:hAnsiTheme="minorEastAsia" w:eastAsiaTheme="minorEastAsia"/>
                <w:color w:val="auto"/>
                <w:szCs w:val="21"/>
                <w:highlight w:val="none"/>
                <w:lang w:val="en-US" w:eastAsia="zh-CN"/>
              </w:rPr>
              <w:t>宜良县中医医院</w:t>
            </w:r>
          </w:p>
          <w:p w14:paraId="03096281">
            <w:pPr>
              <w:spacing w:line="360" w:lineRule="auto"/>
              <w:ind w:left="105" w:leftChars="50"/>
              <w:rPr>
                <w:rFonts w:hint="default" w:cs="宋体"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采购人</w:t>
            </w:r>
            <w:r>
              <w:rPr>
                <w:rFonts w:hint="eastAsia" w:cs="宋体" w:asciiTheme="minorEastAsia" w:hAnsiTheme="minorEastAsia" w:eastAsiaTheme="minorEastAsia"/>
                <w:color w:val="auto"/>
                <w:szCs w:val="21"/>
                <w:highlight w:val="none"/>
              </w:rPr>
              <w:t>地址：</w:t>
            </w:r>
            <w:r>
              <w:rPr>
                <w:rFonts w:hint="eastAsia" w:cs="宋体" w:asciiTheme="minorEastAsia" w:hAnsiTheme="minorEastAsia" w:eastAsiaTheme="minorEastAsia"/>
                <w:color w:val="auto"/>
                <w:szCs w:val="21"/>
                <w:highlight w:val="none"/>
                <w:lang w:eastAsia="zh-CN"/>
              </w:rPr>
              <w:t>宜良县振兴街</w:t>
            </w:r>
            <w:r>
              <w:rPr>
                <w:rFonts w:hint="eastAsia" w:cs="宋体" w:asciiTheme="minorEastAsia" w:hAnsiTheme="minorEastAsia" w:eastAsiaTheme="minorEastAsia"/>
                <w:color w:val="auto"/>
                <w:szCs w:val="21"/>
                <w:highlight w:val="none"/>
                <w:lang w:val="en-US" w:eastAsia="zh-CN"/>
              </w:rPr>
              <w:t>37号</w:t>
            </w:r>
          </w:p>
          <w:p w14:paraId="1A14A3C5">
            <w:pPr>
              <w:spacing w:line="360" w:lineRule="auto"/>
              <w:ind w:left="105" w:leftChars="50"/>
              <w:rPr>
                <w:rFonts w:hint="eastAsia" w:cs="宋体"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采购人</w:t>
            </w:r>
            <w:r>
              <w:rPr>
                <w:rFonts w:hint="eastAsia" w:cs="宋体" w:asciiTheme="minorEastAsia" w:hAnsiTheme="minorEastAsia" w:eastAsiaTheme="minorEastAsia"/>
                <w:color w:val="auto"/>
                <w:szCs w:val="21"/>
                <w:highlight w:val="none"/>
              </w:rPr>
              <w:t>联系人：</w:t>
            </w:r>
            <w:r>
              <w:rPr>
                <w:rFonts w:hint="eastAsia" w:cs="宋体" w:asciiTheme="minorEastAsia" w:hAnsiTheme="minorEastAsia" w:eastAsiaTheme="minorEastAsia"/>
                <w:color w:val="auto"/>
                <w:szCs w:val="21"/>
                <w:highlight w:val="none"/>
                <w:lang w:eastAsia="zh-CN"/>
              </w:rPr>
              <w:t>袁师</w:t>
            </w:r>
          </w:p>
          <w:p w14:paraId="3B5EAA20">
            <w:pPr>
              <w:spacing w:line="360" w:lineRule="auto"/>
              <w:ind w:left="105" w:leftChars="5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采购人</w:t>
            </w:r>
            <w:r>
              <w:rPr>
                <w:rFonts w:hint="eastAsia" w:cs="宋体" w:asciiTheme="minorEastAsia" w:hAnsiTheme="minorEastAsia" w:eastAsiaTheme="minorEastAsia"/>
                <w:color w:val="auto"/>
                <w:szCs w:val="21"/>
                <w:highlight w:val="none"/>
              </w:rPr>
              <w:t>联系电话：</w:t>
            </w:r>
            <w:r>
              <w:rPr>
                <w:rFonts w:hint="eastAsia" w:cs="宋体" w:asciiTheme="minorEastAsia" w:hAnsiTheme="minorEastAsia" w:eastAsiaTheme="minorEastAsia"/>
                <w:color w:val="auto"/>
                <w:szCs w:val="21"/>
                <w:highlight w:val="none"/>
                <w:lang w:val="en-US" w:eastAsia="zh-CN"/>
              </w:rPr>
              <w:t>0871-67538719</w:t>
            </w:r>
          </w:p>
        </w:tc>
      </w:tr>
      <w:tr w14:paraId="3E82F33E">
        <w:tblPrEx>
          <w:tblCellMar>
            <w:top w:w="0" w:type="dxa"/>
            <w:left w:w="0" w:type="dxa"/>
            <w:bottom w:w="0" w:type="dxa"/>
            <w:right w:w="0" w:type="dxa"/>
          </w:tblCellMar>
        </w:tblPrEx>
        <w:trPr>
          <w:trHeight w:val="567"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6625CE8A">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w:t>
            </w:r>
          </w:p>
        </w:tc>
        <w:tc>
          <w:tcPr>
            <w:tcW w:w="1035" w:type="pct"/>
            <w:tcBorders>
              <w:top w:val="single" w:color="auto" w:sz="4" w:space="0"/>
              <w:left w:val="single" w:color="auto" w:sz="4" w:space="0"/>
              <w:bottom w:val="single" w:color="auto" w:sz="4" w:space="0"/>
              <w:right w:val="single" w:color="auto" w:sz="4" w:space="0"/>
            </w:tcBorders>
            <w:vAlign w:val="center"/>
          </w:tcPr>
          <w:p w14:paraId="53716577">
            <w:pPr>
              <w:spacing w:before="120" w:beforeLines="50" w:line="360" w:lineRule="auto"/>
              <w:jc w:val="center"/>
              <w:rPr>
                <w:rFonts w:hint="eastAsia" w:asciiTheme="minorEastAsia" w:hAnsiTheme="minorEastAsia" w:eastAsiaTheme="minorEastAsia"/>
                <w:color w:val="auto"/>
                <w:szCs w:val="21"/>
                <w:highlight w:val="none"/>
              </w:rPr>
            </w:pPr>
            <w:r>
              <w:rPr>
                <w:rFonts w:hint="eastAsia" w:ascii="宋体" w:hAnsi="宋体" w:eastAsia="宋体" w:cs="宋体"/>
                <w:color w:val="auto"/>
                <w:kern w:val="0"/>
              </w:rPr>
              <w:t>集中采购机构</w:t>
            </w:r>
          </w:p>
        </w:tc>
        <w:tc>
          <w:tcPr>
            <w:tcW w:w="3494" w:type="pct"/>
            <w:tcBorders>
              <w:top w:val="single" w:color="auto" w:sz="4" w:space="0"/>
              <w:left w:val="single" w:color="auto" w:sz="4" w:space="0"/>
              <w:bottom w:val="single" w:color="auto" w:sz="4" w:space="0"/>
              <w:right w:val="single" w:color="auto" w:sz="4" w:space="0"/>
            </w:tcBorders>
          </w:tcPr>
          <w:p w14:paraId="75BAF47F">
            <w:pPr>
              <w:spacing w:before="120" w:beforeLines="50" w:line="360" w:lineRule="auto"/>
              <w:ind w:left="105" w:leftChars="50"/>
              <w:rPr>
                <w:rFonts w:hint="eastAsia" w:cs="宋体" w:asciiTheme="minorEastAsia" w:hAnsiTheme="minorEastAsia" w:eastAsiaTheme="minorEastAsia"/>
                <w:color w:val="auto"/>
                <w:szCs w:val="21"/>
                <w:highlight w:val="none"/>
              </w:rPr>
            </w:pPr>
            <w:r>
              <w:rPr>
                <w:rFonts w:hint="eastAsia" w:ascii="宋体" w:hAnsi="宋体" w:eastAsia="宋体" w:cs="宋体"/>
                <w:color w:val="auto"/>
                <w:kern w:val="0"/>
              </w:rPr>
              <w:t>集中采购机构</w:t>
            </w:r>
            <w:r>
              <w:rPr>
                <w:rFonts w:hint="eastAsia" w:cs="宋体" w:asciiTheme="minorEastAsia" w:hAnsiTheme="minorEastAsia" w:eastAsiaTheme="minorEastAsia"/>
                <w:color w:val="auto"/>
                <w:szCs w:val="21"/>
                <w:highlight w:val="none"/>
              </w:rPr>
              <w:t>名称：</w:t>
            </w:r>
            <w:r>
              <w:rPr>
                <w:rFonts w:hint="eastAsia" w:ascii="宋体" w:hAnsi="宋体" w:eastAsia="宋体" w:cs="宋体"/>
                <w:color w:val="auto"/>
                <w:kern w:val="0"/>
                <w:sz w:val="21"/>
                <w:szCs w:val="21"/>
                <w:lang w:eastAsia="zh-CN"/>
              </w:rPr>
              <w:t>宜良县政府集中采购中心</w:t>
            </w:r>
          </w:p>
          <w:p w14:paraId="204290C5">
            <w:pPr>
              <w:spacing w:line="360" w:lineRule="auto"/>
              <w:ind w:left="105" w:leftChars="50"/>
              <w:rPr>
                <w:rFonts w:hint="eastAsia" w:cs="宋体" w:asciiTheme="minorEastAsia" w:hAnsiTheme="minorEastAsia" w:eastAsiaTheme="minorEastAsia"/>
                <w:color w:val="auto"/>
                <w:szCs w:val="21"/>
                <w:highlight w:val="none"/>
              </w:rPr>
            </w:pPr>
            <w:r>
              <w:rPr>
                <w:rFonts w:hint="eastAsia" w:ascii="宋体" w:hAnsi="宋体" w:eastAsia="宋体" w:cs="宋体"/>
                <w:color w:val="auto"/>
                <w:kern w:val="0"/>
              </w:rPr>
              <w:t>集中采购机构</w:t>
            </w:r>
            <w:r>
              <w:rPr>
                <w:rFonts w:hint="eastAsia" w:cs="宋体" w:asciiTheme="minorEastAsia" w:hAnsiTheme="minorEastAsia" w:eastAsiaTheme="minorEastAsia"/>
                <w:color w:val="auto"/>
                <w:szCs w:val="21"/>
                <w:highlight w:val="none"/>
              </w:rPr>
              <w:t>地址：</w:t>
            </w:r>
            <w:r>
              <w:rPr>
                <w:rFonts w:hint="eastAsia" w:ascii="宋体" w:hAnsi="宋体" w:eastAsia="宋体" w:cs="宋体"/>
                <w:color w:val="auto"/>
                <w:kern w:val="0"/>
                <w:lang w:eastAsia="zh-CN"/>
              </w:rPr>
              <w:t>宜良县匡远街道温泉路</w:t>
            </w:r>
            <w:r>
              <w:rPr>
                <w:rFonts w:hint="eastAsia" w:ascii="宋体" w:hAnsi="宋体" w:eastAsia="宋体" w:cs="宋体"/>
                <w:color w:val="auto"/>
                <w:kern w:val="0"/>
                <w:lang w:val="en-US" w:eastAsia="zh-CN"/>
              </w:rPr>
              <w:t>10号公务楼7楼</w:t>
            </w:r>
          </w:p>
          <w:p w14:paraId="34B886F2">
            <w:pPr>
              <w:spacing w:line="360" w:lineRule="auto"/>
              <w:ind w:left="105" w:leftChars="50"/>
              <w:rPr>
                <w:rFonts w:hint="eastAsia" w:cs="宋体" w:asciiTheme="minorEastAsia" w:hAnsiTheme="minorEastAsia" w:eastAsiaTheme="minorEastAsia"/>
                <w:color w:val="auto"/>
                <w:szCs w:val="21"/>
                <w:highlight w:val="none"/>
              </w:rPr>
            </w:pPr>
            <w:r>
              <w:rPr>
                <w:rFonts w:hint="eastAsia" w:ascii="宋体" w:hAnsi="宋体" w:eastAsia="宋体" w:cs="宋体"/>
                <w:color w:val="auto"/>
                <w:kern w:val="0"/>
              </w:rPr>
              <w:t>集中采购机构</w:t>
            </w:r>
            <w:r>
              <w:rPr>
                <w:rFonts w:hint="eastAsia" w:cs="宋体" w:asciiTheme="minorEastAsia" w:hAnsiTheme="minorEastAsia" w:eastAsiaTheme="minorEastAsia"/>
                <w:color w:val="auto"/>
                <w:szCs w:val="21"/>
                <w:highlight w:val="none"/>
              </w:rPr>
              <w:t>联系人：李老师</w:t>
            </w:r>
          </w:p>
          <w:p w14:paraId="072556E3">
            <w:pPr>
              <w:spacing w:line="360" w:lineRule="auto"/>
              <w:ind w:left="105" w:leftChars="50"/>
              <w:rPr>
                <w:rFonts w:hint="eastAsia" w:asciiTheme="minorEastAsia" w:hAnsiTheme="minorEastAsia" w:eastAsiaTheme="minorEastAsia"/>
                <w:color w:val="auto"/>
                <w:szCs w:val="21"/>
                <w:highlight w:val="none"/>
              </w:rPr>
            </w:pPr>
            <w:r>
              <w:rPr>
                <w:rFonts w:hint="eastAsia" w:ascii="宋体" w:hAnsi="宋体" w:eastAsia="宋体" w:cs="宋体"/>
                <w:color w:val="auto"/>
                <w:kern w:val="0"/>
              </w:rPr>
              <w:t>集中采购机构</w:t>
            </w:r>
            <w:r>
              <w:rPr>
                <w:rFonts w:hint="eastAsia" w:cs="宋体" w:asciiTheme="minorEastAsia" w:hAnsiTheme="minorEastAsia" w:eastAsiaTheme="minorEastAsia"/>
                <w:color w:val="auto"/>
                <w:szCs w:val="21"/>
                <w:highlight w:val="none"/>
              </w:rPr>
              <w:t>联系电话：</w:t>
            </w:r>
            <w:r>
              <w:rPr>
                <w:rFonts w:hint="eastAsia" w:ascii="宋体" w:hAnsi="宋体" w:eastAsia="宋体" w:cs="宋体"/>
                <w:color w:val="auto"/>
                <w:kern w:val="0"/>
              </w:rPr>
              <w:t>0871-64982947</w:t>
            </w:r>
            <w:r>
              <w:rPr>
                <w:rFonts w:hint="eastAsia" w:asciiTheme="minorEastAsia" w:hAnsiTheme="minorEastAsia" w:eastAsiaTheme="minorEastAsia"/>
                <w:color w:val="auto"/>
                <w:szCs w:val="21"/>
                <w:highlight w:val="none"/>
              </w:rPr>
              <w:t xml:space="preserve"> </w:t>
            </w:r>
          </w:p>
        </w:tc>
      </w:tr>
      <w:tr w14:paraId="00A37846">
        <w:tblPrEx>
          <w:tblCellMar>
            <w:top w:w="0" w:type="dxa"/>
            <w:left w:w="0" w:type="dxa"/>
            <w:bottom w:w="0" w:type="dxa"/>
            <w:right w:w="0" w:type="dxa"/>
          </w:tblCellMar>
        </w:tblPrEx>
        <w:trPr>
          <w:trHeight w:val="411"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15A3387D">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p>
        </w:tc>
        <w:tc>
          <w:tcPr>
            <w:tcW w:w="1035" w:type="pct"/>
            <w:tcBorders>
              <w:top w:val="single" w:color="auto" w:sz="4" w:space="0"/>
              <w:left w:val="single" w:color="auto" w:sz="4" w:space="0"/>
              <w:bottom w:val="single" w:color="auto" w:sz="4" w:space="0"/>
              <w:right w:val="single" w:color="auto" w:sz="4" w:space="0"/>
            </w:tcBorders>
            <w:vAlign w:val="center"/>
          </w:tcPr>
          <w:p w14:paraId="31BAD739">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tc>
        <w:tc>
          <w:tcPr>
            <w:tcW w:w="3494" w:type="pct"/>
            <w:tcBorders>
              <w:top w:val="single" w:color="auto" w:sz="4" w:space="0"/>
              <w:left w:val="single" w:color="auto" w:sz="4" w:space="0"/>
              <w:bottom w:val="single" w:color="auto" w:sz="4" w:space="0"/>
              <w:right w:val="single" w:color="auto" w:sz="4" w:space="0"/>
            </w:tcBorders>
            <w:vAlign w:val="center"/>
          </w:tcPr>
          <w:p w14:paraId="67DF67F1">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宋体" w:hAnsi="宋体" w:cs="宋体"/>
                <w:color w:val="auto"/>
                <w:sz w:val="21"/>
                <w:szCs w:val="21"/>
                <w:highlight w:val="none"/>
                <w:lang w:val="en-US" w:eastAsia="zh-CN"/>
              </w:rPr>
              <w:t>宜良县中医医院保安、保洁服务项目采购</w:t>
            </w:r>
          </w:p>
        </w:tc>
      </w:tr>
      <w:tr w14:paraId="51FCC23C">
        <w:tblPrEx>
          <w:tblCellMar>
            <w:top w:w="0" w:type="dxa"/>
            <w:left w:w="0" w:type="dxa"/>
            <w:bottom w:w="0" w:type="dxa"/>
            <w:right w:w="0" w:type="dxa"/>
          </w:tblCellMar>
        </w:tblPrEx>
        <w:trPr>
          <w:trHeight w:val="433"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1A49C23D">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.1.5</w:t>
            </w:r>
          </w:p>
        </w:tc>
        <w:tc>
          <w:tcPr>
            <w:tcW w:w="1035" w:type="pct"/>
            <w:tcBorders>
              <w:top w:val="single" w:color="auto" w:sz="4" w:space="0"/>
              <w:left w:val="single" w:color="auto" w:sz="4" w:space="0"/>
              <w:bottom w:val="single" w:color="auto" w:sz="4" w:space="0"/>
              <w:right w:val="single" w:color="auto" w:sz="4" w:space="0"/>
            </w:tcBorders>
            <w:vAlign w:val="center"/>
          </w:tcPr>
          <w:p w14:paraId="1AAD6978">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服务地点</w:t>
            </w:r>
          </w:p>
        </w:tc>
        <w:tc>
          <w:tcPr>
            <w:tcW w:w="3494" w:type="pct"/>
            <w:tcBorders>
              <w:top w:val="single" w:color="auto" w:sz="4" w:space="0"/>
              <w:left w:val="single" w:color="auto" w:sz="4" w:space="0"/>
              <w:bottom w:val="single" w:color="auto" w:sz="4" w:space="0"/>
              <w:right w:val="single" w:color="auto" w:sz="4" w:space="0"/>
            </w:tcBorders>
            <w:vAlign w:val="center"/>
          </w:tcPr>
          <w:p w14:paraId="09B3CE44">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宋体" w:hAnsi="宋体" w:cs="宋体"/>
                <w:color w:val="auto"/>
                <w:sz w:val="21"/>
                <w:szCs w:val="21"/>
                <w:highlight w:val="none"/>
                <w:lang w:val="en-US" w:eastAsia="zh-CN"/>
              </w:rPr>
              <w:t>宜良县中医医院</w:t>
            </w:r>
            <w:r>
              <w:rPr>
                <w:rFonts w:hint="eastAsia" w:ascii="宋体" w:hAnsi="宋体"/>
                <w:color w:val="auto"/>
                <w:szCs w:val="21"/>
                <w:highlight w:val="none"/>
              </w:rPr>
              <w:t>。</w:t>
            </w:r>
          </w:p>
        </w:tc>
      </w:tr>
      <w:tr w14:paraId="7CB80B79">
        <w:tblPrEx>
          <w:tblCellMar>
            <w:top w:w="0" w:type="dxa"/>
            <w:left w:w="0" w:type="dxa"/>
            <w:bottom w:w="0" w:type="dxa"/>
            <w:right w:w="0" w:type="dxa"/>
          </w:tblCellMar>
        </w:tblPrEx>
        <w:trPr>
          <w:trHeight w:val="397"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68B44A7A">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1.2.1</w:t>
            </w:r>
          </w:p>
        </w:tc>
        <w:tc>
          <w:tcPr>
            <w:tcW w:w="1035" w:type="pct"/>
            <w:tcBorders>
              <w:top w:val="single" w:color="auto" w:sz="4" w:space="0"/>
              <w:left w:val="single" w:color="auto" w:sz="4" w:space="0"/>
              <w:bottom w:val="single" w:color="auto" w:sz="4" w:space="0"/>
              <w:right w:val="single" w:color="auto" w:sz="4" w:space="0"/>
            </w:tcBorders>
            <w:vAlign w:val="center"/>
          </w:tcPr>
          <w:p w14:paraId="679A2833">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资金来源</w:t>
            </w:r>
          </w:p>
        </w:tc>
        <w:tc>
          <w:tcPr>
            <w:tcW w:w="3494" w:type="pct"/>
            <w:tcBorders>
              <w:top w:val="single" w:color="auto" w:sz="4" w:space="0"/>
              <w:left w:val="single" w:color="auto" w:sz="4" w:space="0"/>
              <w:bottom w:val="single" w:color="auto" w:sz="4" w:space="0"/>
              <w:right w:val="single" w:color="auto" w:sz="4" w:space="0"/>
            </w:tcBorders>
            <w:vAlign w:val="center"/>
          </w:tcPr>
          <w:p w14:paraId="20050C5D">
            <w:pPr>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财政性资金。</w:t>
            </w:r>
          </w:p>
        </w:tc>
      </w:tr>
      <w:tr w14:paraId="5335BA8B">
        <w:tblPrEx>
          <w:tblCellMar>
            <w:top w:w="0" w:type="dxa"/>
            <w:left w:w="0" w:type="dxa"/>
            <w:bottom w:w="0" w:type="dxa"/>
            <w:right w:w="0" w:type="dxa"/>
          </w:tblCellMar>
        </w:tblPrEx>
        <w:trPr>
          <w:trHeight w:val="422"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121B63FD">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1.2.2</w:t>
            </w:r>
          </w:p>
        </w:tc>
        <w:tc>
          <w:tcPr>
            <w:tcW w:w="1035" w:type="pct"/>
            <w:tcBorders>
              <w:top w:val="single" w:color="auto" w:sz="4" w:space="0"/>
              <w:left w:val="single" w:color="auto" w:sz="4" w:space="0"/>
              <w:bottom w:val="single" w:color="auto" w:sz="4" w:space="0"/>
              <w:right w:val="single" w:color="auto" w:sz="4" w:space="0"/>
            </w:tcBorders>
            <w:vAlign w:val="center"/>
          </w:tcPr>
          <w:p w14:paraId="3FD7967C">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资金落实情况</w:t>
            </w:r>
          </w:p>
        </w:tc>
        <w:tc>
          <w:tcPr>
            <w:tcW w:w="3494" w:type="pct"/>
            <w:tcBorders>
              <w:top w:val="single" w:color="auto" w:sz="4" w:space="0"/>
              <w:left w:val="single" w:color="auto" w:sz="4" w:space="0"/>
              <w:bottom w:val="single" w:color="auto" w:sz="4" w:space="0"/>
              <w:right w:val="single" w:color="auto" w:sz="4" w:space="0"/>
            </w:tcBorders>
            <w:vAlign w:val="center"/>
          </w:tcPr>
          <w:p w14:paraId="4CB4E804">
            <w:pPr>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已落实。</w:t>
            </w:r>
          </w:p>
        </w:tc>
      </w:tr>
      <w:tr w14:paraId="0224FA3E">
        <w:tblPrEx>
          <w:tblCellMar>
            <w:top w:w="0" w:type="dxa"/>
            <w:left w:w="0" w:type="dxa"/>
            <w:bottom w:w="0" w:type="dxa"/>
            <w:right w:w="0" w:type="dxa"/>
          </w:tblCellMar>
        </w:tblPrEx>
        <w:trPr>
          <w:trHeight w:val="5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4F423F36">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1.3.1</w:t>
            </w:r>
          </w:p>
        </w:tc>
        <w:tc>
          <w:tcPr>
            <w:tcW w:w="1035" w:type="pct"/>
            <w:tcBorders>
              <w:top w:val="single" w:color="auto" w:sz="4" w:space="0"/>
              <w:left w:val="single" w:color="auto" w:sz="4" w:space="0"/>
              <w:bottom w:val="single" w:color="auto" w:sz="4" w:space="0"/>
              <w:right w:val="single" w:color="auto" w:sz="4" w:space="0"/>
            </w:tcBorders>
            <w:vAlign w:val="center"/>
          </w:tcPr>
          <w:p w14:paraId="3B7FD6DB">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采购内容</w:t>
            </w:r>
          </w:p>
        </w:tc>
        <w:tc>
          <w:tcPr>
            <w:tcW w:w="3494" w:type="pct"/>
            <w:tcBorders>
              <w:top w:val="single" w:color="auto" w:sz="4" w:space="0"/>
              <w:left w:val="single" w:color="auto" w:sz="4" w:space="0"/>
              <w:bottom w:val="single" w:color="auto" w:sz="4" w:space="0"/>
              <w:right w:val="single" w:color="auto" w:sz="4" w:space="0"/>
            </w:tcBorders>
            <w:vAlign w:val="center"/>
          </w:tcPr>
          <w:p w14:paraId="658E0BDC">
            <w:pPr>
              <w:spacing w:before="120" w:beforeLines="50" w:line="360" w:lineRule="auto"/>
              <w:ind w:left="105" w:leftChars="50" w:right="105" w:rightChars="50"/>
              <w:rPr>
                <w:color w:val="auto"/>
                <w:szCs w:val="21"/>
                <w:highlight w:val="none"/>
              </w:rPr>
            </w:pPr>
            <w:r>
              <w:rPr>
                <w:rFonts w:hint="eastAsia" w:ascii="宋体" w:hAnsi="宋体" w:eastAsia="宋体" w:cs="Times New Roman"/>
                <w:color w:val="auto"/>
                <w:szCs w:val="21"/>
                <w:highlight w:val="none"/>
                <w:lang w:val="en-US" w:eastAsia="zh-CN"/>
              </w:rPr>
              <w:t>负责宜良县中医院内的保安、保洁服务工作，共12人，包括保安员6名，保洁6名。所有派驻到医院的安保人员必须全部政审合格并持保安证上岗，同时消控室现场值班人员必须持有消防监督管理部门认可的建（构）筑物消防员证上岗</w:t>
            </w:r>
            <w:r>
              <w:rPr>
                <w:rFonts w:hint="eastAsia"/>
                <w:color w:val="auto"/>
                <w:szCs w:val="21"/>
                <w:highlight w:val="none"/>
              </w:rPr>
              <w:t>。</w:t>
            </w:r>
          </w:p>
          <w:p w14:paraId="146A276B">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注：具体采购需求及要求详见采购文件第五章“采购需求及要求”。</w:t>
            </w:r>
          </w:p>
        </w:tc>
      </w:tr>
      <w:tr w14:paraId="5AC154E9">
        <w:tblPrEx>
          <w:tblCellMar>
            <w:top w:w="0" w:type="dxa"/>
            <w:left w:w="0" w:type="dxa"/>
            <w:bottom w:w="0" w:type="dxa"/>
            <w:right w:w="0" w:type="dxa"/>
          </w:tblCellMar>
        </w:tblPrEx>
        <w:trPr>
          <w:trHeight w:val="442"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5FA0D05F">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r>
              <w:rPr>
                <w:rFonts w:asciiTheme="minorEastAsia" w:hAnsiTheme="minorEastAsia" w:eastAsiaTheme="minorEastAsia"/>
                <w:color w:val="auto"/>
                <w:szCs w:val="21"/>
                <w:highlight w:val="none"/>
              </w:rPr>
              <w:t>2</w:t>
            </w:r>
          </w:p>
        </w:tc>
        <w:tc>
          <w:tcPr>
            <w:tcW w:w="1035" w:type="pct"/>
            <w:tcBorders>
              <w:top w:val="single" w:color="auto" w:sz="4" w:space="0"/>
              <w:left w:val="single" w:color="auto" w:sz="4" w:space="0"/>
              <w:bottom w:val="single" w:color="auto" w:sz="4" w:space="0"/>
              <w:right w:val="single" w:color="auto" w:sz="4" w:space="0"/>
            </w:tcBorders>
            <w:vAlign w:val="center"/>
          </w:tcPr>
          <w:p w14:paraId="3766C107">
            <w:pPr>
              <w:pStyle w:val="146"/>
              <w:spacing w:before="120" w:beforeLines="50" w:line="360" w:lineRule="auto"/>
              <w:jc w:val="center"/>
              <w:rPr>
                <w:rFonts w:hint="eastAsia"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合同履行期限</w:t>
            </w:r>
          </w:p>
        </w:tc>
        <w:tc>
          <w:tcPr>
            <w:tcW w:w="3494" w:type="pct"/>
            <w:tcBorders>
              <w:top w:val="single" w:color="auto" w:sz="4" w:space="0"/>
              <w:left w:val="single" w:color="auto" w:sz="4" w:space="0"/>
              <w:bottom w:val="single" w:color="auto" w:sz="4" w:space="0"/>
              <w:right w:val="single" w:color="auto" w:sz="4" w:space="0"/>
            </w:tcBorders>
            <w:vAlign w:val="center"/>
          </w:tcPr>
          <w:p w14:paraId="7C080554">
            <w:pPr>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宋体" w:hAnsi="宋体" w:eastAsia="宋体" w:cs="Times New Roman"/>
                <w:color w:val="auto"/>
                <w:szCs w:val="21"/>
                <w:highlight w:val="none"/>
                <w:lang w:val="en-US" w:eastAsia="zh-CN"/>
              </w:rPr>
              <w:t>预招3年，合同一年一签（按年进行考核，考核合格后提出申请进行续签,考核内容由院方制定）</w:t>
            </w:r>
            <w:r>
              <w:rPr>
                <w:rFonts w:hint="eastAsia" w:asciiTheme="minorEastAsia" w:hAnsiTheme="minorEastAsia" w:eastAsiaTheme="minorEastAsia"/>
                <w:color w:val="auto"/>
                <w:szCs w:val="21"/>
                <w:highlight w:val="none"/>
              </w:rPr>
              <w:t>。</w:t>
            </w:r>
          </w:p>
        </w:tc>
      </w:tr>
      <w:tr w14:paraId="2512EFE4">
        <w:tblPrEx>
          <w:tblCellMar>
            <w:top w:w="0" w:type="dxa"/>
            <w:left w:w="0" w:type="dxa"/>
            <w:bottom w:w="0" w:type="dxa"/>
            <w:right w:w="0" w:type="dxa"/>
          </w:tblCellMar>
        </w:tblPrEx>
        <w:trPr>
          <w:trHeight w:val="274"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256080D5">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r>
              <w:rPr>
                <w:rFonts w:asciiTheme="minorEastAsia" w:hAnsiTheme="minorEastAsia" w:eastAsiaTheme="minorEastAsia"/>
                <w:color w:val="auto"/>
                <w:szCs w:val="21"/>
                <w:highlight w:val="none"/>
              </w:rPr>
              <w:t>3</w:t>
            </w:r>
          </w:p>
        </w:tc>
        <w:tc>
          <w:tcPr>
            <w:tcW w:w="1035" w:type="pct"/>
            <w:tcBorders>
              <w:top w:val="single" w:color="auto" w:sz="4" w:space="0"/>
              <w:left w:val="single" w:color="auto" w:sz="4" w:space="0"/>
              <w:bottom w:val="single" w:color="auto" w:sz="4" w:space="0"/>
              <w:right w:val="single" w:color="auto" w:sz="4" w:space="0"/>
            </w:tcBorders>
            <w:vAlign w:val="center"/>
          </w:tcPr>
          <w:p w14:paraId="023B4273">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质量要求</w:t>
            </w:r>
          </w:p>
        </w:tc>
        <w:tc>
          <w:tcPr>
            <w:tcW w:w="3494" w:type="pct"/>
            <w:tcBorders>
              <w:top w:val="single" w:color="auto" w:sz="4" w:space="0"/>
              <w:left w:val="single" w:color="auto" w:sz="4" w:space="0"/>
              <w:bottom w:val="single" w:color="auto" w:sz="4" w:space="0"/>
              <w:right w:val="single" w:color="auto" w:sz="4" w:space="0"/>
            </w:tcBorders>
            <w:vAlign w:val="center"/>
          </w:tcPr>
          <w:p w14:paraId="3670EBCD">
            <w:pPr>
              <w:pStyle w:val="5"/>
              <w:spacing w:before="120" w:beforeLines="50" w:line="360" w:lineRule="auto"/>
              <w:ind w:left="105" w:leftChars="50" w:right="105" w:rightChars="50" w:firstLine="0"/>
              <w:rPr>
                <w:rFonts w:hint="eastAsia" w:asciiTheme="minorEastAsia" w:hAnsiTheme="minorEastAsia" w:eastAsiaTheme="minorEastAsia"/>
                <w:color w:val="auto"/>
                <w:szCs w:val="21"/>
                <w:highlight w:val="none"/>
              </w:rPr>
            </w:pPr>
            <w:r>
              <w:rPr>
                <w:rFonts w:hint="eastAsia" w:ascii="宋体" w:hAnsi="宋体"/>
                <w:color w:val="auto"/>
                <w:szCs w:val="21"/>
                <w:highlight w:val="none"/>
              </w:rPr>
              <w:t>符合国家、省、市以及行业的相关要求，并且满足采购人的需求。</w:t>
            </w:r>
          </w:p>
        </w:tc>
      </w:tr>
      <w:tr w14:paraId="4C76B340">
        <w:tblPrEx>
          <w:tblCellMar>
            <w:top w:w="0" w:type="dxa"/>
            <w:left w:w="0" w:type="dxa"/>
            <w:bottom w:w="0" w:type="dxa"/>
            <w:right w:w="0" w:type="dxa"/>
          </w:tblCellMar>
        </w:tblPrEx>
        <w:trPr>
          <w:trHeight w:val="469"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6289D531">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r>
              <w:rPr>
                <w:rFonts w:asciiTheme="minorEastAsia" w:hAnsiTheme="minorEastAsia" w:eastAsiaTheme="minorEastAsia"/>
                <w:color w:val="auto"/>
                <w:szCs w:val="21"/>
                <w:highlight w:val="none"/>
              </w:rPr>
              <w:t>4</w:t>
            </w:r>
          </w:p>
        </w:tc>
        <w:tc>
          <w:tcPr>
            <w:tcW w:w="1035" w:type="pct"/>
            <w:tcBorders>
              <w:top w:val="single" w:color="auto" w:sz="4" w:space="0"/>
              <w:left w:val="single" w:color="auto" w:sz="4" w:space="0"/>
              <w:bottom w:val="single" w:color="auto" w:sz="4" w:space="0"/>
              <w:right w:val="single" w:color="auto" w:sz="4" w:space="0"/>
            </w:tcBorders>
            <w:vAlign w:val="center"/>
          </w:tcPr>
          <w:p w14:paraId="5CC4B10F">
            <w:pPr>
              <w:spacing w:before="120" w:beforeLines="50" w:after="6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包件划分</w:t>
            </w:r>
          </w:p>
        </w:tc>
        <w:tc>
          <w:tcPr>
            <w:tcW w:w="3494" w:type="pct"/>
            <w:tcBorders>
              <w:top w:val="single" w:color="auto" w:sz="4" w:space="0"/>
              <w:left w:val="single" w:color="auto" w:sz="4" w:space="0"/>
              <w:bottom w:val="single" w:color="auto" w:sz="4" w:space="0"/>
              <w:right w:val="single" w:color="auto" w:sz="4" w:space="0"/>
            </w:tcBorders>
            <w:vAlign w:val="center"/>
          </w:tcPr>
          <w:p w14:paraId="00C97ABF">
            <w:pPr>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本项目不划分包件。</w:t>
            </w:r>
          </w:p>
        </w:tc>
      </w:tr>
      <w:tr w14:paraId="7F1314B2">
        <w:tblPrEx>
          <w:tblCellMar>
            <w:top w:w="0" w:type="dxa"/>
            <w:left w:w="0" w:type="dxa"/>
            <w:bottom w:w="0" w:type="dxa"/>
            <w:right w:w="0" w:type="dxa"/>
          </w:tblCellMar>
        </w:tblPrEx>
        <w:trPr>
          <w:trHeight w:val="274"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00C76B22">
            <w:pPr>
              <w:wordWrap w:val="0"/>
              <w:autoSpaceDE w:val="0"/>
              <w:autoSpaceDN w:val="0"/>
              <w:spacing w:after="100" w:afterAutospacing="1"/>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1.4.1</w:t>
            </w:r>
          </w:p>
        </w:tc>
        <w:tc>
          <w:tcPr>
            <w:tcW w:w="1035" w:type="pct"/>
            <w:tcBorders>
              <w:top w:val="single" w:color="auto" w:sz="4" w:space="0"/>
              <w:left w:val="single" w:color="auto" w:sz="4" w:space="0"/>
              <w:bottom w:val="single" w:color="auto" w:sz="4" w:space="0"/>
              <w:right w:val="single" w:color="auto" w:sz="4" w:space="0"/>
            </w:tcBorders>
            <w:vAlign w:val="center"/>
          </w:tcPr>
          <w:p w14:paraId="7D659DDC">
            <w:pPr>
              <w:wordWrap w:val="0"/>
              <w:autoSpaceDE w:val="0"/>
              <w:autoSpaceDN w:val="0"/>
              <w:spacing w:after="100" w:afterAutospacing="1"/>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供应商资格要求</w:t>
            </w:r>
          </w:p>
        </w:tc>
        <w:tc>
          <w:tcPr>
            <w:tcW w:w="3494" w:type="pct"/>
            <w:tcBorders>
              <w:top w:val="single" w:color="auto" w:sz="4" w:space="0"/>
              <w:left w:val="single" w:color="auto" w:sz="4" w:space="0"/>
              <w:bottom w:val="single" w:color="auto" w:sz="4" w:space="0"/>
              <w:right w:val="single" w:color="auto" w:sz="4" w:space="0"/>
            </w:tcBorders>
            <w:vAlign w:val="center"/>
          </w:tcPr>
          <w:p w14:paraId="30830075">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1.供应商须按照《中华人民共和国政府采购法实施条例》第十七条的要求提供满足《中华人民共和国政府采购法》第二十二条规定的相关材料：</w:t>
            </w:r>
          </w:p>
          <w:p w14:paraId="2CB56664">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（1）具有独立承担民事责任的能力。</w:t>
            </w:r>
            <w:r>
              <w:rPr>
                <w:rFonts w:hint="eastAsia" w:asciiTheme="minorEastAsia" w:hAnsiTheme="minorEastAsia" w:eastAsiaTheme="minorEastAsia"/>
                <w:color w:val="auto"/>
                <w:szCs w:val="21"/>
                <w:highlight w:val="none"/>
              </w:rPr>
              <w:t>[提供有效的营业执照或事业单位法人证书或其他类似的法定证明文件]</w:t>
            </w:r>
          </w:p>
          <w:p w14:paraId="4625D4A8">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（2）具有良好的商业信誉和健全的财务会计制度。</w:t>
            </w:r>
            <w:r>
              <w:rPr>
                <w:rFonts w:hint="eastAsia" w:asciiTheme="minorEastAsia" w:hAnsiTheme="minorEastAsia" w:eastAsiaTheme="minorEastAsia"/>
                <w:color w:val="auto"/>
                <w:szCs w:val="21"/>
                <w:highlight w:val="none"/>
              </w:rPr>
              <w:t>[提供2023年度经审计的财务会计报表及审计报告（未经审计的，提供公司内部自行编制</w:t>
            </w:r>
            <w:r>
              <w:rPr>
                <w:rFonts w:hint="eastAsia" w:asciiTheme="minorEastAsia" w:hAnsiTheme="minorEastAsia" w:eastAsiaTheme="minorEastAsia"/>
                <w:b/>
                <w:bCs/>
                <w:color w:val="auto"/>
                <w:szCs w:val="21"/>
                <w:highlight w:val="none"/>
              </w:rPr>
              <w:t>并加盖公章</w:t>
            </w:r>
            <w:r>
              <w:rPr>
                <w:rFonts w:hint="eastAsia" w:asciiTheme="minorEastAsia" w:hAnsiTheme="minorEastAsia" w:eastAsiaTheme="minorEastAsia"/>
                <w:color w:val="auto"/>
                <w:szCs w:val="21"/>
                <w:highlight w:val="none"/>
              </w:rPr>
              <w:t>的财务会计报表）；若为新成立的公司，提供银行开具的资信证明文件或资金证明文件；若为自然人参与谈判，则提供自本项目竞争性谈判公告发布之日起开具的银行存款证明]</w:t>
            </w:r>
          </w:p>
          <w:p w14:paraId="345C1210">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（3）具有履行合同所必需的设备和专业技术能力。</w:t>
            </w:r>
            <w:r>
              <w:rPr>
                <w:rFonts w:hint="eastAsia" w:asciiTheme="minorEastAsia" w:hAnsiTheme="minorEastAsia" w:eastAsiaTheme="minorEastAsia"/>
                <w:color w:val="auto"/>
                <w:szCs w:val="21"/>
                <w:highlight w:val="none"/>
              </w:rPr>
              <w:t>[提供书面承诺]</w:t>
            </w:r>
          </w:p>
          <w:p w14:paraId="4B2DD245">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（4）有依法缴纳税收和社会保障资金的良好记录。</w:t>
            </w:r>
            <w:r>
              <w:rPr>
                <w:rFonts w:hint="eastAsia" w:asciiTheme="minorEastAsia" w:hAnsiTheme="minorEastAsia" w:eastAsiaTheme="minorEastAsia"/>
                <w:color w:val="auto"/>
                <w:szCs w:val="21"/>
                <w:highlight w:val="none"/>
              </w:rPr>
              <w:t>[①提供</w:t>
            </w:r>
            <w:r>
              <w:rPr>
                <w:rFonts w:hint="eastAsia" w:asciiTheme="minorEastAsia" w:hAnsiTheme="minorEastAsia" w:eastAsiaTheme="minorEastAsia"/>
                <w:color w:val="auto"/>
                <w:szCs w:val="21"/>
                <w:highlight w:val="none"/>
                <w:lang w:val="en-US" w:eastAsia="zh-CN"/>
              </w:rPr>
              <w:t>2024</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01</w:t>
            </w:r>
            <w:r>
              <w:rPr>
                <w:rFonts w:hint="eastAsia" w:asciiTheme="minorEastAsia" w:hAnsiTheme="minorEastAsia" w:eastAsiaTheme="minorEastAsia"/>
                <w:color w:val="auto"/>
                <w:szCs w:val="21"/>
                <w:highlight w:val="none"/>
              </w:rPr>
              <w:t>月至提交响应文件截止之日任意3个月的税务局税收通用缴款书或银行电子缴税（费）凭证或税务局出具纳税情况的相关证明；依法免税的，提供依法免税的相关证明文件；</w:t>
            </w:r>
            <w:r>
              <w:rPr>
                <w:color w:val="auto"/>
                <w:highlight w:val="none"/>
              </w:rPr>
              <w:t>若为新成立的公司，无法按上述要求提供依法缴纳税收证明材料的，按实际缴纳月份提供或出具书面说明。</w:t>
            </w:r>
            <w:r>
              <w:rPr>
                <w:rFonts w:hint="eastAsia" w:asciiTheme="minorEastAsia" w:hAnsiTheme="minorEastAsia" w:eastAsiaTheme="minorEastAsia"/>
                <w:color w:val="auto"/>
                <w:szCs w:val="21"/>
                <w:highlight w:val="none"/>
              </w:rPr>
              <w:t>②提供</w:t>
            </w:r>
            <w:r>
              <w:rPr>
                <w:rFonts w:hint="eastAsia" w:asciiTheme="minorEastAsia" w:hAnsiTheme="minorEastAsia" w:eastAsiaTheme="minorEastAsia"/>
                <w:color w:val="auto"/>
                <w:szCs w:val="21"/>
                <w:highlight w:val="none"/>
                <w:lang w:val="en-US" w:eastAsia="zh-CN"/>
              </w:rPr>
              <w:t>2024</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01</w:t>
            </w:r>
            <w:r>
              <w:rPr>
                <w:rFonts w:hint="eastAsia" w:asciiTheme="minorEastAsia" w:hAnsiTheme="minorEastAsia" w:eastAsiaTheme="minorEastAsia"/>
                <w:color w:val="auto"/>
                <w:szCs w:val="21"/>
                <w:highlight w:val="none"/>
              </w:rPr>
              <w:t>月至提交响应文件截止之日任意3个月的社会保险费缴款书或银行电子缴费凭证或社保管理部门出具的有效的缴款证明；依法免缴的，提供依法免缴的相关证明文件；若为新成立的公司，提供成立至今的社会保险费缴款书或银行电子缴费凭证或社保管理部门出具的有效的缴款证明，成立时间不足</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个月的，提供书面说明。③若为自然人参与谈判，则提供20</w:t>
            </w:r>
            <w:r>
              <w:rPr>
                <w:rFonts w:hint="eastAsia" w:asciiTheme="minorEastAsia" w:hAnsiTheme="minorEastAsia" w:eastAsiaTheme="minorEastAsia"/>
                <w:color w:val="auto"/>
                <w:szCs w:val="21"/>
                <w:highlight w:val="none"/>
                <w:lang w:val="en-US" w:eastAsia="zh-CN"/>
              </w:rPr>
              <w:t>24</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01</w:t>
            </w:r>
            <w:r>
              <w:rPr>
                <w:rFonts w:hint="eastAsia" w:asciiTheme="minorEastAsia" w:hAnsiTheme="minorEastAsia" w:eastAsiaTheme="minorEastAsia"/>
                <w:color w:val="auto"/>
                <w:szCs w:val="21"/>
                <w:highlight w:val="none"/>
              </w:rPr>
              <w:t>月至提交响应文件截止之日任意3个月的个人所得税完税证明和社会保险参保证明；未缴纳税收或社保的，附书面说明]</w:t>
            </w:r>
          </w:p>
          <w:p w14:paraId="37E86E78">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（5）参加政府采购活动前三年内，在经营活动中没有重大违法记录。</w:t>
            </w:r>
            <w:r>
              <w:rPr>
                <w:rFonts w:hint="eastAsia" w:asciiTheme="minorEastAsia" w:hAnsiTheme="minorEastAsia" w:eastAsiaTheme="minorEastAsia"/>
                <w:color w:val="auto"/>
                <w:szCs w:val="21"/>
                <w:highlight w:val="none"/>
              </w:rPr>
              <w:t>[重大违法记录，指供应商因违法经营受到刑事处罚或者责令停产停业、吊销许可证或者执照、较大数额罚款等行政处罚，提供书面声明]</w:t>
            </w:r>
          </w:p>
          <w:p w14:paraId="6AE2BD6B">
            <w:pPr>
              <w:spacing w:line="360" w:lineRule="auto"/>
              <w:ind w:left="105" w:leftChars="50" w:right="105" w:rightChars="5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（6）法律、行政法规规定的其他条件。</w:t>
            </w:r>
          </w:p>
          <w:p w14:paraId="1789AB2F">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2.落实政府采购政策需满足的资格要求：</w:t>
            </w:r>
            <w:r>
              <w:rPr>
                <w:rFonts w:hint="eastAsia"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lang w:val="en-US" w:eastAsia="zh-CN"/>
              </w:rPr>
              <w:t>不</w:t>
            </w:r>
            <w:r>
              <w:rPr>
                <w:rFonts w:hint="eastAsia" w:asciiTheme="minorEastAsia" w:hAnsiTheme="minorEastAsia" w:eastAsiaTheme="minorEastAsia"/>
                <w:color w:val="auto"/>
                <w:szCs w:val="21"/>
                <w:highlight w:val="none"/>
              </w:rPr>
              <w:t>专门面向中小微企业采购。</w:t>
            </w:r>
          </w:p>
          <w:p w14:paraId="380DA8D7">
            <w:pPr>
              <w:wordWrap w:val="0"/>
              <w:spacing w:line="360" w:lineRule="auto"/>
              <w:ind w:left="105" w:leftChars="50"/>
              <w:rPr>
                <w:rFonts w:hint="eastAsia" w:ascii="宋体" w:hAnsi="宋体"/>
                <w:color w:val="auto"/>
                <w:szCs w:val="21"/>
                <w:highlight w:val="none"/>
              </w:rPr>
            </w:pPr>
            <w:r>
              <w:rPr>
                <w:rFonts w:hint="eastAsia" w:asciiTheme="minorEastAsia" w:hAnsiTheme="minorEastAsia" w:eastAsiaTheme="minorEastAsia"/>
                <w:b/>
                <w:bCs/>
                <w:color w:val="auto"/>
                <w:szCs w:val="21"/>
                <w:highlight w:val="none"/>
              </w:rPr>
              <w:t>3.本项目的特定资格要求：</w:t>
            </w:r>
            <w:r>
              <w:rPr>
                <w:rFonts w:hint="eastAsia" w:asciiTheme="minorEastAsia" w:hAnsiTheme="minorEastAsia" w:eastAsiaTheme="minorEastAsia"/>
                <w:color w:val="auto"/>
                <w:szCs w:val="21"/>
                <w:highlight w:val="none"/>
              </w:rPr>
              <w:t>无。</w:t>
            </w:r>
          </w:p>
        </w:tc>
      </w:tr>
      <w:tr w14:paraId="44D2A611">
        <w:tblPrEx>
          <w:tblCellMar>
            <w:top w:w="0" w:type="dxa"/>
            <w:left w:w="0" w:type="dxa"/>
            <w:bottom w:w="0" w:type="dxa"/>
            <w:right w:w="0" w:type="dxa"/>
          </w:tblCellMar>
        </w:tblPrEx>
        <w:trPr>
          <w:trHeight w:val="567"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1A0DF3A4">
            <w:pPr>
              <w:wordWrap w:val="0"/>
              <w:autoSpaceDE w:val="0"/>
              <w:autoSpaceDN w:val="0"/>
              <w:spacing w:before="60" w:after="6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1.4.2</w:t>
            </w:r>
          </w:p>
        </w:tc>
        <w:tc>
          <w:tcPr>
            <w:tcW w:w="1035" w:type="pct"/>
            <w:tcBorders>
              <w:top w:val="single" w:color="auto" w:sz="4" w:space="0"/>
              <w:left w:val="single" w:color="auto" w:sz="4" w:space="0"/>
              <w:bottom w:val="single" w:color="auto" w:sz="4" w:space="0"/>
              <w:right w:val="single" w:color="auto" w:sz="4" w:space="0"/>
            </w:tcBorders>
            <w:vAlign w:val="center"/>
          </w:tcPr>
          <w:p w14:paraId="2448A18A">
            <w:pPr>
              <w:wordWrap w:val="0"/>
              <w:autoSpaceDE w:val="0"/>
              <w:autoSpaceDN w:val="0"/>
              <w:spacing w:before="60" w:after="6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其它内容</w:t>
            </w:r>
          </w:p>
        </w:tc>
        <w:tc>
          <w:tcPr>
            <w:tcW w:w="3494" w:type="pct"/>
            <w:tcBorders>
              <w:top w:val="single" w:color="auto" w:sz="4" w:space="0"/>
              <w:left w:val="single" w:color="auto" w:sz="4" w:space="0"/>
              <w:bottom w:val="single" w:color="auto" w:sz="4" w:space="0"/>
              <w:right w:val="single" w:color="auto" w:sz="4" w:space="0"/>
            </w:tcBorders>
            <w:vAlign w:val="center"/>
          </w:tcPr>
          <w:p w14:paraId="1169DF23">
            <w:pPr>
              <w:wordWrap w:val="0"/>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发布公告的媒介：云南省政府采购网（网址：http://www.yngp.com/）。</w:t>
            </w:r>
          </w:p>
          <w:p w14:paraId="519E6698">
            <w:pPr>
              <w:wordWrap w:val="0"/>
              <w:spacing w:line="360" w:lineRule="auto"/>
              <w:ind w:left="105" w:leftChars="50" w:right="5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.信誉要求：</w:t>
            </w:r>
            <w:r>
              <w:rPr>
                <w:rFonts w:hint="eastAsia" w:ascii="宋体" w:hAnsi="宋体"/>
                <w:color w:val="auto"/>
                <w:szCs w:val="21"/>
                <w:highlight w:val="none"/>
              </w:rPr>
              <w:t>供应商未被中国执行信息公开网（网址：</w:t>
            </w:r>
            <w:r>
              <w:rPr>
                <w:rFonts w:ascii="宋体" w:hAnsi="宋体"/>
                <w:color w:val="auto"/>
                <w:szCs w:val="21"/>
                <w:highlight w:val="none"/>
              </w:rPr>
              <w:t>http://zxgk.court.gov.cn/shixin/</w:t>
            </w:r>
            <w:r>
              <w:rPr>
                <w:rFonts w:hint="eastAsia" w:ascii="宋体" w:hAnsi="宋体"/>
                <w:color w:val="auto"/>
                <w:szCs w:val="21"/>
                <w:highlight w:val="none"/>
              </w:rPr>
              <w:t>）列入“失信被执行人”；未被信用中国（网址：</w:t>
            </w:r>
            <w:r>
              <w:rPr>
                <w:rFonts w:ascii="宋体" w:hAnsi="宋体"/>
                <w:color w:val="auto"/>
                <w:szCs w:val="21"/>
                <w:highlight w:val="none"/>
              </w:rPr>
              <w:t>https://www.creditchina.gov.cn/</w:t>
            </w:r>
            <w:r>
              <w:rPr>
                <w:rFonts w:hint="eastAsia" w:ascii="宋体" w:hAnsi="宋体"/>
                <w:color w:val="auto"/>
                <w:szCs w:val="21"/>
                <w:highlight w:val="none"/>
              </w:rPr>
              <w:t>）列入“重大税收违法案件当事人名单”以及“政府采购严重违法失信行为记录名单”；未被中国政府采购网（网址：</w:t>
            </w:r>
            <w:r>
              <w:rPr>
                <w:rFonts w:ascii="宋体" w:hAnsi="宋体"/>
                <w:color w:val="auto"/>
                <w:szCs w:val="21"/>
                <w:highlight w:val="none"/>
              </w:rPr>
              <w:t>http://www.ccgp.gov.cn/</w:t>
            </w:r>
            <w:r>
              <w:rPr>
                <w:rFonts w:hint="eastAsia" w:ascii="宋体" w:hAnsi="宋体"/>
                <w:color w:val="auto"/>
                <w:szCs w:val="21"/>
                <w:highlight w:val="none"/>
              </w:rPr>
              <w:t>）列为“政府采购严重违法失信行为信息记录”（评审前由采购人或采购中心在相关网站进行查询，并留存网站查询截图，供谈判小组备查）。</w:t>
            </w:r>
          </w:p>
        </w:tc>
      </w:tr>
      <w:tr w14:paraId="2839AD1F">
        <w:tblPrEx>
          <w:tblCellMar>
            <w:top w:w="0" w:type="dxa"/>
            <w:left w:w="0" w:type="dxa"/>
            <w:bottom w:w="0" w:type="dxa"/>
            <w:right w:w="0" w:type="dxa"/>
          </w:tblCellMar>
        </w:tblPrEx>
        <w:trPr>
          <w:trHeight w:val="416"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6039B3A3">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1.4.3</w:t>
            </w:r>
          </w:p>
        </w:tc>
        <w:tc>
          <w:tcPr>
            <w:tcW w:w="1035" w:type="pct"/>
            <w:tcBorders>
              <w:top w:val="single" w:color="auto" w:sz="4" w:space="0"/>
              <w:left w:val="single" w:color="auto" w:sz="4" w:space="0"/>
              <w:bottom w:val="single" w:color="auto" w:sz="4" w:space="0"/>
              <w:right w:val="single" w:color="auto" w:sz="4" w:space="0"/>
            </w:tcBorders>
            <w:vAlign w:val="center"/>
          </w:tcPr>
          <w:p w14:paraId="20AD6FC6">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是否接受联</w:t>
            </w:r>
          </w:p>
          <w:p w14:paraId="38A5C690">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合体投标</w:t>
            </w:r>
          </w:p>
        </w:tc>
        <w:tc>
          <w:tcPr>
            <w:tcW w:w="3494" w:type="pct"/>
            <w:tcBorders>
              <w:top w:val="single" w:color="auto" w:sz="4" w:space="0"/>
              <w:left w:val="single" w:color="auto" w:sz="4" w:space="0"/>
              <w:bottom w:val="single" w:color="auto" w:sz="4" w:space="0"/>
              <w:right w:val="single" w:color="auto" w:sz="4" w:space="0"/>
            </w:tcBorders>
            <w:vAlign w:val="center"/>
          </w:tcPr>
          <w:p w14:paraId="4ABF4EAA">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rPr>
              <w:t>不</w:t>
            </w:r>
            <w:r>
              <w:rPr>
                <w:rFonts w:asciiTheme="minorEastAsia" w:hAnsiTheme="minorEastAsia" w:eastAsiaTheme="minorEastAsia"/>
                <w:color w:val="auto"/>
                <w:szCs w:val="21"/>
                <w:highlight w:val="none"/>
              </w:rPr>
              <w:t>接受联合体</w:t>
            </w:r>
            <w:r>
              <w:rPr>
                <w:rFonts w:hint="eastAsia" w:asciiTheme="minorEastAsia" w:hAnsiTheme="minorEastAsia" w:eastAsiaTheme="minorEastAsia"/>
                <w:color w:val="auto"/>
                <w:szCs w:val="21"/>
                <w:highlight w:val="none"/>
              </w:rPr>
              <w:t>投标</w:t>
            </w:r>
            <w:r>
              <w:rPr>
                <w:rFonts w:asciiTheme="minorEastAsia" w:hAnsiTheme="minorEastAsia" w:eastAsiaTheme="minorEastAsia"/>
                <w:color w:val="auto"/>
                <w:szCs w:val="21"/>
                <w:highlight w:val="none"/>
              </w:rPr>
              <w:t>。</w:t>
            </w:r>
          </w:p>
        </w:tc>
      </w:tr>
      <w:tr w14:paraId="57A6B625">
        <w:tblPrEx>
          <w:tblCellMar>
            <w:top w:w="0" w:type="dxa"/>
            <w:left w:w="0" w:type="dxa"/>
            <w:bottom w:w="0" w:type="dxa"/>
            <w:right w:w="0" w:type="dxa"/>
          </w:tblCellMar>
        </w:tblPrEx>
        <w:trPr>
          <w:trHeight w:val="567"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47B33E2D">
            <w:pPr>
              <w:wordWrap w:val="0"/>
              <w:autoSpaceDE w:val="0"/>
              <w:autoSpaceDN w:val="0"/>
              <w:spacing w:before="6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c>
          <w:tcPr>
            <w:tcW w:w="1035" w:type="pct"/>
            <w:tcBorders>
              <w:top w:val="single" w:color="auto" w:sz="4" w:space="0"/>
              <w:left w:val="single" w:color="auto" w:sz="4" w:space="0"/>
              <w:bottom w:val="single" w:color="auto" w:sz="4" w:space="0"/>
              <w:right w:val="single" w:color="auto" w:sz="4" w:space="0"/>
            </w:tcBorders>
            <w:vAlign w:val="center"/>
          </w:tcPr>
          <w:p w14:paraId="42651BDD">
            <w:pPr>
              <w:wordWrap w:val="0"/>
              <w:autoSpaceDE w:val="0"/>
              <w:autoSpaceDN w:val="0"/>
              <w:spacing w:before="6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费用承担</w:t>
            </w:r>
          </w:p>
        </w:tc>
        <w:tc>
          <w:tcPr>
            <w:tcW w:w="3494" w:type="pct"/>
            <w:tcBorders>
              <w:top w:val="single" w:color="auto" w:sz="4" w:space="0"/>
              <w:left w:val="single" w:color="auto" w:sz="4" w:space="0"/>
              <w:bottom w:val="single" w:color="auto" w:sz="4" w:space="0"/>
              <w:right w:val="single" w:color="auto" w:sz="4" w:space="0"/>
            </w:tcBorders>
            <w:vAlign w:val="center"/>
          </w:tcPr>
          <w:p w14:paraId="03D90F1E">
            <w:pPr>
              <w:spacing w:before="120" w:beforeLines="50" w:line="360" w:lineRule="auto"/>
              <w:ind w:left="105" w:leftChars="50" w:right="105" w:rightChars="50"/>
              <w:rPr>
                <w:rFonts w:hint="eastAsia" w:ascii="宋体" w:hAnsi="宋体"/>
                <w:color w:val="auto"/>
                <w:highlight w:val="none"/>
              </w:rPr>
            </w:pPr>
            <w:r>
              <w:rPr>
                <w:rFonts w:hint="eastAsia" w:ascii="宋体" w:hAnsi="宋体"/>
                <w:color w:val="auto"/>
                <w:highlight w:val="none"/>
              </w:rPr>
              <w:t>1.不论评审结果如何，供应商均应自行承担所有参与本次竞争性谈判活动有关的全部费用。</w:t>
            </w:r>
          </w:p>
          <w:p w14:paraId="07620D59">
            <w:pPr>
              <w:spacing w:line="360" w:lineRule="auto"/>
              <w:ind w:left="108" w:right="105" w:rightChars="50"/>
              <w:rPr>
                <w:rFonts w:hint="eastAsia" w:asciiTheme="minorEastAsia" w:hAnsiTheme="minorEastAsia" w:eastAsiaTheme="minorEastAsia"/>
                <w:color w:val="auto"/>
                <w:szCs w:val="21"/>
                <w:highlight w:val="none"/>
              </w:rPr>
            </w:pPr>
            <w:r>
              <w:rPr>
                <w:rFonts w:ascii="宋体" w:hAnsi="宋体"/>
                <w:color w:val="auto"/>
                <w:highlight w:val="none"/>
              </w:rPr>
              <w:t>2</w:t>
            </w:r>
            <w:r>
              <w:rPr>
                <w:rFonts w:hint="eastAsia" w:ascii="宋体" w:hAnsi="宋体"/>
                <w:color w:val="auto"/>
                <w:highlight w:val="none"/>
              </w:rPr>
              <w:t>.本次采购，免收成交服务费。</w:t>
            </w:r>
          </w:p>
        </w:tc>
      </w:tr>
      <w:tr w14:paraId="110C7556">
        <w:tblPrEx>
          <w:tblCellMar>
            <w:top w:w="0" w:type="dxa"/>
            <w:left w:w="0" w:type="dxa"/>
            <w:bottom w:w="0" w:type="dxa"/>
            <w:right w:w="0" w:type="dxa"/>
          </w:tblCellMar>
        </w:tblPrEx>
        <w:trPr>
          <w:trHeight w:val="416"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31A686BA">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.9</w:t>
            </w:r>
          </w:p>
        </w:tc>
        <w:tc>
          <w:tcPr>
            <w:tcW w:w="1035" w:type="pct"/>
            <w:tcBorders>
              <w:top w:val="single" w:color="auto" w:sz="4" w:space="0"/>
              <w:left w:val="single" w:color="auto" w:sz="4" w:space="0"/>
              <w:bottom w:val="single" w:color="auto" w:sz="4" w:space="0"/>
              <w:right w:val="single" w:color="auto" w:sz="4" w:space="0"/>
            </w:tcBorders>
            <w:vAlign w:val="center"/>
          </w:tcPr>
          <w:p w14:paraId="5C8B6CE1">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踏勘现场</w:t>
            </w:r>
          </w:p>
        </w:tc>
        <w:tc>
          <w:tcPr>
            <w:tcW w:w="3494" w:type="pct"/>
            <w:tcBorders>
              <w:top w:val="single" w:color="auto" w:sz="4" w:space="0"/>
              <w:left w:val="single" w:color="auto" w:sz="4" w:space="0"/>
              <w:bottom w:val="single" w:color="auto" w:sz="4" w:space="0"/>
              <w:right w:val="single" w:color="auto" w:sz="4" w:space="0"/>
            </w:tcBorders>
            <w:vAlign w:val="center"/>
          </w:tcPr>
          <w:p w14:paraId="6BDCCF60">
            <w:pPr>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不组织。</w:t>
            </w:r>
          </w:p>
        </w:tc>
      </w:tr>
      <w:tr w14:paraId="70830E24">
        <w:tblPrEx>
          <w:tblCellMar>
            <w:top w:w="0" w:type="dxa"/>
            <w:left w:w="0" w:type="dxa"/>
            <w:bottom w:w="0" w:type="dxa"/>
            <w:right w:w="0" w:type="dxa"/>
          </w:tblCellMar>
        </w:tblPrEx>
        <w:trPr>
          <w:trHeight w:val="1185"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25FE279B">
            <w:pPr>
              <w:wordWrap w:val="0"/>
              <w:autoSpaceDE w:val="0"/>
              <w:autoSpaceDN w:val="0"/>
              <w:spacing w:before="6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1.10.2</w:t>
            </w:r>
          </w:p>
        </w:tc>
        <w:tc>
          <w:tcPr>
            <w:tcW w:w="1035" w:type="pct"/>
            <w:tcBorders>
              <w:top w:val="single" w:color="auto" w:sz="4" w:space="0"/>
              <w:left w:val="single" w:color="auto" w:sz="4" w:space="0"/>
              <w:bottom w:val="single" w:color="auto" w:sz="4" w:space="0"/>
              <w:right w:val="single" w:color="auto" w:sz="4" w:space="0"/>
            </w:tcBorders>
            <w:vAlign w:val="center"/>
          </w:tcPr>
          <w:p w14:paraId="2242241A">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供应商的询问及</w:t>
            </w:r>
          </w:p>
          <w:p w14:paraId="5E6FB529">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答复的规定</w:t>
            </w:r>
          </w:p>
        </w:tc>
        <w:tc>
          <w:tcPr>
            <w:tcW w:w="3494" w:type="pct"/>
            <w:tcBorders>
              <w:top w:val="single" w:color="auto" w:sz="4" w:space="0"/>
              <w:left w:val="single" w:color="auto" w:sz="4" w:space="0"/>
              <w:bottom w:val="single" w:color="auto" w:sz="4" w:space="0"/>
              <w:right w:val="single" w:color="auto" w:sz="4" w:space="0"/>
            </w:tcBorders>
            <w:vAlign w:val="center"/>
          </w:tcPr>
          <w:p w14:paraId="7E85DD2D">
            <w:pPr>
              <w:pStyle w:val="137"/>
              <w:wordWrap w:val="0"/>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供应商可以向采购人或</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提出询问或者凭企业数字证书（CA）登录政府采购云平台，过在线方式提出询问，采购人或者</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在接到询问后的3个工作日内对供应商依法提出的询问作出答复，但答复的内容不涉及商业秘密。</w:t>
            </w:r>
          </w:p>
        </w:tc>
      </w:tr>
      <w:tr w14:paraId="0A660FC6">
        <w:tblPrEx>
          <w:tblCellMar>
            <w:top w:w="0" w:type="dxa"/>
            <w:left w:w="0" w:type="dxa"/>
            <w:bottom w:w="0" w:type="dxa"/>
            <w:right w:w="0" w:type="dxa"/>
          </w:tblCellMar>
        </w:tblPrEx>
        <w:trPr>
          <w:trHeight w:val="274"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6EC27296">
            <w:pPr>
              <w:wordWrap w:val="0"/>
              <w:autoSpaceDE w:val="0"/>
              <w:autoSpaceDN w:val="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1.10.3</w:t>
            </w:r>
          </w:p>
        </w:tc>
        <w:tc>
          <w:tcPr>
            <w:tcW w:w="1035" w:type="pct"/>
            <w:tcBorders>
              <w:top w:val="single" w:color="auto" w:sz="4" w:space="0"/>
              <w:left w:val="single" w:color="auto" w:sz="4" w:space="0"/>
              <w:bottom w:val="single" w:color="auto" w:sz="4" w:space="0"/>
              <w:right w:val="single" w:color="auto" w:sz="4" w:space="0"/>
            </w:tcBorders>
            <w:vAlign w:val="center"/>
          </w:tcPr>
          <w:p w14:paraId="34B2D9E8">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采购人澄清的</w:t>
            </w:r>
          </w:p>
          <w:p w14:paraId="4C5E6509">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时间和方法</w:t>
            </w:r>
          </w:p>
        </w:tc>
        <w:tc>
          <w:tcPr>
            <w:tcW w:w="3494" w:type="pct"/>
            <w:tcBorders>
              <w:top w:val="single" w:color="auto" w:sz="4" w:space="0"/>
              <w:left w:val="single" w:color="auto" w:sz="4" w:space="0"/>
              <w:bottom w:val="single" w:color="auto" w:sz="4" w:space="0"/>
              <w:right w:val="single" w:color="auto" w:sz="4" w:space="0"/>
            </w:tcBorders>
            <w:vAlign w:val="center"/>
          </w:tcPr>
          <w:p w14:paraId="5C56D63F">
            <w:pPr>
              <w:pStyle w:val="137"/>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提交响应文件截止时间前，采购人、</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可以对已发出的采购文件进行必要的澄清，澄清的内容作为采购文件的组成部分，并具有约束力。澄清的内容可能影响采购文件编制的，采购人、</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应在提交响应文件截止时间</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个工作日前，在政府采购云平台通知所有获取采购文件的供应商，但不指明澄清问题的来源。不足</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个工作日的，应当顺延提交响应文件截止时间。</w:t>
            </w:r>
          </w:p>
        </w:tc>
      </w:tr>
      <w:tr w14:paraId="7E735962">
        <w:tblPrEx>
          <w:tblCellMar>
            <w:top w:w="0" w:type="dxa"/>
            <w:left w:w="0" w:type="dxa"/>
            <w:bottom w:w="0" w:type="dxa"/>
            <w:right w:w="0" w:type="dxa"/>
          </w:tblCellMar>
        </w:tblPrEx>
        <w:trPr>
          <w:trHeight w:val="422"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0877CD17">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1.11</w:t>
            </w:r>
          </w:p>
        </w:tc>
        <w:tc>
          <w:tcPr>
            <w:tcW w:w="1035" w:type="pct"/>
            <w:tcBorders>
              <w:top w:val="single" w:color="auto" w:sz="4" w:space="0"/>
              <w:left w:val="single" w:color="auto" w:sz="4" w:space="0"/>
              <w:bottom w:val="single" w:color="auto" w:sz="4" w:space="0"/>
              <w:right w:val="single" w:color="auto" w:sz="4" w:space="0"/>
            </w:tcBorders>
            <w:vAlign w:val="center"/>
          </w:tcPr>
          <w:p w14:paraId="77039AA2">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分包</w:t>
            </w:r>
          </w:p>
        </w:tc>
        <w:tc>
          <w:tcPr>
            <w:tcW w:w="3494" w:type="pct"/>
            <w:tcBorders>
              <w:top w:val="single" w:color="auto" w:sz="4" w:space="0"/>
              <w:left w:val="single" w:color="auto" w:sz="4" w:space="0"/>
              <w:bottom w:val="single" w:color="auto" w:sz="4" w:space="0"/>
              <w:right w:val="single" w:color="auto" w:sz="4" w:space="0"/>
            </w:tcBorders>
            <w:vAlign w:val="center"/>
          </w:tcPr>
          <w:p w14:paraId="60502A4B">
            <w:pPr>
              <w:pStyle w:val="137"/>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不允许。</w:t>
            </w:r>
          </w:p>
        </w:tc>
      </w:tr>
      <w:tr w14:paraId="7A2814EA">
        <w:tblPrEx>
          <w:tblCellMar>
            <w:top w:w="0" w:type="dxa"/>
            <w:left w:w="0" w:type="dxa"/>
            <w:bottom w:w="0" w:type="dxa"/>
            <w:right w:w="0" w:type="dxa"/>
          </w:tblCellMar>
        </w:tblPrEx>
        <w:trPr>
          <w:trHeight w:val="413"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2A38F226">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w:t>
            </w:r>
          </w:p>
        </w:tc>
        <w:tc>
          <w:tcPr>
            <w:tcW w:w="1035" w:type="pct"/>
            <w:tcBorders>
              <w:top w:val="single" w:color="auto" w:sz="4" w:space="0"/>
              <w:left w:val="single" w:color="auto" w:sz="4" w:space="0"/>
              <w:bottom w:val="single" w:color="auto" w:sz="4" w:space="0"/>
              <w:right w:val="single" w:color="auto" w:sz="4" w:space="0"/>
            </w:tcBorders>
            <w:vAlign w:val="center"/>
          </w:tcPr>
          <w:p w14:paraId="65AE64DC">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w:t>
            </w:r>
          </w:p>
        </w:tc>
        <w:tc>
          <w:tcPr>
            <w:tcW w:w="3494" w:type="pct"/>
            <w:tcBorders>
              <w:top w:val="single" w:color="auto" w:sz="4" w:space="0"/>
              <w:left w:val="single" w:color="auto" w:sz="4" w:space="0"/>
              <w:bottom w:val="single" w:color="auto" w:sz="4" w:space="0"/>
              <w:right w:val="single" w:color="auto" w:sz="4" w:space="0"/>
            </w:tcBorders>
            <w:vAlign w:val="center"/>
          </w:tcPr>
          <w:p w14:paraId="6E602994">
            <w:pPr>
              <w:pStyle w:val="137"/>
              <w:spacing w:before="120" w:beforeLines="50" w:line="360" w:lineRule="auto"/>
              <w:ind w:left="105" w:leftChars="50" w:right="105" w:rightChars="5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允许。</w:t>
            </w:r>
            <w:r>
              <w:rPr>
                <w:rFonts w:hint="eastAsia" w:asciiTheme="minorEastAsia" w:hAnsiTheme="minorEastAsia" w:eastAsiaTheme="minorEastAsia"/>
                <w:b/>
                <w:bCs/>
                <w:color w:val="auto"/>
                <w:kern w:val="0"/>
                <w:szCs w:val="21"/>
                <w:highlight w:val="none"/>
              </w:rPr>
              <w:t>本项目允许偏离的内容指：供应商可以在响应文件中提供优于采购文件要求的偏离；不允许负偏离，否则响应文件按否决处理。</w:t>
            </w:r>
          </w:p>
        </w:tc>
      </w:tr>
      <w:tr w14:paraId="33990CBA">
        <w:tblPrEx>
          <w:tblCellMar>
            <w:top w:w="0" w:type="dxa"/>
            <w:left w:w="0" w:type="dxa"/>
            <w:bottom w:w="0" w:type="dxa"/>
            <w:right w:w="0" w:type="dxa"/>
          </w:tblCellMar>
        </w:tblPrEx>
        <w:trPr>
          <w:trHeight w:val="416"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6EB7427A">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2.2.1</w:t>
            </w:r>
          </w:p>
        </w:tc>
        <w:tc>
          <w:tcPr>
            <w:tcW w:w="1035" w:type="pct"/>
            <w:tcBorders>
              <w:top w:val="single" w:color="auto" w:sz="4" w:space="0"/>
              <w:left w:val="single" w:color="auto" w:sz="4" w:space="0"/>
              <w:bottom w:val="single" w:color="auto" w:sz="4" w:space="0"/>
              <w:right w:val="single" w:color="auto" w:sz="4" w:space="0"/>
            </w:tcBorders>
            <w:vAlign w:val="center"/>
          </w:tcPr>
          <w:p w14:paraId="077E2AB3">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供应商要求澄清采购文件的截止时间和方法</w:t>
            </w:r>
          </w:p>
        </w:tc>
        <w:tc>
          <w:tcPr>
            <w:tcW w:w="3494" w:type="pct"/>
            <w:tcBorders>
              <w:top w:val="single" w:color="auto" w:sz="4" w:space="0"/>
              <w:left w:val="single" w:color="auto" w:sz="4" w:space="0"/>
              <w:bottom w:val="single" w:color="auto" w:sz="4" w:space="0"/>
              <w:right w:val="single" w:color="auto" w:sz="4" w:space="0"/>
            </w:tcBorders>
            <w:vAlign w:val="center"/>
          </w:tcPr>
          <w:p w14:paraId="0E38C98E">
            <w:pPr>
              <w:pStyle w:val="137"/>
              <w:spacing w:before="120" w:beforeLines="50" w:line="360" w:lineRule="auto"/>
              <w:ind w:left="105" w:leftChars="50" w:right="105" w:rightChars="50"/>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同1.10.2的时间要求。供应商应仔细阅读和检查采购文件的全部内容，如发现缺页或附件不全，应及时向采购人提出，以便补齐。如有疑问，应在第1.10.2条规定的时间前，要求采购人或</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对采购文件予以澄清。</w:t>
            </w:r>
          </w:p>
        </w:tc>
      </w:tr>
      <w:tr w14:paraId="6471CEE0">
        <w:tblPrEx>
          <w:tblCellMar>
            <w:top w:w="0" w:type="dxa"/>
            <w:left w:w="0" w:type="dxa"/>
            <w:bottom w:w="0" w:type="dxa"/>
            <w:right w:w="0" w:type="dxa"/>
          </w:tblCellMar>
        </w:tblPrEx>
        <w:trPr>
          <w:trHeight w:val="49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118A01A2">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2.2.2</w:t>
            </w:r>
          </w:p>
        </w:tc>
        <w:tc>
          <w:tcPr>
            <w:tcW w:w="1035" w:type="pct"/>
            <w:tcBorders>
              <w:top w:val="single" w:color="auto" w:sz="4" w:space="0"/>
              <w:left w:val="single" w:color="auto" w:sz="4" w:space="0"/>
              <w:bottom w:val="single" w:color="auto" w:sz="4" w:space="0"/>
              <w:right w:val="single" w:color="auto" w:sz="4" w:space="0"/>
            </w:tcBorders>
            <w:vAlign w:val="center"/>
          </w:tcPr>
          <w:p w14:paraId="766D50F5">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响应文件的提交</w:t>
            </w:r>
          </w:p>
          <w:p w14:paraId="5AC7AE2E">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截止时间</w:t>
            </w:r>
          </w:p>
        </w:tc>
        <w:tc>
          <w:tcPr>
            <w:tcW w:w="3494" w:type="pct"/>
            <w:tcBorders>
              <w:top w:val="single" w:color="auto" w:sz="4" w:space="0"/>
              <w:left w:val="single" w:color="auto" w:sz="4" w:space="0"/>
              <w:bottom w:val="single" w:color="auto" w:sz="4" w:space="0"/>
              <w:right w:val="single" w:color="auto" w:sz="4" w:space="0"/>
            </w:tcBorders>
            <w:vAlign w:val="center"/>
          </w:tcPr>
          <w:p w14:paraId="3971F932">
            <w:pPr>
              <w:pStyle w:val="137"/>
              <w:ind w:left="105" w:leftChars="50"/>
              <w:rPr>
                <w:rFonts w:hint="eastAsia" w:cs="宋体"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以云南省政府采购网发布的时间为准。</w:t>
            </w:r>
          </w:p>
        </w:tc>
      </w:tr>
      <w:tr w14:paraId="4912DB8E">
        <w:tblPrEx>
          <w:tblCellMar>
            <w:top w:w="0" w:type="dxa"/>
            <w:left w:w="0" w:type="dxa"/>
            <w:bottom w:w="0" w:type="dxa"/>
            <w:right w:w="0" w:type="dxa"/>
          </w:tblCellMar>
        </w:tblPrEx>
        <w:trPr>
          <w:trHeight w:val="567"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7D1A4DCC">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2.2.3</w:t>
            </w:r>
          </w:p>
        </w:tc>
        <w:tc>
          <w:tcPr>
            <w:tcW w:w="1035" w:type="pct"/>
            <w:tcBorders>
              <w:top w:val="single" w:color="auto" w:sz="4" w:space="0"/>
              <w:left w:val="single" w:color="auto" w:sz="4" w:space="0"/>
              <w:bottom w:val="single" w:color="auto" w:sz="4" w:space="0"/>
              <w:right w:val="single" w:color="auto" w:sz="4" w:space="0"/>
            </w:tcBorders>
            <w:vAlign w:val="center"/>
          </w:tcPr>
          <w:p w14:paraId="752796EC">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供应商确认收到采购文件澄清的时间</w:t>
            </w:r>
          </w:p>
        </w:tc>
        <w:tc>
          <w:tcPr>
            <w:tcW w:w="3494" w:type="pct"/>
            <w:tcBorders>
              <w:top w:val="single" w:color="auto" w:sz="4" w:space="0"/>
              <w:left w:val="single" w:color="auto" w:sz="4" w:space="0"/>
              <w:bottom w:val="single" w:color="auto" w:sz="4" w:space="0"/>
              <w:right w:val="single" w:color="auto" w:sz="4" w:space="0"/>
            </w:tcBorders>
            <w:vAlign w:val="center"/>
          </w:tcPr>
          <w:p w14:paraId="0AD5D9D8">
            <w:pPr>
              <w:wordWrap w:val="0"/>
              <w:autoSpaceDE w:val="0"/>
              <w:autoSpaceDN w:val="0"/>
              <w:ind w:left="105" w:leftChars="50"/>
              <w:contextualSpacing/>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收到当天。</w:t>
            </w:r>
          </w:p>
        </w:tc>
      </w:tr>
      <w:tr w14:paraId="72757D57">
        <w:tblPrEx>
          <w:tblCellMar>
            <w:top w:w="0" w:type="dxa"/>
            <w:left w:w="0" w:type="dxa"/>
            <w:bottom w:w="0" w:type="dxa"/>
            <w:right w:w="0" w:type="dxa"/>
          </w:tblCellMar>
        </w:tblPrEx>
        <w:trPr>
          <w:trHeight w:val="132"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737DB73E">
            <w:pPr>
              <w:wordWrap w:val="0"/>
              <w:autoSpaceDE w:val="0"/>
              <w:autoSpaceDN w:val="0"/>
              <w:spacing w:before="6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3.2.1</w:t>
            </w:r>
          </w:p>
        </w:tc>
        <w:tc>
          <w:tcPr>
            <w:tcW w:w="1035" w:type="pct"/>
            <w:tcBorders>
              <w:top w:val="single" w:color="auto" w:sz="4" w:space="0"/>
              <w:left w:val="single" w:color="auto" w:sz="4" w:space="0"/>
              <w:bottom w:val="single" w:color="auto" w:sz="4" w:space="0"/>
              <w:right w:val="single" w:color="auto" w:sz="4" w:space="0"/>
            </w:tcBorders>
            <w:vAlign w:val="center"/>
          </w:tcPr>
          <w:p w14:paraId="38EBAB80">
            <w:pPr>
              <w:autoSpaceDE w:val="0"/>
              <w:autoSpaceDN w:val="0"/>
              <w:spacing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最高限价</w:t>
            </w:r>
          </w:p>
        </w:tc>
        <w:tc>
          <w:tcPr>
            <w:tcW w:w="3494" w:type="pct"/>
            <w:tcBorders>
              <w:top w:val="single" w:color="auto" w:sz="4" w:space="0"/>
              <w:left w:val="single" w:color="auto" w:sz="4" w:space="0"/>
              <w:bottom w:val="single" w:color="auto" w:sz="4" w:space="0"/>
              <w:right w:val="single" w:color="auto" w:sz="4" w:space="0"/>
            </w:tcBorders>
            <w:vAlign w:val="center"/>
          </w:tcPr>
          <w:p w14:paraId="2E3B0433">
            <w:pPr>
              <w:spacing w:before="120" w:beforeLines="50" w:line="360" w:lineRule="auto"/>
              <w:ind w:left="105" w:leftChars="50" w:right="105" w:rightChars="50"/>
              <w:rPr>
                <w:rFonts w:hint="eastAsia" w:ascii="宋体" w:hAnsi="宋体"/>
                <w:b/>
                <w:color w:val="auto"/>
                <w:szCs w:val="21"/>
                <w:highlight w:val="none"/>
              </w:rPr>
            </w:pPr>
            <w:r>
              <w:rPr>
                <w:rFonts w:hint="eastAsia" w:asciiTheme="minorEastAsia" w:hAnsiTheme="minorEastAsia" w:eastAsiaTheme="minorEastAsia"/>
                <w:b/>
                <w:color w:val="auto"/>
                <w:szCs w:val="21"/>
                <w:highlight w:val="none"/>
              </w:rPr>
              <w:t>本项目的最高限价为：</w:t>
            </w:r>
            <w:r>
              <w:rPr>
                <w:rFonts w:hint="eastAsia" w:ascii="宋体" w:hAnsi="宋体"/>
                <w:b/>
                <w:color w:val="auto"/>
                <w:szCs w:val="21"/>
                <w:highlight w:val="none"/>
                <w:u w:val="single"/>
              </w:rPr>
              <w:t>¥4</w:t>
            </w:r>
            <w:r>
              <w:rPr>
                <w:rFonts w:hint="eastAsia" w:ascii="宋体" w:hAnsi="宋体"/>
                <w:b/>
                <w:color w:val="auto"/>
                <w:szCs w:val="21"/>
                <w:highlight w:val="none"/>
                <w:u w:val="single"/>
                <w:lang w:val="en-US" w:eastAsia="zh-CN"/>
              </w:rPr>
              <w:t>00,000</w:t>
            </w:r>
            <w:r>
              <w:rPr>
                <w:rFonts w:hint="eastAsia" w:ascii="宋体" w:hAnsi="宋体"/>
                <w:b/>
                <w:color w:val="auto"/>
                <w:szCs w:val="21"/>
                <w:highlight w:val="none"/>
                <w:u w:val="single"/>
              </w:rPr>
              <w:t>.00元（大写：</w:t>
            </w:r>
            <w:r>
              <w:rPr>
                <w:rFonts w:hint="eastAsia" w:ascii="宋体" w:hAnsi="宋体"/>
                <w:b/>
                <w:color w:val="auto"/>
                <w:szCs w:val="21"/>
                <w:highlight w:val="none"/>
                <w:u w:val="single"/>
                <w:lang w:val="en-US" w:eastAsia="zh-CN"/>
              </w:rPr>
              <w:t>人民币</w:t>
            </w:r>
            <w:r>
              <w:rPr>
                <w:rFonts w:hint="eastAsia" w:ascii="宋体" w:hAnsi="宋体"/>
                <w:b/>
                <w:color w:val="auto"/>
                <w:szCs w:val="21"/>
                <w:highlight w:val="none"/>
                <w:u w:val="single"/>
              </w:rPr>
              <w:t>肆拾万元整）</w:t>
            </w:r>
            <w:r>
              <w:rPr>
                <w:rFonts w:hint="eastAsia" w:ascii="宋体" w:hAnsi="宋体"/>
                <w:b/>
                <w:color w:val="auto"/>
                <w:szCs w:val="21"/>
                <w:highlight w:val="none"/>
              </w:rPr>
              <w:t>。</w:t>
            </w:r>
          </w:p>
          <w:p w14:paraId="0BFC8B37">
            <w:pPr>
              <w:pStyle w:val="137"/>
              <w:spacing w:line="360" w:lineRule="auto"/>
              <w:ind w:left="105" w:leftChars="50" w:right="105" w:rightChars="50"/>
              <w:rPr>
                <w:rFonts w:hint="eastAsia" w:asciiTheme="minorEastAsia" w:hAnsiTheme="minorEastAsia" w:eastAsiaTheme="minorEastAsia"/>
                <w:b/>
                <w:bCs/>
                <w:color w:val="auto"/>
                <w:szCs w:val="21"/>
                <w:highlight w:val="none"/>
              </w:rPr>
            </w:pPr>
            <w:r>
              <w:rPr>
                <w:rFonts w:hint="eastAsia" w:ascii="宋体" w:hAnsi="宋体"/>
                <w:color w:val="auto"/>
                <w:szCs w:val="21"/>
                <w:highlight w:val="none"/>
              </w:rPr>
              <w:t>注：供应商的响应文件中的谈判报价以及二次报价均不得高于以上的最高限价，否则按否决处理。</w:t>
            </w:r>
          </w:p>
        </w:tc>
      </w:tr>
      <w:tr w14:paraId="2CA5DCFA">
        <w:tblPrEx>
          <w:tblCellMar>
            <w:top w:w="0" w:type="dxa"/>
            <w:left w:w="0" w:type="dxa"/>
            <w:bottom w:w="0" w:type="dxa"/>
            <w:right w:w="0" w:type="dxa"/>
          </w:tblCellMar>
        </w:tblPrEx>
        <w:trPr>
          <w:trHeight w:val="132"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205673EF">
            <w:pPr>
              <w:wordWrap w:val="0"/>
              <w:autoSpaceDE w:val="0"/>
              <w:autoSpaceDN w:val="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3.2.2</w:t>
            </w:r>
          </w:p>
        </w:tc>
        <w:tc>
          <w:tcPr>
            <w:tcW w:w="1035" w:type="pct"/>
            <w:tcBorders>
              <w:top w:val="single" w:color="auto" w:sz="4" w:space="0"/>
              <w:left w:val="single" w:color="auto" w:sz="4" w:space="0"/>
              <w:bottom w:val="single" w:color="auto" w:sz="4" w:space="0"/>
              <w:right w:val="single" w:color="auto" w:sz="4" w:space="0"/>
            </w:tcBorders>
            <w:vAlign w:val="center"/>
          </w:tcPr>
          <w:p w14:paraId="2FAA5F15">
            <w:pPr>
              <w:autoSpaceDE w:val="0"/>
              <w:autoSpaceDN w:val="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报价方式</w:t>
            </w:r>
          </w:p>
        </w:tc>
        <w:tc>
          <w:tcPr>
            <w:tcW w:w="3494" w:type="pct"/>
            <w:tcBorders>
              <w:top w:val="single" w:color="auto" w:sz="4" w:space="0"/>
              <w:left w:val="single" w:color="auto" w:sz="4" w:space="0"/>
              <w:bottom w:val="single" w:color="auto" w:sz="4" w:space="0"/>
              <w:right w:val="single" w:color="auto" w:sz="4" w:space="0"/>
            </w:tcBorders>
            <w:vAlign w:val="center"/>
          </w:tcPr>
          <w:p w14:paraId="1027096C">
            <w:pPr>
              <w:pStyle w:val="21"/>
              <w:spacing w:before="120" w:beforeLines="50" w:line="360" w:lineRule="auto"/>
              <w:ind w:left="105" w:leftChars="50" w:right="105" w:rightChars="50"/>
              <w:rPr>
                <w:rFonts w:hint="eastAsia" w:asciiTheme="minorEastAsia" w:hAnsiTheme="minorEastAsia" w:eastAsiaTheme="minorEastAsia"/>
                <w:bCs w:val="0"/>
                <w:color w:val="auto"/>
                <w:sz w:val="21"/>
                <w:szCs w:val="21"/>
                <w:highlight w:val="none"/>
              </w:rPr>
            </w:pPr>
            <w:r>
              <w:rPr>
                <w:rFonts w:hint="eastAsia" w:asciiTheme="minorEastAsia" w:hAnsiTheme="minorEastAsia" w:eastAsiaTheme="minorEastAsia"/>
                <w:bCs w:val="0"/>
                <w:color w:val="auto"/>
                <w:sz w:val="21"/>
                <w:szCs w:val="21"/>
                <w:highlight w:val="none"/>
              </w:rPr>
              <w:t>本项目采用</w:t>
            </w:r>
            <w:r>
              <w:rPr>
                <w:rFonts w:hint="eastAsia" w:asciiTheme="minorEastAsia" w:hAnsiTheme="minorEastAsia" w:eastAsiaTheme="minorEastAsia"/>
                <w:b/>
                <w:color w:val="auto"/>
                <w:sz w:val="21"/>
                <w:szCs w:val="21"/>
                <w:highlight w:val="none"/>
                <w:u w:val="single"/>
              </w:rPr>
              <w:t>总价包干</w:t>
            </w:r>
            <w:r>
              <w:rPr>
                <w:rFonts w:hint="eastAsia" w:asciiTheme="minorEastAsia" w:hAnsiTheme="minorEastAsia" w:eastAsiaTheme="minorEastAsia"/>
                <w:bCs w:val="0"/>
                <w:color w:val="auto"/>
                <w:sz w:val="21"/>
                <w:szCs w:val="21"/>
                <w:highlight w:val="none"/>
              </w:rPr>
              <w:t>的方式进行报价。</w:t>
            </w:r>
          </w:p>
          <w:p w14:paraId="44A13E7D">
            <w:pPr>
              <w:pStyle w:val="21"/>
              <w:spacing w:line="360" w:lineRule="auto"/>
              <w:ind w:left="105" w:leftChars="50" w:right="105" w:rightChars="50"/>
              <w:rPr>
                <w:rFonts w:hint="eastAsia" w:asciiTheme="minorEastAsia" w:hAnsiTheme="minorEastAsia" w:eastAsiaTheme="minorEastAsia"/>
                <w:bCs w:val="0"/>
                <w:color w:val="auto"/>
                <w:sz w:val="21"/>
                <w:szCs w:val="21"/>
                <w:highlight w:val="none"/>
              </w:rPr>
            </w:pPr>
            <w:r>
              <w:rPr>
                <w:rFonts w:hint="eastAsia" w:asciiTheme="minorEastAsia" w:hAnsiTheme="minorEastAsia" w:eastAsiaTheme="minorEastAsia"/>
                <w:bCs w:val="0"/>
                <w:color w:val="auto"/>
                <w:sz w:val="21"/>
                <w:szCs w:val="21"/>
                <w:highlight w:val="none"/>
              </w:rPr>
              <w:t>注：（1）供应商的谈判报价为完成本项目所有服务内容所需的全部费用，包括人工、服装、管理、保险、税金、利润等所有费用；</w:t>
            </w:r>
          </w:p>
          <w:p w14:paraId="74D2AEAE">
            <w:pPr>
              <w:pStyle w:val="21"/>
              <w:spacing w:line="360" w:lineRule="auto"/>
              <w:ind w:left="105" w:leftChars="50" w:right="105" w:rightChars="50" w:firstLine="420" w:firstLineChars="200"/>
              <w:rPr>
                <w:rFonts w:hint="eastAsia" w:asciiTheme="minorEastAsia" w:hAnsiTheme="minorEastAsia" w:eastAsiaTheme="minorEastAsia"/>
                <w:bCs w:val="0"/>
                <w:color w:val="auto"/>
                <w:sz w:val="21"/>
                <w:szCs w:val="21"/>
                <w:highlight w:val="none"/>
              </w:rPr>
            </w:pPr>
            <w:r>
              <w:rPr>
                <w:rFonts w:hint="eastAsia" w:asciiTheme="minorEastAsia" w:hAnsiTheme="minorEastAsia" w:eastAsiaTheme="minorEastAsia"/>
                <w:bCs w:val="0"/>
                <w:color w:val="auto"/>
                <w:sz w:val="21"/>
                <w:szCs w:val="21"/>
                <w:highlight w:val="none"/>
              </w:rPr>
              <w:t>（2）在响应文件中，供应商投报两个或多个谈判报价，又未书面声明其中哪一个有效的，响应文件按否决处理；</w:t>
            </w:r>
          </w:p>
          <w:p w14:paraId="627E91A2">
            <w:pPr>
              <w:pStyle w:val="21"/>
              <w:spacing w:line="360" w:lineRule="auto"/>
              <w:ind w:left="105" w:leftChars="50" w:right="105" w:rightChars="50" w:firstLine="420" w:firstLineChars="200"/>
              <w:rPr>
                <w:rFonts w:hint="eastAsia" w:asciiTheme="minorEastAsia" w:hAnsiTheme="minorEastAsia" w:eastAsiaTheme="minorEastAsia"/>
                <w:bCs w:val="0"/>
                <w:color w:val="auto"/>
                <w:sz w:val="21"/>
                <w:szCs w:val="21"/>
                <w:highlight w:val="none"/>
              </w:rPr>
            </w:pPr>
            <w:r>
              <w:rPr>
                <w:rFonts w:hint="eastAsia" w:asciiTheme="minorEastAsia" w:hAnsiTheme="minorEastAsia" w:eastAsiaTheme="minorEastAsia"/>
                <w:bCs w:val="0"/>
                <w:color w:val="auto"/>
                <w:sz w:val="21"/>
                <w:szCs w:val="21"/>
                <w:highlight w:val="none"/>
              </w:rPr>
              <w:t>（</w:t>
            </w:r>
            <w:r>
              <w:rPr>
                <w:rFonts w:asciiTheme="minorEastAsia" w:hAnsiTheme="minorEastAsia" w:eastAsiaTheme="minorEastAsia"/>
                <w:bCs w:val="0"/>
                <w:color w:val="auto"/>
                <w:sz w:val="21"/>
                <w:szCs w:val="21"/>
                <w:highlight w:val="none"/>
              </w:rPr>
              <w:t>3</w:t>
            </w:r>
            <w:r>
              <w:rPr>
                <w:rFonts w:hint="eastAsia" w:asciiTheme="minorEastAsia" w:hAnsiTheme="minorEastAsia" w:eastAsiaTheme="minorEastAsia"/>
                <w:bCs w:val="0"/>
                <w:color w:val="auto"/>
                <w:sz w:val="21"/>
                <w:szCs w:val="21"/>
                <w:highlight w:val="none"/>
              </w:rPr>
              <w:t>）合同履行期间，成交供应商的成交价不随国家政策、市场行情等变化而调整。</w:t>
            </w:r>
          </w:p>
        </w:tc>
      </w:tr>
      <w:tr w14:paraId="3841F259">
        <w:tblPrEx>
          <w:tblCellMar>
            <w:top w:w="0" w:type="dxa"/>
            <w:left w:w="0" w:type="dxa"/>
            <w:bottom w:w="0" w:type="dxa"/>
            <w:right w:w="0" w:type="dxa"/>
          </w:tblCellMar>
        </w:tblPrEx>
        <w:trPr>
          <w:trHeight w:val="416"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721B3696">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.2.3</w:t>
            </w:r>
          </w:p>
        </w:tc>
        <w:tc>
          <w:tcPr>
            <w:tcW w:w="1035" w:type="pct"/>
            <w:tcBorders>
              <w:top w:val="single" w:color="auto" w:sz="4" w:space="0"/>
              <w:left w:val="single" w:color="auto" w:sz="4" w:space="0"/>
              <w:bottom w:val="single" w:color="auto" w:sz="4" w:space="0"/>
              <w:right w:val="single" w:color="auto" w:sz="4" w:space="0"/>
            </w:tcBorders>
            <w:vAlign w:val="center"/>
          </w:tcPr>
          <w:p w14:paraId="190A1B8B">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结算方式</w:t>
            </w:r>
          </w:p>
        </w:tc>
        <w:tc>
          <w:tcPr>
            <w:tcW w:w="3494" w:type="pct"/>
            <w:tcBorders>
              <w:top w:val="single" w:color="auto" w:sz="4" w:space="0"/>
              <w:left w:val="single" w:color="auto" w:sz="4" w:space="0"/>
              <w:bottom w:val="single" w:color="auto" w:sz="4" w:space="0"/>
              <w:right w:val="single" w:color="auto" w:sz="4" w:space="0"/>
            </w:tcBorders>
            <w:vAlign w:val="center"/>
          </w:tcPr>
          <w:p w14:paraId="33CF717F">
            <w:pPr>
              <w:pStyle w:val="21"/>
              <w:spacing w:before="120" w:beforeLines="50" w:line="360" w:lineRule="auto"/>
              <w:ind w:left="105" w:leftChars="50" w:right="105" w:rightChars="50"/>
              <w:rPr>
                <w:rFonts w:hint="eastAsia" w:asciiTheme="minorEastAsia" w:hAnsiTheme="minorEastAsia" w:eastAsiaTheme="minorEastAsia"/>
                <w:bCs w:val="0"/>
                <w:color w:val="auto"/>
                <w:sz w:val="21"/>
                <w:szCs w:val="21"/>
                <w:highlight w:val="none"/>
              </w:rPr>
            </w:pPr>
            <w:r>
              <w:rPr>
                <w:rFonts w:hint="eastAsia" w:asciiTheme="minorEastAsia" w:hAnsiTheme="minorEastAsia" w:eastAsiaTheme="minorEastAsia"/>
                <w:bCs w:val="0"/>
                <w:color w:val="auto"/>
                <w:sz w:val="21"/>
                <w:szCs w:val="21"/>
                <w:highlight w:val="none"/>
              </w:rPr>
              <w:t>结算时，按照成交供应商的成交价进行结算，合同履行期间，采购人不再支付其它任何费用。</w:t>
            </w:r>
          </w:p>
        </w:tc>
      </w:tr>
      <w:tr w14:paraId="4FC16832">
        <w:tblPrEx>
          <w:tblCellMar>
            <w:top w:w="0" w:type="dxa"/>
            <w:left w:w="0" w:type="dxa"/>
            <w:bottom w:w="0" w:type="dxa"/>
            <w:right w:w="0" w:type="dxa"/>
          </w:tblCellMar>
        </w:tblPrEx>
        <w:trPr>
          <w:trHeight w:val="416"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06FDE04E">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3.2.5</w:t>
            </w:r>
          </w:p>
        </w:tc>
        <w:tc>
          <w:tcPr>
            <w:tcW w:w="1035" w:type="pct"/>
            <w:tcBorders>
              <w:top w:val="single" w:color="auto" w:sz="4" w:space="0"/>
              <w:left w:val="single" w:color="auto" w:sz="4" w:space="0"/>
              <w:bottom w:val="single" w:color="auto" w:sz="4" w:space="0"/>
              <w:right w:val="single" w:color="auto" w:sz="4" w:space="0"/>
            </w:tcBorders>
            <w:vAlign w:val="center"/>
          </w:tcPr>
          <w:p w14:paraId="09EB13C8">
            <w:pPr>
              <w:wordWrap w:val="0"/>
              <w:autoSpaceDE w:val="0"/>
              <w:autoSpaceDN w:val="0"/>
              <w:spacing w:before="60" w:after="60" w:line="360" w:lineRule="auto"/>
              <w:contextualSpacing/>
              <w:jc w:val="center"/>
              <w:rPr>
                <w:rFonts w:hint="eastAsia" w:asciiTheme="minorEastAsia" w:hAnsiTheme="minorEastAsia" w:eastAsiaTheme="minorEastAsia"/>
                <w:color w:val="auto"/>
                <w:szCs w:val="21"/>
                <w:highlight w:val="none"/>
              </w:rPr>
            </w:pPr>
            <w:r>
              <w:rPr>
                <w:rFonts w:hint="eastAsia" w:ascii="宋体" w:hAnsi="宋体"/>
                <w:color w:val="auto"/>
                <w:szCs w:val="21"/>
                <w:highlight w:val="none"/>
              </w:rPr>
              <w:t>二次报价</w:t>
            </w:r>
          </w:p>
        </w:tc>
        <w:tc>
          <w:tcPr>
            <w:tcW w:w="3494" w:type="pct"/>
            <w:tcBorders>
              <w:top w:val="single" w:color="auto" w:sz="4" w:space="0"/>
              <w:left w:val="single" w:color="auto" w:sz="4" w:space="0"/>
              <w:bottom w:val="single" w:color="auto" w:sz="4" w:space="0"/>
              <w:right w:val="single" w:color="auto" w:sz="4" w:space="0"/>
            </w:tcBorders>
            <w:vAlign w:val="center"/>
          </w:tcPr>
          <w:p w14:paraId="423D7796">
            <w:pPr>
              <w:spacing w:before="120" w:beforeLines="50" w:line="360" w:lineRule="auto"/>
              <w:ind w:left="105" w:leftChars="50" w:right="105" w:righ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通过资格审查、符合性评审的供应商，获得二次报价（最终报价）的机会。</w:t>
            </w:r>
          </w:p>
          <w:p w14:paraId="55A38174">
            <w:pPr>
              <w:spacing w:line="360" w:lineRule="auto"/>
              <w:ind w:left="105" w:leftChars="50" w:right="105" w:righ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谈判小组在政府采购云平台上发起二次报价后，供应商从政府采购云平台上下载附件《二次报价表》，按照格式在规定的时间内进行填报并上传。</w:t>
            </w:r>
          </w:p>
          <w:p w14:paraId="392A0281">
            <w:pPr>
              <w:spacing w:line="360" w:lineRule="auto"/>
              <w:ind w:left="105" w:leftChars="50" w:right="105" w:rightChars="50"/>
              <w:rPr>
                <w:rFonts w:hint="eastAsia" w:asciiTheme="minorEastAsia" w:hAnsiTheme="minorEastAsia" w:eastAsiaTheme="minorEastAsia"/>
                <w:color w:val="auto"/>
                <w:szCs w:val="21"/>
                <w:highlight w:val="none"/>
              </w:rPr>
            </w:pPr>
            <w:r>
              <w:rPr>
                <w:b/>
                <w:bCs/>
                <w:color w:val="auto"/>
                <w:highlight w:val="none"/>
              </w:rPr>
              <w:t>注：请供应商务必在规定的时间内进行二次报价及上传经电子签章后的《二次报价表》，同时保持通讯工具畅通。若供应商未在规定的时间内进行二次报价或联系不上的，</w:t>
            </w:r>
            <w:r>
              <w:rPr>
                <w:rFonts w:hint="eastAsia"/>
                <w:b/>
                <w:bCs/>
                <w:color w:val="auto"/>
                <w:highlight w:val="none"/>
              </w:rPr>
              <w:t>谈判小组</w:t>
            </w:r>
            <w:r>
              <w:rPr>
                <w:b/>
                <w:bCs/>
                <w:color w:val="auto"/>
                <w:highlight w:val="none"/>
              </w:rPr>
              <w:t>将视为其放弃二次报价，并将其响应文件中的</w:t>
            </w:r>
            <w:r>
              <w:rPr>
                <w:rFonts w:hint="eastAsia"/>
                <w:b/>
                <w:bCs/>
                <w:color w:val="auto"/>
                <w:highlight w:val="none"/>
              </w:rPr>
              <w:t>谈判</w:t>
            </w:r>
            <w:r>
              <w:rPr>
                <w:b/>
                <w:bCs/>
                <w:color w:val="auto"/>
                <w:highlight w:val="none"/>
              </w:rPr>
              <w:t>报价作为其最后报价参与评审。</w:t>
            </w:r>
          </w:p>
        </w:tc>
      </w:tr>
      <w:tr w14:paraId="0BD4DA68">
        <w:tblPrEx>
          <w:tblCellMar>
            <w:top w:w="0" w:type="dxa"/>
            <w:left w:w="0" w:type="dxa"/>
            <w:bottom w:w="0" w:type="dxa"/>
            <w:right w:w="0" w:type="dxa"/>
          </w:tblCellMar>
        </w:tblPrEx>
        <w:trPr>
          <w:trHeight w:val="462"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54FB18AC">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w:t>
            </w:r>
          </w:p>
        </w:tc>
        <w:tc>
          <w:tcPr>
            <w:tcW w:w="1035" w:type="pct"/>
            <w:tcBorders>
              <w:top w:val="single" w:color="auto" w:sz="4" w:space="0"/>
              <w:left w:val="single" w:color="auto" w:sz="4" w:space="0"/>
              <w:bottom w:val="single" w:color="auto" w:sz="4" w:space="0"/>
              <w:right w:val="single" w:color="auto" w:sz="4" w:space="0"/>
            </w:tcBorders>
            <w:vAlign w:val="center"/>
          </w:tcPr>
          <w:p w14:paraId="3FEE5E3E">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谈判有效期</w:t>
            </w:r>
          </w:p>
        </w:tc>
        <w:tc>
          <w:tcPr>
            <w:tcW w:w="3494" w:type="pct"/>
            <w:tcBorders>
              <w:top w:val="single" w:color="auto" w:sz="4" w:space="0"/>
              <w:left w:val="single" w:color="auto" w:sz="4" w:space="0"/>
              <w:bottom w:val="single" w:color="auto" w:sz="4" w:space="0"/>
              <w:right w:val="single" w:color="auto" w:sz="4" w:space="0"/>
            </w:tcBorders>
            <w:vAlign w:val="center"/>
          </w:tcPr>
          <w:p w14:paraId="36A24F9C">
            <w:pPr>
              <w:spacing w:before="120" w:beforeLines="50" w:line="360" w:lineRule="auto"/>
              <w:ind w:left="105" w:leftChars="50"/>
              <w:jc w:val="left"/>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60</w:t>
            </w:r>
            <w:r>
              <w:rPr>
                <w:rFonts w:hint="eastAsia" w:asciiTheme="minorEastAsia" w:hAnsiTheme="minorEastAsia" w:eastAsiaTheme="minorEastAsia"/>
                <w:color w:val="auto"/>
                <w:szCs w:val="21"/>
                <w:highlight w:val="none"/>
              </w:rPr>
              <w:t>日历天（从响应文件提交截止之日算起）。</w:t>
            </w:r>
          </w:p>
        </w:tc>
      </w:tr>
      <w:tr w14:paraId="3759F2E8">
        <w:tblPrEx>
          <w:tblCellMar>
            <w:top w:w="0" w:type="dxa"/>
            <w:left w:w="0" w:type="dxa"/>
            <w:bottom w:w="0" w:type="dxa"/>
            <w:right w:w="0" w:type="dxa"/>
          </w:tblCellMar>
        </w:tblPrEx>
        <w:trPr>
          <w:trHeight w:val="274"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7FCB8D3C">
            <w:pPr>
              <w:autoSpaceDE w:val="0"/>
              <w:autoSpaceDN w:val="0"/>
              <w:spacing w:before="120" w:beforeLines="5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w:t>
            </w:r>
            <w:r>
              <w:rPr>
                <w:rFonts w:asciiTheme="minorEastAsia" w:hAnsiTheme="minorEastAsia" w:eastAsiaTheme="minorEastAsia"/>
                <w:color w:val="auto"/>
                <w:szCs w:val="21"/>
                <w:highlight w:val="none"/>
              </w:rPr>
              <w:t>.1</w:t>
            </w:r>
          </w:p>
        </w:tc>
        <w:tc>
          <w:tcPr>
            <w:tcW w:w="1035" w:type="pct"/>
            <w:tcBorders>
              <w:top w:val="single" w:color="auto" w:sz="4" w:space="0"/>
              <w:left w:val="single" w:color="auto" w:sz="4" w:space="0"/>
              <w:bottom w:val="single" w:color="auto" w:sz="4" w:space="0"/>
              <w:right w:val="single" w:color="auto" w:sz="4" w:space="0"/>
            </w:tcBorders>
            <w:vAlign w:val="center"/>
          </w:tcPr>
          <w:p w14:paraId="3EF6459C">
            <w:pPr>
              <w:pStyle w:val="28"/>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谈判保证金</w:t>
            </w:r>
          </w:p>
        </w:tc>
        <w:tc>
          <w:tcPr>
            <w:tcW w:w="3494" w:type="pct"/>
            <w:tcBorders>
              <w:top w:val="single" w:color="auto" w:sz="4" w:space="0"/>
              <w:left w:val="single" w:color="auto" w:sz="4" w:space="0"/>
              <w:bottom w:val="single" w:color="auto" w:sz="4" w:space="0"/>
              <w:right w:val="single" w:color="auto" w:sz="4" w:space="0"/>
            </w:tcBorders>
            <w:vAlign w:val="center"/>
          </w:tcPr>
          <w:p w14:paraId="6A64C802">
            <w:pPr>
              <w:spacing w:before="120" w:beforeLines="50" w:line="360" w:lineRule="auto"/>
              <w:ind w:left="105" w:leftChars="50" w:right="105" w:rightChars="5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无需缴纳。</w:t>
            </w:r>
          </w:p>
        </w:tc>
      </w:tr>
      <w:tr w14:paraId="70804EBC">
        <w:tblPrEx>
          <w:tblCellMar>
            <w:top w:w="0" w:type="dxa"/>
            <w:left w:w="0" w:type="dxa"/>
            <w:bottom w:w="0" w:type="dxa"/>
            <w:right w:w="0" w:type="dxa"/>
          </w:tblCellMar>
        </w:tblPrEx>
        <w:trPr>
          <w:trHeight w:val="274"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10C883A1">
            <w:pPr>
              <w:wordWrap w:val="0"/>
              <w:autoSpaceDE w:val="0"/>
              <w:autoSpaceDN w:val="0"/>
              <w:spacing w:before="60" w:after="6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3.5.1</w:t>
            </w:r>
          </w:p>
        </w:tc>
        <w:tc>
          <w:tcPr>
            <w:tcW w:w="1035" w:type="pct"/>
            <w:tcBorders>
              <w:top w:val="single" w:color="auto" w:sz="4" w:space="0"/>
              <w:left w:val="single" w:color="auto" w:sz="4" w:space="0"/>
              <w:bottom w:val="single" w:color="auto" w:sz="4" w:space="0"/>
              <w:right w:val="single" w:color="auto" w:sz="4" w:space="0"/>
            </w:tcBorders>
            <w:vAlign w:val="center"/>
          </w:tcPr>
          <w:p w14:paraId="776E66B1">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近年财务状况的</w:t>
            </w:r>
          </w:p>
          <w:p w14:paraId="61667EC6">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年份要求</w:t>
            </w:r>
          </w:p>
        </w:tc>
        <w:tc>
          <w:tcPr>
            <w:tcW w:w="3494" w:type="pct"/>
            <w:tcBorders>
              <w:top w:val="single" w:color="auto" w:sz="4" w:space="0"/>
              <w:left w:val="single" w:color="auto" w:sz="4" w:space="0"/>
              <w:bottom w:val="single" w:color="auto" w:sz="4" w:space="0"/>
              <w:right w:val="single" w:color="auto" w:sz="4" w:space="0"/>
            </w:tcBorders>
            <w:vAlign w:val="center"/>
          </w:tcPr>
          <w:p w14:paraId="341A501E">
            <w:pPr>
              <w:wordWrap w:val="0"/>
              <w:autoSpaceDE w:val="0"/>
              <w:autoSpaceDN w:val="0"/>
              <w:spacing w:before="60" w:after="60"/>
              <w:ind w:left="105" w:leftChars="50" w:firstLine="14" w:firstLineChars="7"/>
              <w:contextualSpacing/>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2023年度。</w:t>
            </w:r>
          </w:p>
        </w:tc>
      </w:tr>
      <w:tr w14:paraId="43B058D9">
        <w:tblPrEx>
          <w:tblCellMar>
            <w:top w:w="0" w:type="dxa"/>
            <w:left w:w="0" w:type="dxa"/>
            <w:bottom w:w="0" w:type="dxa"/>
            <w:right w:w="0" w:type="dxa"/>
          </w:tblCellMar>
        </w:tblPrEx>
        <w:trPr>
          <w:trHeight w:val="274"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05597936">
            <w:pPr>
              <w:wordWrap w:val="0"/>
              <w:autoSpaceDE w:val="0"/>
              <w:autoSpaceDN w:val="0"/>
              <w:spacing w:before="60" w:after="6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3.5.2</w:t>
            </w:r>
          </w:p>
        </w:tc>
        <w:tc>
          <w:tcPr>
            <w:tcW w:w="1035" w:type="pct"/>
            <w:tcBorders>
              <w:top w:val="single" w:color="auto" w:sz="4" w:space="0"/>
              <w:left w:val="single" w:color="auto" w:sz="4" w:space="0"/>
              <w:bottom w:val="single" w:color="auto" w:sz="4" w:space="0"/>
              <w:right w:val="single" w:color="auto" w:sz="4" w:space="0"/>
            </w:tcBorders>
            <w:vAlign w:val="center"/>
          </w:tcPr>
          <w:p w14:paraId="548BCA48">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没有重大违法记录的年份要求</w:t>
            </w:r>
          </w:p>
        </w:tc>
        <w:tc>
          <w:tcPr>
            <w:tcW w:w="3494" w:type="pct"/>
            <w:tcBorders>
              <w:top w:val="single" w:color="auto" w:sz="4" w:space="0"/>
              <w:left w:val="single" w:color="auto" w:sz="4" w:space="0"/>
              <w:bottom w:val="single" w:color="auto" w:sz="4" w:space="0"/>
              <w:right w:val="single" w:color="auto" w:sz="4" w:space="0"/>
            </w:tcBorders>
            <w:vAlign w:val="center"/>
          </w:tcPr>
          <w:p w14:paraId="11DC18CE">
            <w:pPr>
              <w:wordWrap w:val="0"/>
              <w:autoSpaceDE w:val="0"/>
              <w:autoSpaceDN w:val="0"/>
              <w:ind w:left="105" w:leftChars="50"/>
              <w:contextualSpacing/>
              <w:rPr>
                <w:rFonts w:hint="eastAsia" w:asciiTheme="minorEastAsia" w:hAnsiTheme="minorEastAsia" w:eastAsiaTheme="minorEastAsia"/>
                <w:color w:val="auto"/>
                <w:szCs w:val="21"/>
                <w:highlight w:val="none"/>
              </w:rPr>
            </w:pPr>
            <w:r>
              <w:rPr>
                <w:rFonts w:hint="eastAsia" w:ascii="宋体" w:hAnsi="宋体"/>
                <w:color w:val="auto"/>
                <w:highlight w:val="none"/>
              </w:rPr>
              <w:t>响应</w:t>
            </w:r>
            <w:r>
              <w:rPr>
                <w:rFonts w:hint="eastAsia" w:asciiTheme="minorEastAsia" w:hAnsiTheme="minorEastAsia" w:eastAsiaTheme="minorEastAsia"/>
                <w:color w:val="auto"/>
                <w:szCs w:val="21"/>
                <w:highlight w:val="none"/>
              </w:rPr>
              <w:t>文件提交截止时间前三年内。</w:t>
            </w:r>
          </w:p>
        </w:tc>
      </w:tr>
      <w:tr w14:paraId="2E0234EB">
        <w:tblPrEx>
          <w:tblCellMar>
            <w:top w:w="0" w:type="dxa"/>
            <w:left w:w="0" w:type="dxa"/>
            <w:bottom w:w="0" w:type="dxa"/>
            <w:right w:w="0" w:type="dxa"/>
          </w:tblCellMar>
        </w:tblPrEx>
        <w:trPr>
          <w:trHeight w:val="567"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5F4D57A5">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3.7.1</w:t>
            </w:r>
          </w:p>
        </w:tc>
        <w:tc>
          <w:tcPr>
            <w:tcW w:w="1035" w:type="pct"/>
            <w:tcBorders>
              <w:top w:val="single" w:color="auto" w:sz="4" w:space="0"/>
              <w:left w:val="single" w:color="auto" w:sz="4" w:space="0"/>
              <w:bottom w:val="single" w:color="auto" w:sz="4" w:space="0"/>
              <w:right w:val="single" w:color="auto" w:sz="4" w:space="0"/>
            </w:tcBorders>
            <w:vAlign w:val="center"/>
          </w:tcPr>
          <w:p w14:paraId="3528347A">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响应文件的格式</w:t>
            </w:r>
          </w:p>
        </w:tc>
        <w:tc>
          <w:tcPr>
            <w:tcW w:w="3494" w:type="pct"/>
            <w:tcBorders>
              <w:top w:val="single" w:color="auto" w:sz="4" w:space="0"/>
              <w:left w:val="single" w:color="auto" w:sz="4" w:space="0"/>
              <w:bottom w:val="single" w:color="auto" w:sz="4" w:space="0"/>
              <w:right w:val="single" w:color="auto" w:sz="4" w:space="0"/>
            </w:tcBorders>
            <w:vAlign w:val="center"/>
          </w:tcPr>
          <w:p w14:paraId="6271F67F">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1.响应文件全部采用电子文档，必须使用政府采购云平台下载的政采云电子投标客户端制作，并进行电子签章及加密后上传至政府采购云平台。编制要求见《电子投标文件编制要求》。</w:t>
            </w:r>
          </w:p>
          <w:p w14:paraId="490A5F98">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如供应商提交的响应文件不符合以上要求的或开标时无法读取导入或解密的，其响应文件将不予受理。</w:t>
            </w:r>
          </w:p>
        </w:tc>
      </w:tr>
      <w:tr w14:paraId="7AE528D6">
        <w:tblPrEx>
          <w:tblCellMar>
            <w:top w:w="0" w:type="dxa"/>
            <w:left w:w="0" w:type="dxa"/>
            <w:bottom w:w="0" w:type="dxa"/>
            <w:right w:w="0" w:type="dxa"/>
          </w:tblCellMar>
        </w:tblPrEx>
        <w:trPr>
          <w:trHeight w:val="567"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25B4E806">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3.7.3</w:t>
            </w:r>
          </w:p>
        </w:tc>
        <w:tc>
          <w:tcPr>
            <w:tcW w:w="1035" w:type="pct"/>
            <w:tcBorders>
              <w:top w:val="single" w:color="auto" w:sz="4" w:space="0"/>
              <w:left w:val="single" w:color="auto" w:sz="4" w:space="0"/>
              <w:bottom w:val="single" w:color="auto" w:sz="4" w:space="0"/>
              <w:right w:val="single" w:color="auto" w:sz="4" w:space="0"/>
            </w:tcBorders>
            <w:vAlign w:val="center"/>
          </w:tcPr>
          <w:p w14:paraId="2836010D">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响应文件的签署</w:t>
            </w:r>
          </w:p>
        </w:tc>
        <w:tc>
          <w:tcPr>
            <w:tcW w:w="3494" w:type="pct"/>
            <w:tcBorders>
              <w:top w:val="single" w:color="auto" w:sz="4" w:space="0"/>
              <w:left w:val="single" w:color="auto" w:sz="4" w:space="0"/>
              <w:bottom w:val="single" w:color="auto" w:sz="4" w:space="0"/>
              <w:right w:val="single" w:color="auto" w:sz="4" w:space="0"/>
            </w:tcBorders>
          </w:tcPr>
          <w:p w14:paraId="3AD32584">
            <w:pPr>
              <w:spacing w:before="120" w:beforeLines="50" w:line="360" w:lineRule="auto"/>
              <w:ind w:left="105" w:leftChars="50" w:right="105" w:rightChars="50"/>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按照第四章“响应文件格式”的要求，采用单位和个人数字证书电子签章，需要企业、法定代表人电子签章。在需要电子签章的地方进行电子签章，无需逐页电子签章。</w:t>
            </w:r>
          </w:p>
          <w:p w14:paraId="515311F8">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注：响应文件格式中的《残疾人福利性单位声明函》，非此类单位的供应商，无需进行填写及电子签章。</w:t>
            </w:r>
          </w:p>
        </w:tc>
      </w:tr>
      <w:tr w14:paraId="3A3362C0">
        <w:tblPrEx>
          <w:tblCellMar>
            <w:top w:w="0" w:type="dxa"/>
            <w:left w:w="0" w:type="dxa"/>
            <w:bottom w:w="0" w:type="dxa"/>
            <w:right w:w="0" w:type="dxa"/>
          </w:tblCellMar>
        </w:tblPrEx>
        <w:trPr>
          <w:trHeight w:val="411"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445CA077">
            <w:pPr>
              <w:wordWrap w:val="0"/>
              <w:autoSpaceDE w:val="0"/>
              <w:autoSpaceDN w:val="0"/>
              <w:spacing w:before="60" w:after="60"/>
              <w:contextualSpacing/>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4.1.1</w:t>
            </w:r>
          </w:p>
        </w:tc>
        <w:tc>
          <w:tcPr>
            <w:tcW w:w="1035" w:type="pct"/>
            <w:tcBorders>
              <w:top w:val="single" w:color="auto" w:sz="4" w:space="0"/>
              <w:left w:val="single" w:color="auto" w:sz="4" w:space="0"/>
              <w:bottom w:val="single" w:color="auto" w:sz="4" w:space="0"/>
              <w:right w:val="single" w:color="auto" w:sz="4" w:space="0"/>
            </w:tcBorders>
            <w:vAlign w:val="center"/>
          </w:tcPr>
          <w:p w14:paraId="3084BF7C">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响应文件的加密</w:t>
            </w:r>
          </w:p>
        </w:tc>
        <w:tc>
          <w:tcPr>
            <w:tcW w:w="3494" w:type="pct"/>
            <w:tcBorders>
              <w:top w:val="single" w:color="auto" w:sz="4" w:space="0"/>
              <w:left w:val="single" w:color="auto" w:sz="4" w:space="0"/>
              <w:bottom w:val="single" w:color="auto" w:sz="4" w:space="0"/>
              <w:right w:val="single" w:color="auto" w:sz="4" w:space="0"/>
            </w:tcBorders>
          </w:tcPr>
          <w:p w14:paraId="6FB2D21C">
            <w:pPr>
              <w:spacing w:before="120" w:beforeLines="50" w:line="360" w:lineRule="auto"/>
              <w:ind w:left="105" w:lef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网上提交的响应</w:t>
            </w:r>
            <w:r>
              <w:rPr>
                <w:rFonts w:asciiTheme="minorEastAsia" w:hAnsiTheme="minorEastAsia" w:eastAsiaTheme="minorEastAsia"/>
                <w:color w:val="auto"/>
                <w:szCs w:val="21"/>
                <w:highlight w:val="none"/>
              </w:rPr>
              <w:t>文件应</w:t>
            </w:r>
            <w:r>
              <w:rPr>
                <w:rFonts w:hint="eastAsia" w:asciiTheme="minorEastAsia" w:hAnsiTheme="minorEastAsia" w:eastAsiaTheme="minorEastAsia"/>
                <w:color w:val="auto"/>
                <w:szCs w:val="21"/>
                <w:highlight w:val="none"/>
              </w:rPr>
              <w:t>使用</w:t>
            </w:r>
            <w:r>
              <w:rPr>
                <w:rFonts w:asciiTheme="minorEastAsia" w:hAnsiTheme="minorEastAsia" w:eastAsiaTheme="minorEastAsia"/>
                <w:color w:val="auto"/>
                <w:szCs w:val="21"/>
                <w:highlight w:val="none"/>
              </w:rPr>
              <w:t>数</w:t>
            </w:r>
            <w:r>
              <w:rPr>
                <w:rFonts w:hint="eastAsia" w:asciiTheme="minorEastAsia" w:hAnsiTheme="minorEastAsia" w:eastAsiaTheme="minorEastAsia"/>
                <w:color w:val="auto"/>
                <w:szCs w:val="21"/>
                <w:highlight w:val="none"/>
              </w:rPr>
              <w:t>字</w:t>
            </w:r>
            <w:r>
              <w:rPr>
                <w:rFonts w:asciiTheme="minorEastAsia" w:hAnsiTheme="minorEastAsia" w:eastAsiaTheme="minorEastAsia"/>
                <w:color w:val="auto"/>
                <w:szCs w:val="21"/>
                <w:highlight w:val="none"/>
              </w:rPr>
              <w:t>证书</w:t>
            </w:r>
            <w:r>
              <w:rPr>
                <w:rFonts w:hint="eastAsia" w:asciiTheme="minorEastAsia" w:hAnsiTheme="minorEastAsia" w:eastAsiaTheme="minorEastAsia"/>
                <w:color w:val="auto"/>
                <w:szCs w:val="21"/>
                <w:highlight w:val="none"/>
              </w:rPr>
              <w:t>（CA）进行加密。</w:t>
            </w:r>
          </w:p>
        </w:tc>
      </w:tr>
      <w:tr w14:paraId="45A00F3F">
        <w:tblPrEx>
          <w:tblCellMar>
            <w:top w:w="0" w:type="dxa"/>
            <w:left w:w="0" w:type="dxa"/>
            <w:bottom w:w="0" w:type="dxa"/>
            <w:right w:w="0" w:type="dxa"/>
          </w:tblCellMar>
        </w:tblPrEx>
        <w:trPr>
          <w:trHeight w:val="132"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60602CD9">
            <w:pPr>
              <w:wordWrap w:val="0"/>
              <w:autoSpaceDE w:val="0"/>
              <w:autoSpaceDN w:val="0"/>
              <w:spacing w:before="6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4.2.1</w:t>
            </w:r>
          </w:p>
        </w:tc>
        <w:tc>
          <w:tcPr>
            <w:tcW w:w="1035" w:type="pct"/>
            <w:tcBorders>
              <w:top w:val="single" w:color="auto" w:sz="4" w:space="0"/>
              <w:left w:val="single" w:color="auto" w:sz="4" w:space="0"/>
              <w:bottom w:val="single" w:color="auto" w:sz="4" w:space="0"/>
              <w:right w:val="single" w:color="auto" w:sz="4" w:space="0"/>
            </w:tcBorders>
            <w:vAlign w:val="center"/>
          </w:tcPr>
          <w:p w14:paraId="64A57D83">
            <w:pPr>
              <w:wordWrap w:val="0"/>
              <w:autoSpaceDE w:val="0"/>
              <w:autoSpaceDN w:val="0"/>
              <w:spacing w:before="12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响应文件的提交</w:t>
            </w:r>
          </w:p>
        </w:tc>
        <w:tc>
          <w:tcPr>
            <w:tcW w:w="3494" w:type="pct"/>
            <w:tcBorders>
              <w:top w:val="single" w:color="auto" w:sz="4" w:space="0"/>
              <w:left w:val="single" w:color="auto" w:sz="4" w:space="0"/>
              <w:bottom w:val="single" w:color="auto" w:sz="4" w:space="0"/>
              <w:right w:val="single" w:color="auto" w:sz="4" w:space="0"/>
            </w:tcBorders>
          </w:tcPr>
          <w:p w14:paraId="3BCCEE05">
            <w:pPr>
              <w:widowControl/>
              <w:wordWrap w:val="0"/>
              <w:spacing w:before="120" w:beforeLines="50" w:line="360" w:lineRule="auto"/>
              <w:ind w:left="105" w:leftChars="50" w:right="105" w:righ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为全流程电子化项目。凡有意参与谈判者，请自行前往政府采购云平台“客户端&amp;驱动下载”网页（网址：https://customer.zcygov.cn/CA-driver-download?utm=web-ca-front.3ddc8fbb.0.0.91c6cff0db1311ec8cfbc9f613d30204）下载并安装“政采云投标客户端”。供应商按照采购文件和政府采购云平台的要求编制、加密电子响应文件，响应文件在提交截止时间前未完成上传的，视为撤回响应文件。供应商在政府采购云平台提交电子版响应文件时，请填写参与远程开标活动经办人的联系方式。</w:t>
            </w:r>
          </w:p>
          <w:p w14:paraId="3FD41114">
            <w:pPr>
              <w:widowControl/>
              <w:wordWrap w:val="0"/>
              <w:spacing w:line="360" w:lineRule="auto"/>
              <w:ind w:left="105" w:leftChars="50" w:right="105" w:righ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注：供应商应在响应文件提交截止时间前完成电子响应文件的上传、提交，响应文件提交截止时间前可以补充、修改或者撤回电子响应文件。补充或者修改响应文件的，应当先行撤回原文件，补充、修改后重新上传、提交。响应文件提交截止时间前未完成上传、提交的，视为撤回响应文件。响应文件提交截止时间以后上传提交的，视为无效。</w:t>
            </w:r>
          </w:p>
        </w:tc>
      </w:tr>
      <w:tr w14:paraId="5BF4CAC2">
        <w:tblPrEx>
          <w:tblCellMar>
            <w:top w:w="0" w:type="dxa"/>
            <w:left w:w="0" w:type="dxa"/>
            <w:bottom w:w="0" w:type="dxa"/>
            <w:right w:w="0" w:type="dxa"/>
          </w:tblCellMar>
        </w:tblPrEx>
        <w:trPr>
          <w:trHeight w:val="567"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2875BBB4">
            <w:pPr>
              <w:spacing w:before="120" w:beforeLines="50" w:line="360" w:lineRule="auto"/>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4.2.2</w:t>
            </w:r>
          </w:p>
        </w:tc>
        <w:tc>
          <w:tcPr>
            <w:tcW w:w="1035" w:type="pct"/>
            <w:tcBorders>
              <w:top w:val="single" w:color="auto" w:sz="4" w:space="0"/>
              <w:left w:val="single" w:color="auto" w:sz="4" w:space="0"/>
              <w:bottom w:val="single" w:color="auto" w:sz="4" w:space="0"/>
              <w:right w:val="single" w:color="auto" w:sz="4" w:space="0"/>
            </w:tcBorders>
            <w:vAlign w:val="center"/>
          </w:tcPr>
          <w:p w14:paraId="47AEBDBC">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是否退还响应文件</w:t>
            </w:r>
          </w:p>
        </w:tc>
        <w:tc>
          <w:tcPr>
            <w:tcW w:w="3494" w:type="pct"/>
            <w:tcBorders>
              <w:top w:val="single" w:color="auto" w:sz="4" w:space="0"/>
              <w:left w:val="single" w:color="auto" w:sz="4" w:space="0"/>
              <w:bottom w:val="single" w:color="auto" w:sz="4" w:space="0"/>
              <w:right w:val="single" w:color="auto" w:sz="4" w:space="0"/>
            </w:tcBorders>
            <w:vAlign w:val="center"/>
          </w:tcPr>
          <w:p w14:paraId="15B1AADE">
            <w:pPr>
              <w:spacing w:before="120" w:beforeLines="50" w:line="360" w:lineRule="auto"/>
              <w:ind w:firstLine="105" w:firstLine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否。</w:t>
            </w:r>
          </w:p>
        </w:tc>
      </w:tr>
      <w:tr w14:paraId="2209C9DD">
        <w:tblPrEx>
          <w:tblCellMar>
            <w:top w:w="0" w:type="dxa"/>
            <w:left w:w="0" w:type="dxa"/>
            <w:bottom w:w="0" w:type="dxa"/>
            <w:right w:w="0" w:type="dxa"/>
          </w:tblCellMar>
        </w:tblPrEx>
        <w:trPr>
          <w:trHeight w:val="5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59135296">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w:t>
            </w:r>
          </w:p>
        </w:tc>
        <w:tc>
          <w:tcPr>
            <w:tcW w:w="1035" w:type="pct"/>
            <w:tcBorders>
              <w:top w:val="single" w:color="auto" w:sz="4" w:space="0"/>
              <w:left w:val="single" w:color="auto" w:sz="4" w:space="0"/>
              <w:bottom w:val="single" w:color="auto" w:sz="4" w:space="0"/>
              <w:right w:val="single" w:color="auto" w:sz="4" w:space="0"/>
            </w:tcBorders>
            <w:vAlign w:val="center"/>
          </w:tcPr>
          <w:p w14:paraId="555423BA">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开标时间和地点</w:t>
            </w:r>
          </w:p>
        </w:tc>
        <w:tc>
          <w:tcPr>
            <w:tcW w:w="3494" w:type="pct"/>
            <w:tcBorders>
              <w:top w:val="single" w:color="auto" w:sz="4" w:space="0"/>
              <w:left w:val="single" w:color="auto" w:sz="4" w:space="0"/>
              <w:bottom w:val="single" w:color="auto" w:sz="4" w:space="0"/>
              <w:right w:val="single" w:color="auto" w:sz="4" w:space="0"/>
            </w:tcBorders>
          </w:tcPr>
          <w:p w14:paraId="17EB6B3E">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开标时间：同响应文件提交截止时间；</w:t>
            </w:r>
          </w:p>
          <w:p w14:paraId="3D7DE6BE">
            <w:pPr>
              <w:autoSpaceDE w:val="0"/>
              <w:autoSpaceDN w:val="0"/>
              <w:spacing w:before="60" w:after="60" w:line="360" w:lineRule="auto"/>
              <w:ind w:left="105" w:leftChars="50" w:right="105" w:rightChars="50" w:firstLine="14" w:firstLineChars="7"/>
              <w:contextualSpacing/>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开标地点：政府采购云平台（网址：https://www.zcygov.cn/）。</w:t>
            </w:r>
          </w:p>
        </w:tc>
      </w:tr>
      <w:tr w14:paraId="610A7E8E">
        <w:tblPrEx>
          <w:tblCellMar>
            <w:top w:w="0" w:type="dxa"/>
            <w:left w:w="0" w:type="dxa"/>
            <w:bottom w:w="0" w:type="dxa"/>
            <w:right w:w="0" w:type="dxa"/>
          </w:tblCellMar>
        </w:tblPrEx>
        <w:trPr>
          <w:trHeight w:val="274"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6C91D7A8">
            <w:pPr>
              <w:wordWrap w:val="0"/>
              <w:autoSpaceDE w:val="0"/>
              <w:autoSpaceDN w:val="0"/>
              <w:spacing w:before="60" w:after="6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w:t>
            </w:r>
          </w:p>
        </w:tc>
        <w:tc>
          <w:tcPr>
            <w:tcW w:w="1035" w:type="pct"/>
            <w:tcBorders>
              <w:top w:val="single" w:color="auto" w:sz="4" w:space="0"/>
              <w:left w:val="single" w:color="auto" w:sz="4" w:space="0"/>
              <w:bottom w:val="single" w:color="auto" w:sz="4" w:space="0"/>
              <w:right w:val="single" w:color="auto" w:sz="4" w:space="0"/>
            </w:tcBorders>
            <w:vAlign w:val="center"/>
          </w:tcPr>
          <w:p w14:paraId="320B46F6">
            <w:pPr>
              <w:wordWrap w:val="0"/>
              <w:autoSpaceDE w:val="0"/>
              <w:autoSpaceDN w:val="0"/>
              <w:spacing w:before="60" w:after="6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开标程序</w:t>
            </w:r>
          </w:p>
        </w:tc>
        <w:tc>
          <w:tcPr>
            <w:tcW w:w="3494" w:type="pct"/>
            <w:tcBorders>
              <w:top w:val="single" w:color="auto" w:sz="4" w:space="0"/>
              <w:left w:val="single" w:color="auto" w:sz="4" w:space="0"/>
              <w:bottom w:val="single" w:color="auto" w:sz="4" w:space="0"/>
              <w:right w:val="single" w:color="auto" w:sz="4" w:space="0"/>
            </w:tcBorders>
          </w:tcPr>
          <w:p w14:paraId="75AE19D0">
            <w:pPr>
              <w:spacing w:before="120" w:beforeLines="50" w:line="360" w:lineRule="auto"/>
              <w:ind w:left="105" w:lef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本项目的开标程序如下：</w:t>
            </w:r>
          </w:p>
          <w:p w14:paraId="33214796">
            <w:pPr>
              <w:spacing w:line="360" w:lineRule="auto"/>
              <w:ind w:left="105" w:lef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至响应文件提交截止时间止，</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的工作人员登录进入政府采购云平台，按照政府采购云平台的操作流程完成开标程序。</w:t>
            </w:r>
          </w:p>
          <w:p w14:paraId="1EC40542">
            <w:pPr>
              <w:spacing w:line="360" w:lineRule="auto"/>
              <w:ind w:left="105" w:lef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注：因供应商原因造成响应文件未解密的，视为撤销其响应文件。</w:t>
            </w:r>
          </w:p>
        </w:tc>
      </w:tr>
      <w:tr w14:paraId="3965D1AB">
        <w:tblPrEx>
          <w:tblCellMar>
            <w:top w:w="0" w:type="dxa"/>
            <w:left w:w="0" w:type="dxa"/>
            <w:bottom w:w="0" w:type="dxa"/>
            <w:right w:w="0" w:type="dxa"/>
          </w:tblCellMar>
        </w:tblPrEx>
        <w:trPr>
          <w:trHeight w:val="274"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6AA5F5A9">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5.3</w:t>
            </w:r>
          </w:p>
        </w:tc>
        <w:tc>
          <w:tcPr>
            <w:tcW w:w="1035" w:type="pct"/>
            <w:tcBorders>
              <w:top w:val="single" w:color="auto" w:sz="4" w:space="0"/>
              <w:left w:val="single" w:color="auto" w:sz="4" w:space="0"/>
              <w:bottom w:val="single" w:color="auto" w:sz="4" w:space="0"/>
              <w:right w:val="single" w:color="auto" w:sz="4" w:space="0"/>
            </w:tcBorders>
            <w:vAlign w:val="center"/>
          </w:tcPr>
          <w:p w14:paraId="7BCE39B2">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响应文件的</w:t>
            </w:r>
          </w:p>
          <w:p w14:paraId="318851AF">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解密方式</w:t>
            </w:r>
          </w:p>
        </w:tc>
        <w:tc>
          <w:tcPr>
            <w:tcW w:w="3494" w:type="pct"/>
            <w:tcBorders>
              <w:top w:val="single" w:color="auto" w:sz="4" w:space="0"/>
              <w:left w:val="single" w:color="auto" w:sz="4" w:space="0"/>
              <w:bottom w:val="single" w:color="auto" w:sz="4" w:space="0"/>
              <w:right w:val="single" w:color="auto" w:sz="4" w:space="0"/>
            </w:tcBorders>
          </w:tcPr>
          <w:p w14:paraId="55B26F54">
            <w:pPr>
              <w:spacing w:before="120" w:beforeLines="50" w:line="360" w:lineRule="auto"/>
              <w:ind w:left="105" w:leftChars="50" w:right="105" w:righ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在线解密。供应商须提前在自有场地配置有音视频通话（带摄像头及话筒的电脑）功能的相应设备及稳定网络的环境下，并按政府采购云平台开标大厅中的提示完成采购活动</w:t>
            </w:r>
            <w:r>
              <w:rPr>
                <w:rFonts w:hint="eastAsia" w:asciiTheme="minorEastAsia" w:hAnsiTheme="minorEastAsia" w:eastAsiaTheme="minorEastAsia"/>
                <w:bCs/>
                <w:snapToGrid w:val="0"/>
                <w:color w:val="auto"/>
                <w:szCs w:val="21"/>
                <w:highlight w:val="none"/>
              </w:rPr>
              <w:t>。</w:t>
            </w:r>
          </w:p>
        </w:tc>
      </w:tr>
      <w:tr w14:paraId="232E8F62">
        <w:tblPrEx>
          <w:tblCellMar>
            <w:top w:w="0" w:type="dxa"/>
            <w:left w:w="0" w:type="dxa"/>
            <w:bottom w:w="0" w:type="dxa"/>
            <w:right w:w="0" w:type="dxa"/>
          </w:tblCellMar>
        </w:tblPrEx>
        <w:trPr>
          <w:trHeight w:val="274"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12295308">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6.1.1</w:t>
            </w:r>
          </w:p>
        </w:tc>
        <w:tc>
          <w:tcPr>
            <w:tcW w:w="1035" w:type="pct"/>
            <w:tcBorders>
              <w:top w:val="single" w:color="auto" w:sz="4" w:space="0"/>
              <w:left w:val="single" w:color="auto" w:sz="4" w:space="0"/>
              <w:bottom w:val="single" w:color="auto" w:sz="4" w:space="0"/>
              <w:right w:val="single" w:color="auto" w:sz="4" w:space="0"/>
            </w:tcBorders>
            <w:vAlign w:val="center"/>
          </w:tcPr>
          <w:p w14:paraId="56631F70">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谈判小组</w:t>
            </w:r>
            <w:r>
              <w:rPr>
                <w:rFonts w:asciiTheme="minorEastAsia" w:hAnsiTheme="minorEastAsia" w:eastAsiaTheme="minorEastAsia"/>
                <w:color w:val="auto"/>
                <w:szCs w:val="21"/>
                <w:highlight w:val="none"/>
              </w:rPr>
              <w:t>的组建</w:t>
            </w:r>
          </w:p>
        </w:tc>
        <w:tc>
          <w:tcPr>
            <w:tcW w:w="3494" w:type="pct"/>
            <w:tcBorders>
              <w:top w:val="single" w:color="auto" w:sz="4" w:space="0"/>
              <w:left w:val="single" w:color="auto" w:sz="4" w:space="0"/>
              <w:bottom w:val="single" w:color="auto" w:sz="4" w:space="0"/>
              <w:right w:val="single" w:color="auto" w:sz="4" w:space="0"/>
            </w:tcBorders>
            <w:vAlign w:val="center"/>
          </w:tcPr>
          <w:p w14:paraId="33B9FB1B">
            <w:pPr>
              <w:wordWrap w:val="0"/>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谈判小组</w:t>
            </w:r>
            <w:r>
              <w:rPr>
                <w:rFonts w:asciiTheme="minorEastAsia" w:hAnsiTheme="minorEastAsia" w:eastAsiaTheme="minorEastAsia"/>
                <w:color w:val="auto"/>
                <w:szCs w:val="21"/>
                <w:highlight w:val="none"/>
              </w:rPr>
              <w:t>人数：</w:t>
            </w: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人</w:t>
            </w:r>
            <w:r>
              <w:rPr>
                <w:rFonts w:hint="eastAsia" w:asciiTheme="minorEastAsia" w:hAnsiTheme="minorEastAsia" w:eastAsiaTheme="minorEastAsia"/>
                <w:color w:val="auto"/>
                <w:szCs w:val="21"/>
                <w:highlight w:val="none"/>
              </w:rPr>
              <w:t>及</w:t>
            </w:r>
            <w:r>
              <w:rPr>
                <w:rFonts w:asciiTheme="minorEastAsia" w:hAnsiTheme="minorEastAsia" w:eastAsiaTheme="minorEastAsia"/>
                <w:color w:val="auto"/>
                <w:szCs w:val="21"/>
                <w:highlight w:val="none"/>
              </w:rPr>
              <w:t>以上单数。</w:t>
            </w:r>
          </w:p>
          <w:p w14:paraId="00E31879">
            <w:pPr>
              <w:wordWrap w:val="0"/>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评审成员</w:t>
            </w:r>
            <w:r>
              <w:rPr>
                <w:rFonts w:asciiTheme="minorEastAsia" w:hAnsiTheme="minorEastAsia" w:eastAsiaTheme="minorEastAsia"/>
                <w:color w:val="auto"/>
                <w:szCs w:val="21"/>
                <w:highlight w:val="none"/>
              </w:rPr>
              <w:t>确定方式：</w:t>
            </w:r>
            <w:r>
              <w:rPr>
                <w:rFonts w:hint="eastAsia" w:asciiTheme="minorEastAsia" w:hAnsiTheme="minorEastAsia" w:eastAsiaTheme="minorEastAsia"/>
                <w:color w:val="auto"/>
                <w:szCs w:val="21"/>
                <w:highlight w:val="none"/>
              </w:rPr>
              <w:t>由采购人代表和“云南省政府采购评标专家库”中随机抽取的技术、经济方面的专家组成</w:t>
            </w:r>
            <w:r>
              <w:rPr>
                <w:rFonts w:asciiTheme="minorEastAsia" w:hAnsiTheme="minorEastAsia" w:eastAsiaTheme="minorEastAsia"/>
                <w:color w:val="auto"/>
                <w:szCs w:val="21"/>
                <w:highlight w:val="none"/>
              </w:rPr>
              <w:t>。</w:t>
            </w:r>
          </w:p>
        </w:tc>
      </w:tr>
      <w:tr w14:paraId="1826EE59">
        <w:tblPrEx>
          <w:tblCellMar>
            <w:top w:w="0" w:type="dxa"/>
            <w:left w:w="0" w:type="dxa"/>
            <w:bottom w:w="0" w:type="dxa"/>
            <w:right w:w="0" w:type="dxa"/>
          </w:tblCellMar>
        </w:tblPrEx>
        <w:trPr>
          <w:trHeight w:val="567"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4C3F69A2">
            <w:pPr>
              <w:wordWrap w:val="0"/>
              <w:autoSpaceDE w:val="0"/>
              <w:autoSpaceDN w:val="0"/>
              <w:spacing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7.1</w:t>
            </w:r>
          </w:p>
        </w:tc>
        <w:tc>
          <w:tcPr>
            <w:tcW w:w="1035" w:type="pct"/>
            <w:tcBorders>
              <w:top w:val="single" w:color="auto" w:sz="4" w:space="0"/>
              <w:left w:val="single" w:color="auto" w:sz="4" w:space="0"/>
              <w:bottom w:val="single" w:color="auto" w:sz="4" w:space="0"/>
              <w:right w:val="single" w:color="auto" w:sz="4" w:space="0"/>
            </w:tcBorders>
            <w:vAlign w:val="center"/>
          </w:tcPr>
          <w:p w14:paraId="37C458B0">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是否授权谈判小组</w:t>
            </w:r>
          </w:p>
          <w:p w14:paraId="028B183B">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确定成交供应商</w:t>
            </w:r>
          </w:p>
        </w:tc>
        <w:tc>
          <w:tcPr>
            <w:tcW w:w="3494" w:type="pct"/>
            <w:tcBorders>
              <w:top w:val="single" w:color="auto" w:sz="4" w:space="0"/>
              <w:left w:val="single" w:color="auto" w:sz="4" w:space="0"/>
              <w:bottom w:val="single" w:color="auto" w:sz="4" w:space="0"/>
              <w:right w:val="single" w:color="auto" w:sz="4" w:space="0"/>
            </w:tcBorders>
            <w:vAlign w:val="center"/>
          </w:tcPr>
          <w:p w14:paraId="2D2D3D11">
            <w:pPr>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否。</w:t>
            </w:r>
          </w:p>
          <w:p w14:paraId="3B8C8068">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由谈判小组根据第六章“评审办法”的相关规定推荐1～3名成交候选人，采购人根据谈判小组的推荐顺序确定成交供应商。</w:t>
            </w:r>
          </w:p>
        </w:tc>
      </w:tr>
      <w:tr w14:paraId="3D389B3C">
        <w:tblPrEx>
          <w:tblCellMar>
            <w:top w:w="0" w:type="dxa"/>
            <w:left w:w="0" w:type="dxa"/>
            <w:bottom w:w="0" w:type="dxa"/>
            <w:right w:w="0" w:type="dxa"/>
          </w:tblCellMar>
        </w:tblPrEx>
        <w:trPr>
          <w:trHeight w:val="567"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28929AA2">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7.3</w:t>
            </w:r>
          </w:p>
        </w:tc>
        <w:tc>
          <w:tcPr>
            <w:tcW w:w="1035" w:type="pct"/>
            <w:tcBorders>
              <w:top w:val="single" w:color="auto" w:sz="4" w:space="0"/>
              <w:left w:val="single" w:color="auto" w:sz="4" w:space="0"/>
              <w:bottom w:val="single" w:color="auto" w:sz="4" w:space="0"/>
              <w:right w:val="single" w:color="auto" w:sz="4" w:space="0"/>
            </w:tcBorders>
            <w:vAlign w:val="center"/>
          </w:tcPr>
          <w:p w14:paraId="1B430B93">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履约担保</w:t>
            </w:r>
          </w:p>
        </w:tc>
        <w:tc>
          <w:tcPr>
            <w:tcW w:w="3494" w:type="pct"/>
            <w:tcBorders>
              <w:top w:val="single" w:color="auto" w:sz="4" w:space="0"/>
              <w:left w:val="single" w:color="auto" w:sz="4" w:space="0"/>
              <w:bottom w:val="single" w:color="auto" w:sz="4" w:space="0"/>
              <w:right w:val="single" w:color="auto" w:sz="4" w:space="0"/>
            </w:tcBorders>
            <w:vAlign w:val="center"/>
          </w:tcPr>
          <w:p w14:paraId="09C0AAFD">
            <w:pPr>
              <w:spacing w:before="120" w:beforeLines="50" w:line="360" w:lineRule="auto"/>
              <w:ind w:left="105" w:leftChars="50" w:right="105" w:rightChars="50"/>
              <w:rPr>
                <w:rFonts w:hint="eastAsia" w:ascii="宋体" w:hAnsi="宋体" w:cs="宋体"/>
                <w:color w:val="auto"/>
                <w:szCs w:val="21"/>
                <w:highlight w:val="none"/>
              </w:rPr>
            </w:pPr>
            <w:r>
              <w:rPr>
                <w:rFonts w:hint="eastAsia" w:ascii="宋体" w:hAnsi="宋体" w:cs="宋体"/>
                <w:color w:val="auto"/>
                <w:szCs w:val="21"/>
                <w:highlight w:val="none"/>
              </w:rPr>
              <w:t>1.履约保证金的金额：</w:t>
            </w:r>
            <w:r>
              <w:rPr>
                <w:rFonts w:hint="eastAsia" w:ascii="宋体" w:hAnsi="宋体"/>
                <w:color w:val="auto"/>
                <w:szCs w:val="21"/>
                <w:highlight w:val="none"/>
                <w:u w:val="single"/>
              </w:rPr>
              <w:t>合同金额的</w:t>
            </w:r>
            <w:r>
              <w:rPr>
                <w:rFonts w:ascii="宋体" w:hAnsi="宋体"/>
                <w:color w:val="auto"/>
                <w:szCs w:val="21"/>
                <w:highlight w:val="none"/>
                <w:u w:val="single"/>
              </w:rPr>
              <w:t>5</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3F6C592B">
            <w:pPr>
              <w:spacing w:line="360" w:lineRule="auto"/>
              <w:ind w:left="105" w:leftChars="50" w:right="105" w:rightChars="50"/>
              <w:rPr>
                <w:rFonts w:hint="eastAsia" w:ascii="宋体" w:hAnsi="宋体" w:cs="宋体"/>
                <w:color w:val="auto"/>
                <w:szCs w:val="21"/>
                <w:highlight w:val="none"/>
              </w:rPr>
            </w:pPr>
            <w:r>
              <w:rPr>
                <w:rFonts w:hint="eastAsia" w:ascii="宋体" w:hAnsi="宋体" w:cs="宋体"/>
                <w:color w:val="auto"/>
                <w:szCs w:val="21"/>
                <w:highlight w:val="none"/>
              </w:rPr>
              <w:t>2.履约保证金的提交形式：</w:t>
            </w:r>
            <w:r>
              <w:rPr>
                <w:rFonts w:hint="eastAsia" w:ascii="宋体" w:hAnsi="宋体"/>
                <w:color w:val="auto"/>
                <w:szCs w:val="21"/>
                <w:highlight w:val="none"/>
                <w:u w:val="single"/>
              </w:rPr>
              <w:t>支票、汇票、本票或者金融机构、担保机构出具的保函等非现金形式提交</w:t>
            </w:r>
            <w:r>
              <w:rPr>
                <w:rFonts w:hint="eastAsia" w:ascii="宋体" w:hAnsi="宋体" w:cs="宋体"/>
                <w:color w:val="auto"/>
                <w:szCs w:val="21"/>
                <w:highlight w:val="none"/>
              </w:rPr>
              <w:t>。</w:t>
            </w:r>
          </w:p>
          <w:p w14:paraId="3AA5955F">
            <w:pPr>
              <w:spacing w:line="360" w:lineRule="auto"/>
              <w:ind w:left="105" w:leftChars="50" w:right="105" w:rightChars="50"/>
              <w:rPr>
                <w:rFonts w:hint="eastAsia" w:ascii="宋体" w:hAnsi="宋体" w:cs="宋体"/>
                <w:color w:val="auto"/>
                <w:szCs w:val="21"/>
                <w:highlight w:val="none"/>
              </w:rPr>
            </w:pPr>
            <w:r>
              <w:rPr>
                <w:rFonts w:hint="eastAsia" w:ascii="宋体" w:hAnsi="宋体" w:cs="宋体"/>
                <w:color w:val="auto"/>
                <w:szCs w:val="21"/>
                <w:highlight w:val="none"/>
              </w:rPr>
              <w:t>3.履约保证金的提交时间：</w:t>
            </w:r>
            <w:bookmarkStart w:id="153" w:name="_Hlk108086072"/>
            <w:r>
              <w:rPr>
                <w:rFonts w:hint="eastAsia" w:ascii="宋体" w:hAnsi="宋体" w:cs="宋体"/>
                <w:color w:val="auto"/>
                <w:szCs w:val="21"/>
                <w:highlight w:val="none"/>
                <w:u w:val="single"/>
              </w:rPr>
              <w:t>合同签订后5个工作日内提交</w:t>
            </w:r>
            <w:bookmarkEnd w:id="153"/>
            <w:r>
              <w:rPr>
                <w:rFonts w:hint="eastAsia" w:ascii="宋体" w:hAnsi="宋体" w:cs="宋体"/>
                <w:color w:val="auto"/>
                <w:szCs w:val="21"/>
                <w:highlight w:val="none"/>
              </w:rPr>
              <w:t>。</w:t>
            </w:r>
          </w:p>
          <w:p w14:paraId="7D6033AD">
            <w:pPr>
              <w:spacing w:line="360" w:lineRule="auto"/>
              <w:ind w:left="105" w:leftChars="50" w:right="105" w:rightChars="50"/>
              <w:rPr>
                <w:rFonts w:hint="eastAsia"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.履约保证金的退还：</w:t>
            </w:r>
            <w:r>
              <w:rPr>
                <w:rFonts w:hint="eastAsia" w:ascii="宋体" w:hAnsi="宋体" w:cs="宋体"/>
                <w:color w:val="auto"/>
                <w:szCs w:val="24"/>
                <w:highlight w:val="none"/>
                <w:u w:val="single"/>
              </w:rPr>
              <w:t>合同履行期届满后，经甲乙双方协商一致，由甲方根据乙方支付履约保证金的原账户予以退还。</w:t>
            </w:r>
          </w:p>
          <w:p w14:paraId="761FCE41">
            <w:pPr>
              <w:spacing w:line="360" w:lineRule="auto"/>
              <w:ind w:left="105" w:leftChars="50" w:right="105" w:rightChars="50"/>
              <w:rPr>
                <w:rFonts w:hint="eastAsia" w:asciiTheme="minorEastAsia" w:hAnsiTheme="minorEastAsia" w:eastAsiaTheme="minorEastAsia"/>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.若不按以上规定提交履约担保的，视为自动放弃成交资格。</w:t>
            </w:r>
          </w:p>
        </w:tc>
      </w:tr>
      <w:tr w14:paraId="2F919BE4">
        <w:tblPrEx>
          <w:tblCellMar>
            <w:top w:w="0" w:type="dxa"/>
            <w:left w:w="0" w:type="dxa"/>
            <w:bottom w:w="0" w:type="dxa"/>
            <w:right w:w="0" w:type="dxa"/>
          </w:tblCellMar>
        </w:tblPrEx>
        <w:trPr>
          <w:trHeight w:val="448"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3FA81DF2">
            <w:pPr>
              <w:spacing w:before="120" w:beforeLines="50" w:line="360" w:lineRule="auto"/>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10.需要补充的其他内容</w:t>
            </w:r>
          </w:p>
        </w:tc>
      </w:tr>
      <w:tr w14:paraId="05CC47A6">
        <w:tblPrEx>
          <w:tblCellMar>
            <w:top w:w="0" w:type="dxa"/>
            <w:left w:w="0" w:type="dxa"/>
            <w:bottom w:w="0" w:type="dxa"/>
            <w:right w:w="0" w:type="dxa"/>
          </w:tblCellMar>
        </w:tblPrEx>
        <w:trPr>
          <w:trHeight w:val="27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6ECA089">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响应文件</w:t>
            </w:r>
            <w:r>
              <w:rPr>
                <w:rFonts w:asciiTheme="minorEastAsia" w:hAnsiTheme="minorEastAsia" w:eastAsiaTheme="minorEastAsia"/>
                <w:color w:val="auto"/>
                <w:szCs w:val="21"/>
                <w:highlight w:val="none"/>
              </w:rPr>
              <w:t>必须是在接受</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人</w:t>
            </w:r>
            <w:r>
              <w:rPr>
                <w:rFonts w:hint="eastAsia" w:asciiTheme="minorEastAsia" w:hAnsiTheme="minorEastAsia" w:eastAsiaTheme="minorEastAsia"/>
                <w:color w:val="auto"/>
                <w:szCs w:val="21"/>
                <w:highlight w:val="none"/>
              </w:rPr>
              <w:t>的</w:t>
            </w:r>
            <w:r>
              <w:rPr>
                <w:rFonts w:hint="eastAsia" w:asciiTheme="minorEastAsia" w:hAnsiTheme="minorEastAsia" w:eastAsiaTheme="minorEastAsia"/>
                <w:snapToGrid w:val="0"/>
                <w:color w:val="auto"/>
                <w:kern w:val="0"/>
                <w:szCs w:val="21"/>
                <w:highlight w:val="none"/>
              </w:rPr>
              <w:t>采购文件（</w:t>
            </w:r>
            <w:r>
              <w:rPr>
                <w:rFonts w:asciiTheme="minorEastAsia" w:hAnsiTheme="minorEastAsia" w:eastAsiaTheme="minorEastAsia"/>
                <w:color w:val="auto"/>
                <w:szCs w:val="21"/>
                <w:highlight w:val="none"/>
              </w:rPr>
              <w:t>含合同条款等）的基础上作出的承诺，若</w:t>
            </w:r>
            <w:r>
              <w:rPr>
                <w:rFonts w:hint="eastAsia" w:asciiTheme="minorEastAsia" w:hAnsiTheme="minorEastAsia" w:eastAsiaTheme="minorEastAsia"/>
                <w:color w:val="auto"/>
                <w:szCs w:val="21"/>
                <w:highlight w:val="none"/>
              </w:rPr>
              <w:t>成交供应商</w:t>
            </w:r>
            <w:r>
              <w:rPr>
                <w:rFonts w:asciiTheme="minorEastAsia" w:hAnsiTheme="minorEastAsia" w:eastAsiaTheme="minorEastAsia"/>
                <w:color w:val="auto"/>
                <w:szCs w:val="21"/>
                <w:highlight w:val="none"/>
              </w:rPr>
              <w:t>对</w:t>
            </w:r>
            <w:r>
              <w:rPr>
                <w:rFonts w:hint="eastAsia" w:asciiTheme="minorEastAsia" w:hAnsiTheme="minorEastAsia" w:eastAsiaTheme="minorEastAsia"/>
                <w:snapToGrid w:val="0"/>
                <w:color w:val="auto"/>
                <w:kern w:val="0"/>
                <w:szCs w:val="21"/>
                <w:highlight w:val="none"/>
              </w:rPr>
              <w:t>采购文件</w:t>
            </w:r>
            <w:r>
              <w:rPr>
                <w:rFonts w:asciiTheme="minorEastAsia" w:hAnsiTheme="minorEastAsia" w:eastAsiaTheme="minorEastAsia"/>
                <w:color w:val="auto"/>
                <w:szCs w:val="21"/>
                <w:highlight w:val="none"/>
              </w:rPr>
              <w:t>（含合同条款等）提出修改要求，</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人可视为其不响应</w:t>
            </w:r>
            <w:r>
              <w:rPr>
                <w:rFonts w:hint="eastAsia" w:asciiTheme="minorEastAsia" w:hAnsiTheme="minorEastAsia" w:eastAsiaTheme="minorEastAsia"/>
                <w:snapToGrid w:val="0"/>
                <w:color w:val="auto"/>
                <w:kern w:val="0"/>
                <w:szCs w:val="21"/>
                <w:highlight w:val="none"/>
              </w:rPr>
              <w:t>采购文件</w:t>
            </w:r>
            <w:r>
              <w:rPr>
                <w:rFonts w:asciiTheme="minorEastAsia" w:hAnsiTheme="minorEastAsia" w:eastAsiaTheme="minorEastAsia"/>
                <w:color w:val="auto"/>
                <w:szCs w:val="21"/>
                <w:highlight w:val="none"/>
              </w:rPr>
              <w:t>的实质性条款，取消其</w:t>
            </w:r>
            <w:r>
              <w:rPr>
                <w:rFonts w:hint="eastAsia" w:asciiTheme="minorEastAsia" w:hAnsiTheme="minorEastAsia" w:eastAsiaTheme="minorEastAsia"/>
                <w:color w:val="auto"/>
                <w:szCs w:val="21"/>
                <w:highlight w:val="none"/>
              </w:rPr>
              <w:t>成交资格</w:t>
            </w:r>
            <w:r>
              <w:rPr>
                <w:rFonts w:asciiTheme="minorEastAsia" w:hAnsiTheme="minorEastAsia" w:eastAsiaTheme="minorEastAsia"/>
                <w:color w:val="auto"/>
                <w:szCs w:val="21"/>
                <w:highlight w:val="none"/>
              </w:rPr>
              <w:t>。</w:t>
            </w:r>
          </w:p>
          <w:p w14:paraId="2CCAACE3">
            <w:pPr>
              <w:spacing w:line="360" w:lineRule="auto"/>
              <w:ind w:left="108"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2.成交供应商无故</w:t>
            </w:r>
            <w:r>
              <w:rPr>
                <w:rFonts w:asciiTheme="minorEastAsia" w:hAnsiTheme="minorEastAsia" w:eastAsiaTheme="minorEastAsia"/>
                <w:color w:val="auto"/>
                <w:szCs w:val="21"/>
                <w:highlight w:val="none"/>
              </w:rPr>
              <w:t>不与</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签订合同的，或在合同签订中无故要求变更</w:t>
            </w:r>
            <w:r>
              <w:rPr>
                <w:rFonts w:hint="eastAsia" w:asciiTheme="minorEastAsia" w:hAnsiTheme="minorEastAsia" w:eastAsiaTheme="minorEastAsia"/>
                <w:color w:val="auto"/>
                <w:szCs w:val="21"/>
                <w:highlight w:val="none"/>
              </w:rPr>
              <w:t>承诺或报价</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人</w:t>
            </w:r>
            <w:r>
              <w:rPr>
                <w:rFonts w:hint="eastAsia" w:asciiTheme="minorEastAsia" w:hAnsiTheme="minorEastAsia" w:eastAsiaTheme="minorEastAsia"/>
                <w:color w:val="auto"/>
                <w:szCs w:val="21"/>
                <w:highlight w:val="none"/>
              </w:rPr>
              <w:t>将</w:t>
            </w:r>
            <w:r>
              <w:rPr>
                <w:rFonts w:asciiTheme="minorEastAsia" w:hAnsiTheme="minorEastAsia" w:eastAsiaTheme="minorEastAsia"/>
                <w:color w:val="auto"/>
                <w:szCs w:val="21"/>
                <w:highlight w:val="none"/>
              </w:rPr>
              <w:t>取消其</w:t>
            </w:r>
            <w:r>
              <w:rPr>
                <w:rFonts w:hint="eastAsia" w:asciiTheme="minorEastAsia" w:hAnsiTheme="minorEastAsia" w:eastAsiaTheme="minorEastAsia"/>
                <w:color w:val="auto"/>
                <w:szCs w:val="21"/>
                <w:highlight w:val="none"/>
              </w:rPr>
              <w:t>成交资格，并且采购人将上报采购监督管理</w:t>
            </w:r>
            <w:r>
              <w:rPr>
                <w:rFonts w:asciiTheme="minorEastAsia" w:hAnsiTheme="minorEastAsia" w:eastAsiaTheme="minorEastAsia"/>
                <w:color w:val="auto"/>
                <w:szCs w:val="21"/>
                <w:highlight w:val="none"/>
              </w:rPr>
              <w:t>部门给予</w:t>
            </w:r>
            <w:r>
              <w:rPr>
                <w:rFonts w:hint="eastAsia" w:asciiTheme="minorEastAsia" w:hAnsiTheme="minorEastAsia" w:eastAsiaTheme="minorEastAsia"/>
                <w:color w:val="auto"/>
                <w:szCs w:val="21"/>
                <w:highlight w:val="none"/>
              </w:rPr>
              <w:t>其</w:t>
            </w:r>
            <w:r>
              <w:rPr>
                <w:rFonts w:asciiTheme="minorEastAsia" w:hAnsiTheme="minorEastAsia" w:eastAsiaTheme="minorEastAsia"/>
                <w:color w:val="auto"/>
                <w:szCs w:val="21"/>
                <w:highlight w:val="none"/>
              </w:rPr>
              <w:t>不良市场行为记录。</w:t>
            </w:r>
          </w:p>
          <w:p w14:paraId="7657585A">
            <w:pPr>
              <w:spacing w:line="360" w:lineRule="auto"/>
              <w:ind w:left="108"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3.根据《政府采购促进中小企业发展管理办法》（财库〔2020〕46号）和《关于进一步加大政府采购支持中小企业力度的通知》（财库〔20</w:t>
            </w:r>
            <w:r>
              <w:rPr>
                <w:rFonts w:asciiTheme="minorEastAsia" w:hAnsiTheme="minorEastAsia" w:eastAsiaTheme="minorEastAsia"/>
                <w:color w:val="auto"/>
                <w:szCs w:val="21"/>
                <w:highlight w:val="none"/>
              </w:rPr>
              <w:t>22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19</w:t>
            </w:r>
            <w:r>
              <w:rPr>
                <w:rFonts w:hint="eastAsia" w:asciiTheme="minorEastAsia" w:hAnsiTheme="minorEastAsia" w:eastAsiaTheme="minorEastAsia"/>
                <w:color w:val="auto"/>
                <w:szCs w:val="21"/>
                <w:highlight w:val="none"/>
              </w:rPr>
              <w:t>号）第十二条规定：</w:t>
            </w:r>
          </w:p>
          <w:p w14:paraId="0FE57760">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（1）依据《办法》规定享受扶持政策获得政府采购合同的小微企业不得将合同分包给大中型企业，中型企业不得将合同分包给大型企业。若成交供应商违反规定，则依法承担相关责任。</w:t>
            </w:r>
          </w:p>
          <w:p w14:paraId="712148F5">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对具备享受扶持政策的中小企业，在资金支付期限上的优惠措施为：根据《保障中小企业款项支付条例》（中华人民共和国国务院令第728号）第八条规定，服务期结束之日起30日内支付款项；合同另有约定的，付款期限最长不超过60日。</w:t>
            </w:r>
          </w:p>
          <w:p w14:paraId="5484CD7E">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）根据《统计上大中小微型企业划分办法（2017）》规定，本项目属于</w:t>
            </w:r>
            <w:r>
              <w:rPr>
                <w:rFonts w:hint="eastAsia" w:asciiTheme="minorEastAsia" w:hAnsiTheme="minorEastAsia" w:eastAsiaTheme="minorEastAsia"/>
                <w:b/>
                <w:bCs/>
                <w:color w:val="auto"/>
                <w:szCs w:val="21"/>
                <w:highlight w:val="none"/>
              </w:rPr>
              <w:t>“物业管理”</w:t>
            </w:r>
            <w:r>
              <w:rPr>
                <w:rFonts w:hint="eastAsia" w:asciiTheme="minorEastAsia" w:hAnsiTheme="minorEastAsia" w:eastAsiaTheme="minorEastAsia"/>
                <w:color w:val="auto"/>
                <w:szCs w:val="21"/>
                <w:highlight w:val="none"/>
              </w:rPr>
              <w:t>行业。</w:t>
            </w:r>
          </w:p>
        </w:tc>
      </w:tr>
    </w:tbl>
    <w:p w14:paraId="2775D9CC">
      <w:pPr>
        <w:keepNext/>
        <w:keepLines/>
        <w:pageBreakBefore w:val="0"/>
        <w:widowControl w:val="0"/>
        <w:kinsoku/>
        <w:wordWrap/>
        <w:overflowPunct/>
        <w:topLinePunct w:val="0"/>
        <w:autoSpaceDE/>
        <w:autoSpaceDN/>
        <w:bidi w:val="0"/>
        <w:adjustRightInd/>
        <w:snapToGrid/>
        <w:spacing w:before="120" w:beforeLines="50" w:line="360" w:lineRule="auto"/>
        <w:textAlignment w:val="auto"/>
        <w:outlineLvl w:val="9"/>
        <w:rPr>
          <w:rFonts w:hint="eastAsia" w:asciiTheme="minorEastAsia" w:hAnsiTheme="minorEastAsia" w:eastAsiaTheme="minorEastAsia"/>
          <w:color w:val="auto"/>
          <w:szCs w:val="28"/>
          <w:highlight w:val="none"/>
        </w:rPr>
      </w:pPr>
      <w:bookmarkStart w:id="154" w:name="_Toc153670632"/>
      <w:bookmarkStart w:id="155" w:name="_Toc132362633"/>
    </w:p>
    <w:p w14:paraId="77872052">
      <w:pPr>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br w:type="page"/>
      </w:r>
    </w:p>
    <w:p w14:paraId="602D1FA3">
      <w:pPr>
        <w:pStyle w:val="4"/>
        <w:spacing w:before="120" w:beforeLines="50" w:line="360" w:lineRule="auto"/>
        <w:rPr>
          <w:rFonts w:hint="eastAsia" w:asciiTheme="minorEastAsia" w:hAnsiTheme="minorEastAsia" w:eastAsiaTheme="minorEastAsia"/>
          <w:color w:val="auto"/>
          <w:szCs w:val="28"/>
          <w:highlight w:val="none"/>
        </w:rPr>
      </w:pPr>
      <w:bookmarkStart w:id="156" w:name="_Toc11342"/>
      <w:r>
        <w:rPr>
          <w:rFonts w:hint="eastAsia" w:asciiTheme="minorEastAsia" w:hAnsiTheme="minorEastAsia" w:eastAsiaTheme="minorEastAsia"/>
          <w:color w:val="auto"/>
          <w:szCs w:val="28"/>
          <w:highlight w:val="none"/>
        </w:rPr>
        <w:t>二、供应商须知正文部分</w:t>
      </w:r>
      <w:bookmarkEnd w:id="154"/>
      <w:bookmarkEnd w:id="155"/>
      <w:bookmarkEnd w:id="156"/>
    </w:p>
    <w:p w14:paraId="3E23936C">
      <w:pPr>
        <w:spacing w:line="360" w:lineRule="auto"/>
        <w:jc w:val="center"/>
        <w:outlineLvl w:val="2"/>
        <w:rPr>
          <w:rFonts w:hint="eastAsia" w:asciiTheme="minorEastAsia" w:hAnsiTheme="minorEastAsia" w:eastAsiaTheme="minorEastAsia"/>
          <w:b/>
          <w:bCs/>
          <w:color w:val="auto"/>
          <w:sz w:val="28"/>
          <w:szCs w:val="28"/>
          <w:highlight w:val="none"/>
        </w:rPr>
      </w:pPr>
      <w:bookmarkStart w:id="157" w:name="_Toc116583986"/>
      <w:bookmarkStart w:id="158" w:name="_Toc98033920"/>
      <w:bookmarkStart w:id="159" w:name="_Toc24223"/>
      <w:bookmarkStart w:id="160" w:name="_Toc87538355"/>
      <w:bookmarkStart w:id="161" w:name="_Toc84356238"/>
      <w:bookmarkStart w:id="162" w:name="_Toc108"/>
      <w:bookmarkStart w:id="163" w:name="_Toc45976886"/>
      <w:bookmarkStart w:id="164" w:name="_Toc83753878"/>
      <w:bookmarkStart w:id="165" w:name="_Toc45791340"/>
      <w:bookmarkStart w:id="166" w:name="_Toc42204979"/>
      <w:bookmarkStart w:id="167" w:name="_Toc42267618"/>
      <w:bookmarkStart w:id="168" w:name="_Toc110405120"/>
      <w:bookmarkStart w:id="169" w:name="_Toc98864997"/>
      <w:bookmarkStart w:id="170" w:name="_Toc109809298"/>
      <w:bookmarkStart w:id="171" w:name="_Toc87543804"/>
      <w:r>
        <w:rPr>
          <w:rFonts w:hint="eastAsia" w:asciiTheme="minorEastAsia" w:hAnsiTheme="minorEastAsia" w:eastAsiaTheme="minorEastAsia"/>
          <w:b/>
          <w:bCs/>
          <w:color w:val="auto"/>
          <w:sz w:val="28"/>
          <w:szCs w:val="28"/>
          <w:highlight w:val="none"/>
        </w:rPr>
        <w:t>1.总则</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75DB5C97">
      <w:pPr>
        <w:spacing w:line="360" w:lineRule="auto"/>
        <w:outlineLvl w:val="3"/>
        <w:rPr>
          <w:rFonts w:hint="eastAsia" w:ascii="宋体" w:hAnsi="宋体"/>
          <w:b/>
          <w:bCs/>
          <w:color w:val="auto"/>
          <w:sz w:val="24"/>
          <w:szCs w:val="24"/>
          <w:highlight w:val="none"/>
        </w:rPr>
      </w:pPr>
      <w:bookmarkStart w:id="172" w:name="_Toc116583987"/>
      <w:bookmarkStart w:id="173" w:name="_Toc98033921"/>
      <w:bookmarkStart w:id="174" w:name="_Toc13886"/>
      <w:bookmarkStart w:id="175" w:name="_Toc42204980"/>
      <w:bookmarkStart w:id="176" w:name="_Toc53412203"/>
      <w:bookmarkStart w:id="177" w:name="_Toc83753879"/>
      <w:bookmarkStart w:id="178" w:name="_Toc69678416"/>
      <w:bookmarkStart w:id="179" w:name="_Toc98864998"/>
      <w:bookmarkStart w:id="180" w:name="_Toc87543805"/>
      <w:bookmarkStart w:id="181" w:name="_Toc75783518"/>
      <w:bookmarkStart w:id="182" w:name="_Toc45791341"/>
      <w:bookmarkStart w:id="183" w:name="_Toc110405121"/>
      <w:bookmarkStart w:id="184" w:name="_Toc87538356"/>
      <w:bookmarkStart w:id="185" w:name="_Toc45976887"/>
      <w:bookmarkStart w:id="186" w:name="_Toc42267619"/>
      <w:bookmarkStart w:id="187" w:name="_Toc81330926"/>
      <w:bookmarkStart w:id="188" w:name="_Toc109809299"/>
      <w:bookmarkStart w:id="189" w:name="_Toc84356239"/>
      <w:r>
        <w:rPr>
          <w:rFonts w:hint="eastAsia" w:ascii="宋体" w:hAnsi="宋体"/>
          <w:b/>
          <w:bCs/>
          <w:color w:val="auto"/>
          <w:sz w:val="24"/>
          <w:szCs w:val="24"/>
          <w:highlight w:val="none"/>
        </w:rPr>
        <w:t>1.1项目概况</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7B7BFC32">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8"/>
          <w:highlight w:val="none"/>
        </w:rPr>
        <w:t>1.1.1</w:t>
      </w:r>
      <w:r>
        <w:rPr>
          <w:rFonts w:hint="eastAsia" w:ascii="宋体" w:hAnsi="宋体"/>
          <w:color w:val="auto"/>
          <w:szCs w:val="21"/>
          <w:highlight w:val="none"/>
        </w:rPr>
        <w:t>根据《中华人民共和国政府采购法》、《中华人民共和国政府采购法实施条例》（国务院令第658号）、</w:t>
      </w:r>
      <w:r>
        <w:rPr>
          <w:rFonts w:hint="eastAsia" w:asciiTheme="minorEastAsia" w:hAnsiTheme="minorEastAsia" w:eastAsiaTheme="minorEastAsia"/>
          <w:color w:val="auto"/>
          <w:szCs w:val="21"/>
          <w:highlight w:val="none"/>
        </w:rPr>
        <w:t>《政府采购非招标采购方式管理办法》（财政部令第74号）以及《云南省人民政府办公厅关于印发云南省政府集中采购目录及标准（2024年版）的通知》</w:t>
      </w:r>
      <w:r>
        <w:rPr>
          <w:rFonts w:hint="eastAsia" w:ascii="宋体" w:hAnsi="宋体"/>
          <w:color w:val="auto"/>
          <w:szCs w:val="21"/>
          <w:highlight w:val="none"/>
        </w:rPr>
        <w:t>等相关法律法规的规定，本项目已具备采购条件，现对本项目进行竞争性谈判</w:t>
      </w:r>
      <w:r>
        <w:rPr>
          <w:rFonts w:asciiTheme="minorEastAsia" w:hAnsiTheme="minorEastAsia" w:eastAsiaTheme="minorEastAsia"/>
          <w:color w:val="auto"/>
          <w:szCs w:val="21"/>
          <w:highlight w:val="none"/>
        </w:rPr>
        <w:t>。</w:t>
      </w:r>
    </w:p>
    <w:p w14:paraId="5E87075E">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1.1.2采购人：详见供应商须知前附表。</w:t>
      </w:r>
    </w:p>
    <w:p w14:paraId="7D328F11">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：详见供应商须知前附表。</w:t>
      </w:r>
    </w:p>
    <w:p w14:paraId="17A76AED">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项目名称：详见供应商须知前附表。</w:t>
      </w:r>
    </w:p>
    <w:p w14:paraId="0CBDC15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.1.5</w:t>
      </w:r>
      <w:r>
        <w:rPr>
          <w:rFonts w:hint="eastAsia" w:asciiTheme="minorEastAsia" w:hAnsiTheme="minorEastAsia" w:eastAsiaTheme="minorEastAsia"/>
          <w:color w:val="auto"/>
          <w:szCs w:val="21"/>
          <w:highlight w:val="none"/>
        </w:rPr>
        <w:t>服务地点：详见供应商须知前附表。</w:t>
      </w:r>
    </w:p>
    <w:p w14:paraId="66B0009F">
      <w:pPr>
        <w:spacing w:line="360" w:lineRule="auto"/>
        <w:outlineLvl w:val="3"/>
        <w:rPr>
          <w:rFonts w:hint="eastAsia" w:ascii="宋体" w:hAnsi="宋体"/>
          <w:b/>
          <w:bCs/>
          <w:color w:val="auto"/>
          <w:sz w:val="24"/>
          <w:szCs w:val="24"/>
          <w:highlight w:val="none"/>
        </w:rPr>
      </w:pPr>
      <w:bookmarkStart w:id="190" w:name="_Toc45791342"/>
      <w:bookmarkStart w:id="191" w:name="_Toc42267620"/>
      <w:bookmarkStart w:id="192" w:name="_Toc81330927"/>
      <w:bookmarkStart w:id="193" w:name="_Toc69678417"/>
      <w:bookmarkStart w:id="194" w:name="_Toc53412204"/>
      <w:bookmarkStart w:id="195" w:name="_Toc109809300"/>
      <w:bookmarkStart w:id="196" w:name="_Toc87543806"/>
      <w:bookmarkStart w:id="197" w:name="_Toc110405122"/>
      <w:bookmarkStart w:id="198" w:name="_Toc45976888"/>
      <w:bookmarkStart w:id="199" w:name="_Toc98033922"/>
      <w:bookmarkStart w:id="200" w:name="_Toc42204981"/>
      <w:bookmarkStart w:id="201" w:name="_Toc83753880"/>
      <w:bookmarkStart w:id="202" w:name="_Toc87538357"/>
      <w:bookmarkStart w:id="203" w:name="_Toc116583988"/>
      <w:bookmarkStart w:id="204" w:name="_Toc84356240"/>
      <w:bookmarkStart w:id="205" w:name="_Toc25268"/>
      <w:bookmarkStart w:id="206" w:name="_Toc98864999"/>
      <w:bookmarkStart w:id="207" w:name="_Toc75783519"/>
      <w:r>
        <w:rPr>
          <w:rFonts w:hint="eastAsia" w:ascii="宋体" w:hAnsi="宋体"/>
          <w:b/>
          <w:bCs/>
          <w:color w:val="auto"/>
          <w:sz w:val="24"/>
          <w:szCs w:val="24"/>
          <w:highlight w:val="none"/>
        </w:rPr>
        <w:t>1.2 资金来源、资金落实情况</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914CCED">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1.2.1资金来源：详见供应商须知前附表。</w:t>
      </w:r>
    </w:p>
    <w:p w14:paraId="521A7316">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1.2.2资金落实情况：详见供应商须知前附表。</w:t>
      </w:r>
    </w:p>
    <w:p w14:paraId="5BBDE470">
      <w:pPr>
        <w:spacing w:line="360" w:lineRule="auto"/>
        <w:outlineLvl w:val="3"/>
        <w:rPr>
          <w:rFonts w:hint="eastAsia" w:ascii="宋体" w:hAnsi="宋体"/>
          <w:b/>
          <w:bCs/>
          <w:color w:val="auto"/>
          <w:sz w:val="24"/>
          <w:szCs w:val="24"/>
          <w:highlight w:val="none"/>
        </w:rPr>
      </w:pPr>
      <w:bookmarkStart w:id="208" w:name="_Toc45976889"/>
      <w:bookmarkStart w:id="209" w:name="_Toc110405123"/>
      <w:bookmarkStart w:id="210" w:name="_Toc109809301"/>
      <w:bookmarkStart w:id="211" w:name="_Toc45791343"/>
      <w:bookmarkStart w:id="212" w:name="_Toc98865000"/>
      <w:bookmarkStart w:id="213" w:name="_Toc42267621"/>
      <w:bookmarkStart w:id="214" w:name="_Toc87543807"/>
      <w:bookmarkStart w:id="215" w:name="_Toc42204982"/>
      <w:bookmarkStart w:id="216" w:name="_Toc75783520"/>
      <w:bookmarkStart w:id="217" w:name="_Toc83753881"/>
      <w:bookmarkStart w:id="218" w:name="_Toc53412205"/>
      <w:bookmarkStart w:id="219" w:name="_Toc87538358"/>
      <w:bookmarkStart w:id="220" w:name="_Toc27136"/>
      <w:bookmarkStart w:id="221" w:name="_Toc69678418"/>
      <w:bookmarkStart w:id="222" w:name="_Toc81330928"/>
      <w:bookmarkStart w:id="223" w:name="_Toc84356241"/>
      <w:bookmarkStart w:id="224" w:name="_Toc98033923"/>
      <w:bookmarkStart w:id="225" w:name="_Toc116583989"/>
      <w:r>
        <w:rPr>
          <w:rFonts w:hint="eastAsia" w:ascii="宋体" w:hAnsi="宋体"/>
          <w:b/>
          <w:bCs/>
          <w:color w:val="auto"/>
          <w:sz w:val="24"/>
          <w:szCs w:val="24"/>
          <w:highlight w:val="none"/>
        </w:rPr>
        <w:t>1.3 采购内容、合同履行期限、质量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Fonts w:hint="eastAsia" w:ascii="宋体" w:hAnsi="宋体"/>
          <w:b/>
          <w:bCs/>
          <w:color w:val="auto"/>
          <w:sz w:val="24"/>
          <w:szCs w:val="24"/>
          <w:highlight w:val="none"/>
        </w:rPr>
        <w:t>要求</w:t>
      </w:r>
      <w:bookmarkEnd w:id="225"/>
      <w:r>
        <w:rPr>
          <w:rFonts w:hint="eastAsia" w:ascii="宋体" w:hAnsi="宋体"/>
          <w:b/>
          <w:bCs/>
          <w:color w:val="auto"/>
          <w:sz w:val="24"/>
          <w:szCs w:val="24"/>
          <w:highlight w:val="none"/>
        </w:rPr>
        <w:t>、包件划分</w:t>
      </w:r>
    </w:p>
    <w:p w14:paraId="1EF1878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1.3.1采购内容</w:t>
      </w: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详见供应商须知前附表。</w:t>
      </w:r>
    </w:p>
    <w:p w14:paraId="32E96D5C">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合同履行期限：详见供应商须知前附表。</w:t>
      </w:r>
    </w:p>
    <w:p w14:paraId="40152D0D">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r>
        <w:rPr>
          <w:rFonts w:asciiTheme="minorEastAsia" w:hAnsiTheme="minorEastAsia" w:eastAsiaTheme="minorEastAsia"/>
          <w:color w:val="auto"/>
          <w:szCs w:val="21"/>
          <w:highlight w:val="none"/>
        </w:rPr>
        <w:t>3</w:t>
      </w:r>
      <w:bookmarkStart w:id="226" w:name="OLE_LINK2"/>
      <w:bookmarkStart w:id="227" w:name="OLE_LINK1"/>
      <w:r>
        <w:rPr>
          <w:rFonts w:hint="eastAsia" w:asciiTheme="minorEastAsia" w:hAnsiTheme="minorEastAsia" w:eastAsiaTheme="minorEastAsia"/>
          <w:color w:val="auto"/>
          <w:szCs w:val="21"/>
          <w:highlight w:val="none"/>
        </w:rPr>
        <w:t>质量要求：</w:t>
      </w:r>
      <w:bookmarkEnd w:id="226"/>
      <w:bookmarkEnd w:id="227"/>
      <w:r>
        <w:rPr>
          <w:rFonts w:hint="eastAsia" w:asciiTheme="minorEastAsia" w:hAnsiTheme="minorEastAsia" w:eastAsiaTheme="minorEastAsia"/>
          <w:color w:val="auto"/>
          <w:szCs w:val="21"/>
          <w:highlight w:val="none"/>
        </w:rPr>
        <w:t>详见供应商须知前附表。</w:t>
      </w:r>
    </w:p>
    <w:p w14:paraId="076E2245">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包件划分：详见供应商须知前附表。</w:t>
      </w:r>
    </w:p>
    <w:p w14:paraId="27255CAD">
      <w:pPr>
        <w:spacing w:line="360" w:lineRule="auto"/>
        <w:outlineLvl w:val="3"/>
        <w:rPr>
          <w:rFonts w:hint="eastAsia" w:ascii="宋体" w:hAnsi="宋体"/>
          <w:b/>
          <w:bCs/>
          <w:color w:val="auto"/>
          <w:sz w:val="24"/>
          <w:szCs w:val="24"/>
          <w:highlight w:val="none"/>
        </w:rPr>
      </w:pPr>
      <w:bookmarkStart w:id="228" w:name="_Toc98865001"/>
      <w:bookmarkStart w:id="229" w:name="_Toc42204983"/>
      <w:bookmarkStart w:id="230" w:name="_Toc69678419"/>
      <w:bookmarkStart w:id="231" w:name="_Toc75783521"/>
      <w:bookmarkStart w:id="232" w:name="_Toc110405124"/>
      <w:bookmarkStart w:id="233" w:name="_Toc109809302"/>
      <w:bookmarkStart w:id="234" w:name="_Toc84356242"/>
      <w:bookmarkStart w:id="235" w:name="_Toc81330929"/>
      <w:bookmarkStart w:id="236" w:name="_Toc45976890"/>
      <w:bookmarkStart w:id="237" w:name="_Toc87543808"/>
      <w:bookmarkStart w:id="238" w:name="_Toc87538359"/>
      <w:bookmarkStart w:id="239" w:name="_Toc42267622"/>
      <w:bookmarkStart w:id="240" w:name="_Toc98033924"/>
      <w:bookmarkStart w:id="241" w:name="_Toc45791344"/>
      <w:bookmarkStart w:id="242" w:name="_Toc83753882"/>
      <w:bookmarkStart w:id="243" w:name="_Toc53412206"/>
      <w:r>
        <w:rPr>
          <w:rFonts w:hint="eastAsia" w:ascii="宋体" w:hAnsi="宋体"/>
          <w:b/>
          <w:bCs/>
          <w:color w:val="auto"/>
          <w:sz w:val="24"/>
          <w:szCs w:val="24"/>
          <w:highlight w:val="none"/>
        </w:rPr>
        <w:t xml:space="preserve"> </w:t>
      </w:r>
      <w:bookmarkStart w:id="244" w:name="_Toc2751"/>
      <w:bookmarkStart w:id="245" w:name="_Toc116583990"/>
      <w:r>
        <w:rPr>
          <w:rFonts w:hint="eastAsia" w:ascii="宋体" w:hAnsi="宋体"/>
          <w:b/>
          <w:bCs/>
          <w:color w:val="auto"/>
          <w:sz w:val="24"/>
          <w:szCs w:val="24"/>
          <w:highlight w:val="none"/>
        </w:rPr>
        <w:t>1.4 供应商资格要求</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5F6127BF">
      <w:pPr>
        <w:autoSpaceDE w:val="0"/>
        <w:autoSpaceDN w:val="0"/>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1.4.1 供应商资格要求：详见供应商须知前附表。</w:t>
      </w:r>
    </w:p>
    <w:p w14:paraId="2D3EAE7E">
      <w:pPr>
        <w:autoSpaceDE w:val="0"/>
        <w:autoSpaceDN w:val="0"/>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1.4.2 其它内容：详见供应商须知前附表。</w:t>
      </w:r>
    </w:p>
    <w:p w14:paraId="58B8E506">
      <w:pPr>
        <w:autoSpaceDE w:val="0"/>
        <w:autoSpaceDN w:val="0"/>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1.4.3 是否接受联合体投标：详见供应商须知前附表。</w:t>
      </w:r>
    </w:p>
    <w:p w14:paraId="4836FB6F">
      <w:pPr>
        <w:tabs>
          <w:tab w:val="left" w:pos="900"/>
        </w:tabs>
        <w:autoSpaceDE w:val="0"/>
        <w:autoSpaceDN w:val="0"/>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1.4.4 供应商不得存在下列情形之一：</w:t>
      </w:r>
    </w:p>
    <w:p w14:paraId="0058AC84">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（1）被责令停业的；</w:t>
      </w:r>
    </w:p>
    <w:p w14:paraId="64DEF99A">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（2）被暂停或取消谈判资格的；</w:t>
      </w:r>
    </w:p>
    <w:p w14:paraId="591A64E2">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（3）财产被接管或冻结的；</w:t>
      </w:r>
    </w:p>
    <w:p w14:paraId="649D1574">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（4）在最近三年内有骗取成交或严重违约或重大质量问题的；</w:t>
      </w:r>
    </w:p>
    <w:p w14:paraId="794CFDCC">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（5）提供虚假材料谋取成交的；</w:t>
      </w:r>
    </w:p>
    <w:p w14:paraId="19B16237">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（6）采取不正当手段诋毁、排挤其他供应商的；</w:t>
      </w:r>
    </w:p>
    <w:p w14:paraId="4511890F">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（7）与采购人、其他供应商或者</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恶意串通的；</w:t>
      </w:r>
    </w:p>
    <w:p w14:paraId="4CC3DD50">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（8）向采购人、</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行贿或者提供其他不正当利益的；</w:t>
      </w:r>
    </w:p>
    <w:p w14:paraId="110E303D">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（9）在招标采购过程中与采购人进行协商报价的；</w:t>
      </w:r>
    </w:p>
    <w:p w14:paraId="685D5665">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（10）拒绝有关部门监督检查或者提供虚假情况的。</w:t>
      </w:r>
    </w:p>
    <w:p w14:paraId="5FC85068">
      <w:pPr>
        <w:tabs>
          <w:tab w:val="left" w:pos="900"/>
        </w:tabs>
        <w:autoSpaceDE w:val="0"/>
        <w:autoSpaceDN w:val="0"/>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供应商有第（5）至（9）项情形之一的，成交无效。 </w:t>
      </w:r>
    </w:p>
    <w:p w14:paraId="22C19F51">
      <w:pPr>
        <w:spacing w:line="360" w:lineRule="auto"/>
        <w:outlineLvl w:val="3"/>
        <w:rPr>
          <w:rFonts w:hint="eastAsia" w:ascii="宋体" w:hAnsi="宋体"/>
          <w:b/>
          <w:bCs/>
          <w:color w:val="auto"/>
          <w:sz w:val="24"/>
          <w:szCs w:val="24"/>
          <w:highlight w:val="none"/>
        </w:rPr>
      </w:pPr>
      <w:bookmarkStart w:id="246" w:name="_Toc45976891"/>
      <w:bookmarkStart w:id="247" w:name="_Toc42267623"/>
      <w:bookmarkStart w:id="248" w:name="_Toc87543809"/>
      <w:bookmarkStart w:id="249" w:name="_Toc81330930"/>
      <w:bookmarkStart w:id="250" w:name="_Toc11916"/>
      <w:bookmarkStart w:id="251" w:name="_Toc116583991"/>
      <w:bookmarkStart w:id="252" w:name="_Toc53412207"/>
      <w:bookmarkStart w:id="253" w:name="_Toc75783522"/>
      <w:bookmarkStart w:id="254" w:name="_Toc98865002"/>
      <w:bookmarkStart w:id="255" w:name="_Toc87538360"/>
      <w:bookmarkStart w:id="256" w:name="_Toc84356243"/>
      <w:bookmarkStart w:id="257" w:name="_Toc45791345"/>
      <w:bookmarkStart w:id="258" w:name="_Toc83753883"/>
      <w:bookmarkStart w:id="259" w:name="_Toc69678420"/>
      <w:bookmarkStart w:id="260" w:name="_Toc110405125"/>
      <w:bookmarkStart w:id="261" w:name="_Toc109809303"/>
      <w:bookmarkStart w:id="262" w:name="_Toc42204984"/>
      <w:bookmarkStart w:id="263" w:name="_Toc98033925"/>
      <w:r>
        <w:rPr>
          <w:rFonts w:hint="eastAsia" w:ascii="宋体" w:hAnsi="宋体"/>
          <w:b/>
          <w:bCs/>
          <w:color w:val="auto"/>
          <w:sz w:val="24"/>
          <w:szCs w:val="24"/>
          <w:highlight w:val="none"/>
        </w:rPr>
        <w:t>1.5 费用承担</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909B1B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bookmarkStart w:id="264" w:name="_Toc42204985"/>
      <w:bookmarkStart w:id="265" w:name="_Toc45976892"/>
      <w:bookmarkStart w:id="266" w:name="_Toc42267624"/>
      <w:bookmarkStart w:id="267" w:name="_Toc45791346"/>
      <w:bookmarkStart w:id="268" w:name="_Toc53412208"/>
      <w:r>
        <w:rPr>
          <w:rFonts w:hint="eastAsia" w:asciiTheme="minorEastAsia" w:hAnsiTheme="minorEastAsia" w:eastAsiaTheme="minorEastAsia"/>
          <w:color w:val="auto"/>
          <w:szCs w:val="21"/>
          <w:highlight w:val="none"/>
        </w:rPr>
        <w:t>详见供应商须知前附表。</w:t>
      </w:r>
    </w:p>
    <w:p w14:paraId="03F41B78">
      <w:pPr>
        <w:spacing w:line="360" w:lineRule="auto"/>
        <w:outlineLvl w:val="3"/>
        <w:rPr>
          <w:rFonts w:hint="eastAsia" w:ascii="宋体" w:hAnsi="宋体"/>
          <w:b/>
          <w:bCs/>
          <w:color w:val="auto"/>
          <w:sz w:val="24"/>
          <w:szCs w:val="24"/>
          <w:highlight w:val="none"/>
        </w:rPr>
      </w:pPr>
      <w:bookmarkStart w:id="269" w:name="_Toc109809304"/>
      <w:bookmarkStart w:id="270" w:name="_Toc116583992"/>
      <w:bookmarkStart w:id="271" w:name="_Toc87538361"/>
      <w:bookmarkStart w:id="272" w:name="_Toc98033926"/>
      <w:bookmarkStart w:id="273" w:name="_Toc83753884"/>
      <w:bookmarkStart w:id="274" w:name="_Toc69678421"/>
      <w:bookmarkStart w:id="275" w:name="_Toc84356244"/>
      <w:bookmarkStart w:id="276" w:name="_Toc81330931"/>
      <w:bookmarkStart w:id="277" w:name="_Toc110405126"/>
      <w:bookmarkStart w:id="278" w:name="_Toc87543810"/>
      <w:bookmarkStart w:id="279" w:name="_Toc98865003"/>
      <w:bookmarkStart w:id="280" w:name="_Toc29495"/>
      <w:bookmarkStart w:id="281" w:name="_Toc75783523"/>
      <w:r>
        <w:rPr>
          <w:rFonts w:hint="eastAsia" w:ascii="宋体" w:hAnsi="宋体"/>
          <w:b/>
          <w:bCs/>
          <w:color w:val="auto"/>
          <w:sz w:val="24"/>
          <w:szCs w:val="24"/>
          <w:highlight w:val="none"/>
        </w:rPr>
        <w:t>1.6 保密</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46CE777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参与竞争性谈判的各方应对</w:t>
      </w:r>
      <w:r>
        <w:rPr>
          <w:rFonts w:hint="eastAsia" w:asciiTheme="minorEastAsia" w:hAnsiTheme="minorEastAsia" w:eastAsiaTheme="minorEastAsia"/>
          <w:snapToGrid w:val="0"/>
          <w:color w:val="auto"/>
          <w:kern w:val="0"/>
          <w:szCs w:val="21"/>
          <w:highlight w:val="none"/>
        </w:rPr>
        <w:t>采购文件</w:t>
      </w:r>
      <w:r>
        <w:rPr>
          <w:rFonts w:hint="eastAsia" w:asciiTheme="minorEastAsia" w:hAnsiTheme="minorEastAsia" w:eastAsiaTheme="minorEastAsia"/>
          <w:color w:val="auto"/>
          <w:szCs w:val="21"/>
          <w:highlight w:val="none"/>
        </w:rPr>
        <w:t>和响应文件中的商业、技术等秘密保密，违者应对由此造成的后果承担法律责任。</w:t>
      </w:r>
    </w:p>
    <w:p w14:paraId="79CA5597">
      <w:pPr>
        <w:spacing w:line="360" w:lineRule="auto"/>
        <w:outlineLvl w:val="3"/>
        <w:rPr>
          <w:rFonts w:hint="eastAsia" w:ascii="宋体" w:hAnsi="宋体"/>
          <w:b/>
          <w:bCs/>
          <w:color w:val="auto"/>
          <w:sz w:val="24"/>
          <w:szCs w:val="24"/>
          <w:highlight w:val="none"/>
        </w:rPr>
      </w:pPr>
      <w:bookmarkStart w:id="282" w:name="_Toc84356245"/>
      <w:bookmarkStart w:id="283" w:name="_Toc42204986"/>
      <w:bookmarkStart w:id="284" w:name="_Toc45791347"/>
      <w:bookmarkStart w:id="285" w:name="_Toc110405127"/>
      <w:bookmarkStart w:id="286" w:name="_Toc87538362"/>
      <w:bookmarkStart w:id="287" w:name="_Toc45976893"/>
      <w:bookmarkStart w:id="288" w:name="_Toc109809305"/>
      <w:bookmarkStart w:id="289" w:name="_Toc42267625"/>
      <w:bookmarkStart w:id="290" w:name="_Toc116583993"/>
      <w:bookmarkStart w:id="291" w:name="_Toc69678422"/>
      <w:bookmarkStart w:id="292" w:name="_Toc3702"/>
      <w:bookmarkStart w:id="293" w:name="_Toc98033927"/>
      <w:bookmarkStart w:id="294" w:name="_Toc87543811"/>
      <w:bookmarkStart w:id="295" w:name="_Toc98865004"/>
      <w:bookmarkStart w:id="296" w:name="_Toc83753885"/>
      <w:bookmarkStart w:id="297" w:name="_Toc75783524"/>
      <w:bookmarkStart w:id="298" w:name="_Toc81330932"/>
      <w:bookmarkStart w:id="299" w:name="_Toc53412209"/>
      <w:r>
        <w:rPr>
          <w:rFonts w:hint="eastAsia" w:ascii="宋体" w:hAnsi="宋体"/>
          <w:b/>
          <w:bCs/>
          <w:color w:val="auto"/>
          <w:sz w:val="24"/>
          <w:szCs w:val="24"/>
          <w:highlight w:val="none"/>
        </w:rPr>
        <w:t>1.7 语言文字</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2426CA0">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除专用术语外，与竞争性谈判有关的语言均使用中文。必要时专用术语应附有中文注释。</w:t>
      </w:r>
    </w:p>
    <w:p w14:paraId="294E302F">
      <w:pPr>
        <w:spacing w:line="360" w:lineRule="auto"/>
        <w:outlineLvl w:val="3"/>
        <w:rPr>
          <w:rFonts w:hint="eastAsia" w:ascii="宋体" w:hAnsi="宋体"/>
          <w:b/>
          <w:bCs/>
          <w:color w:val="auto"/>
          <w:sz w:val="24"/>
          <w:szCs w:val="24"/>
          <w:highlight w:val="none"/>
        </w:rPr>
      </w:pPr>
      <w:bookmarkStart w:id="300" w:name="_Toc98033928"/>
      <w:bookmarkStart w:id="301" w:name="_Toc69678423"/>
      <w:bookmarkStart w:id="302" w:name="_Toc116583994"/>
      <w:bookmarkStart w:id="303" w:name="_Toc110405128"/>
      <w:bookmarkStart w:id="304" w:name="_Toc83753886"/>
      <w:bookmarkStart w:id="305" w:name="_Toc109809306"/>
      <w:bookmarkStart w:id="306" w:name="_Toc87543812"/>
      <w:bookmarkStart w:id="307" w:name="_Toc45976894"/>
      <w:bookmarkStart w:id="308" w:name="_Toc42204987"/>
      <w:bookmarkStart w:id="309" w:name="_Toc75783525"/>
      <w:bookmarkStart w:id="310" w:name="_Toc98865005"/>
      <w:bookmarkStart w:id="311" w:name="_Toc45791348"/>
      <w:bookmarkStart w:id="312" w:name="_Toc42267626"/>
      <w:bookmarkStart w:id="313" w:name="_Toc87538363"/>
      <w:bookmarkStart w:id="314" w:name="_Toc81330933"/>
      <w:bookmarkStart w:id="315" w:name="_Toc84356246"/>
      <w:bookmarkStart w:id="316" w:name="_Toc53412210"/>
      <w:bookmarkStart w:id="317" w:name="_Toc21668"/>
      <w:r>
        <w:rPr>
          <w:rFonts w:hint="eastAsia" w:ascii="宋体" w:hAnsi="宋体"/>
          <w:b/>
          <w:bCs/>
          <w:color w:val="auto"/>
          <w:sz w:val="24"/>
          <w:szCs w:val="24"/>
          <w:highlight w:val="none"/>
        </w:rPr>
        <w:t>1.8 计量单位</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379B50CB">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所有计量均采用中华人民共和国法定计量单位。</w:t>
      </w:r>
    </w:p>
    <w:p w14:paraId="5C774DCB">
      <w:pPr>
        <w:spacing w:line="360" w:lineRule="auto"/>
        <w:outlineLvl w:val="3"/>
        <w:rPr>
          <w:rFonts w:hint="eastAsia" w:ascii="宋体" w:hAnsi="宋体"/>
          <w:b/>
          <w:bCs/>
          <w:color w:val="auto"/>
          <w:sz w:val="24"/>
          <w:szCs w:val="24"/>
          <w:highlight w:val="none"/>
        </w:rPr>
      </w:pPr>
      <w:bookmarkStart w:id="318" w:name="_Toc75783526"/>
      <w:bookmarkStart w:id="319" w:name="_Toc53412211"/>
      <w:bookmarkStart w:id="320" w:name="_Toc45976895"/>
      <w:bookmarkStart w:id="321" w:name="_Toc81330934"/>
      <w:bookmarkStart w:id="322" w:name="_Toc110405129"/>
      <w:bookmarkStart w:id="323" w:name="_Toc109809307"/>
      <w:bookmarkStart w:id="324" w:name="_Toc45791349"/>
      <w:bookmarkStart w:id="325" w:name="_Toc83753887"/>
      <w:bookmarkStart w:id="326" w:name="_Toc42267627"/>
      <w:bookmarkStart w:id="327" w:name="_Toc32582"/>
      <w:bookmarkStart w:id="328" w:name="_Toc69678424"/>
      <w:bookmarkStart w:id="329" w:name="_Toc42204988"/>
      <w:bookmarkStart w:id="330" w:name="_Toc87543813"/>
      <w:bookmarkStart w:id="331" w:name="_Toc84356247"/>
      <w:bookmarkStart w:id="332" w:name="_Toc98865006"/>
      <w:bookmarkStart w:id="333" w:name="_Toc87538364"/>
      <w:bookmarkStart w:id="334" w:name="_Toc116583995"/>
      <w:bookmarkStart w:id="335" w:name="_Toc98033929"/>
      <w:r>
        <w:rPr>
          <w:rFonts w:hint="eastAsia" w:ascii="宋体" w:hAnsi="宋体"/>
          <w:b/>
          <w:bCs/>
          <w:color w:val="auto"/>
          <w:sz w:val="24"/>
          <w:szCs w:val="24"/>
          <w:highlight w:val="none"/>
        </w:rPr>
        <w:t>1.9 踏勘现场</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67F03A9D">
      <w:pPr>
        <w:spacing w:line="360" w:lineRule="auto"/>
        <w:ind w:firstLine="420" w:firstLineChars="200"/>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详见供应商须知前附表</w:t>
      </w:r>
      <w:r>
        <w:rPr>
          <w:rFonts w:hint="eastAsia" w:cs="宋体" w:asciiTheme="minorEastAsia" w:hAnsiTheme="minorEastAsia" w:eastAsiaTheme="minorEastAsia"/>
          <w:color w:val="auto"/>
          <w:szCs w:val="21"/>
          <w:highlight w:val="none"/>
        </w:rPr>
        <w:t>。</w:t>
      </w:r>
    </w:p>
    <w:p w14:paraId="06057906">
      <w:pPr>
        <w:spacing w:line="360" w:lineRule="auto"/>
        <w:outlineLvl w:val="3"/>
        <w:rPr>
          <w:rFonts w:hint="eastAsia" w:ascii="宋体" w:hAnsi="宋体"/>
          <w:b/>
          <w:bCs/>
          <w:color w:val="auto"/>
          <w:sz w:val="24"/>
          <w:szCs w:val="24"/>
          <w:highlight w:val="none"/>
        </w:rPr>
      </w:pPr>
      <w:bookmarkStart w:id="336" w:name="_Toc69678425"/>
      <w:bookmarkStart w:id="337" w:name="_Toc53412212"/>
      <w:bookmarkStart w:id="338" w:name="_Toc98865007"/>
      <w:bookmarkStart w:id="339" w:name="_Toc87538365"/>
      <w:bookmarkStart w:id="340" w:name="_Toc116583996"/>
      <w:bookmarkStart w:id="341" w:name="_Toc83753888"/>
      <w:bookmarkStart w:id="342" w:name="_Toc75783527"/>
      <w:bookmarkStart w:id="343" w:name="_Toc98033930"/>
      <w:bookmarkStart w:id="344" w:name="_Toc87543814"/>
      <w:bookmarkStart w:id="345" w:name="_Toc45976896"/>
      <w:bookmarkStart w:id="346" w:name="_Toc109809308"/>
      <w:bookmarkStart w:id="347" w:name="_Toc84356248"/>
      <w:bookmarkStart w:id="348" w:name="_Toc110405130"/>
      <w:bookmarkStart w:id="349" w:name="_Toc45791350"/>
      <w:bookmarkStart w:id="350" w:name="_Toc30991"/>
      <w:bookmarkStart w:id="351" w:name="_Toc42267628"/>
      <w:bookmarkStart w:id="352" w:name="_Toc81330935"/>
      <w:bookmarkStart w:id="353" w:name="_Toc42204989"/>
      <w:r>
        <w:rPr>
          <w:rFonts w:hint="eastAsia" w:ascii="宋体" w:hAnsi="宋体"/>
          <w:b/>
          <w:bCs/>
          <w:color w:val="auto"/>
          <w:sz w:val="24"/>
          <w:szCs w:val="24"/>
          <w:highlight w:val="none"/>
        </w:rPr>
        <w:t>1.10 谈判预备会</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1B008272">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1.10.1本次谈判不组织谈判预备会。</w:t>
      </w:r>
    </w:p>
    <w:p w14:paraId="7D9909C8">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1.10.2供应商的询问及答复的规定：详见供应商须知前附表。</w:t>
      </w:r>
    </w:p>
    <w:p w14:paraId="73192A99">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1.10.3采购人澄清的时间和方法：详见供应商须知前附表。</w:t>
      </w:r>
    </w:p>
    <w:p w14:paraId="278433FB">
      <w:pPr>
        <w:spacing w:line="360" w:lineRule="auto"/>
        <w:outlineLvl w:val="3"/>
        <w:rPr>
          <w:rFonts w:hint="eastAsia" w:ascii="宋体" w:hAnsi="宋体"/>
          <w:b/>
          <w:bCs/>
          <w:color w:val="auto"/>
          <w:sz w:val="24"/>
          <w:szCs w:val="24"/>
          <w:highlight w:val="none"/>
        </w:rPr>
      </w:pPr>
      <w:bookmarkStart w:id="354" w:name="_Toc81330936"/>
      <w:bookmarkStart w:id="355" w:name="_Toc42267629"/>
      <w:bookmarkStart w:id="356" w:name="_Toc116583997"/>
      <w:bookmarkStart w:id="357" w:name="_Toc45791351"/>
      <w:bookmarkStart w:id="358" w:name="_Toc110405131"/>
      <w:bookmarkStart w:id="359" w:name="_Toc87538366"/>
      <w:bookmarkStart w:id="360" w:name="_Toc109809309"/>
      <w:bookmarkStart w:id="361" w:name="_Toc87543815"/>
      <w:bookmarkStart w:id="362" w:name="_Toc98033931"/>
      <w:bookmarkStart w:id="363" w:name="_Toc84356249"/>
      <w:bookmarkStart w:id="364" w:name="_Toc98865008"/>
      <w:bookmarkStart w:id="365" w:name="_Toc69678426"/>
      <w:bookmarkStart w:id="366" w:name="_Toc42204990"/>
      <w:bookmarkStart w:id="367" w:name="_Toc83753889"/>
      <w:bookmarkStart w:id="368" w:name="_Toc45976897"/>
      <w:bookmarkStart w:id="369" w:name="_Toc75783528"/>
      <w:bookmarkStart w:id="370" w:name="_Toc2836"/>
      <w:bookmarkStart w:id="371" w:name="_Toc53412213"/>
      <w:r>
        <w:rPr>
          <w:rFonts w:hint="eastAsia" w:ascii="宋体" w:hAnsi="宋体"/>
          <w:b/>
          <w:bCs/>
          <w:color w:val="auto"/>
          <w:sz w:val="24"/>
          <w:szCs w:val="24"/>
          <w:highlight w:val="none"/>
        </w:rPr>
        <w:t>1.11 分包</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15CAFC87">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详见供应商须知前附表。</w:t>
      </w:r>
    </w:p>
    <w:p w14:paraId="27468071">
      <w:pPr>
        <w:spacing w:line="360" w:lineRule="auto"/>
        <w:outlineLvl w:val="3"/>
        <w:rPr>
          <w:rFonts w:hint="eastAsia" w:ascii="宋体" w:hAnsi="宋体"/>
          <w:b/>
          <w:bCs/>
          <w:color w:val="auto"/>
          <w:sz w:val="24"/>
          <w:szCs w:val="24"/>
          <w:highlight w:val="none"/>
        </w:rPr>
      </w:pPr>
      <w:bookmarkStart w:id="372" w:name="_Toc42267630"/>
      <w:bookmarkStart w:id="373" w:name="_Toc42204991"/>
      <w:bookmarkStart w:id="374" w:name="_Toc53412214"/>
      <w:bookmarkStart w:id="375" w:name="_Toc98865009"/>
      <w:bookmarkStart w:id="376" w:name="_Toc87543816"/>
      <w:bookmarkStart w:id="377" w:name="_Toc83753890"/>
      <w:bookmarkStart w:id="378" w:name="_Toc75783529"/>
      <w:bookmarkStart w:id="379" w:name="_Toc98033932"/>
      <w:bookmarkStart w:id="380" w:name="_Toc45976898"/>
      <w:bookmarkStart w:id="381" w:name="_Toc110405132"/>
      <w:bookmarkStart w:id="382" w:name="_Toc109809310"/>
      <w:bookmarkStart w:id="383" w:name="_Toc116583998"/>
      <w:bookmarkStart w:id="384" w:name="_Toc69678427"/>
      <w:bookmarkStart w:id="385" w:name="_Toc87538367"/>
      <w:bookmarkStart w:id="386" w:name="_Toc45791352"/>
      <w:bookmarkStart w:id="387" w:name="_Toc81330937"/>
      <w:bookmarkStart w:id="388" w:name="_Toc84356250"/>
      <w:bookmarkStart w:id="389" w:name="_Toc20888"/>
      <w:r>
        <w:rPr>
          <w:rFonts w:hint="eastAsia" w:ascii="宋体" w:hAnsi="宋体"/>
          <w:b/>
          <w:bCs/>
          <w:color w:val="auto"/>
          <w:sz w:val="24"/>
          <w:szCs w:val="24"/>
          <w:highlight w:val="none"/>
        </w:rPr>
        <w:t>1.12 偏离</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56BA27C5">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详见供应商须知前附表。</w:t>
      </w:r>
    </w:p>
    <w:p w14:paraId="3E949DAA">
      <w:pPr>
        <w:spacing w:line="360" w:lineRule="auto"/>
        <w:jc w:val="center"/>
        <w:outlineLvl w:val="2"/>
        <w:rPr>
          <w:rFonts w:hint="eastAsia" w:asciiTheme="minorEastAsia" w:hAnsiTheme="minorEastAsia" w:eastAsiaTheme="minorEastAsia"/>
          <w:b/>
          <w:bCs/>
          <w:color w:val="auto"/>
          <w:sz w:val="28"/>
          <w:szCs w:val="28"/>
          <w:highlight w:val="none"/>
        </w:rPr>
      </w:pPr>
      <w:bookmarkStart w:id="390" w:name="_Toc42267631"/>
      <w:bookmarkStart w:id="391" w:name="_Toc83753891"/>
      <w:bookmarkStart w:id="392" w:name="_Toc45976899"/>
      <w:bookmarkStart w:id="393" w:name="_Toc45791353"/>
      <w:bookmarkStart w:id="394" w:name="_Toc84356251"/>
      <w:bookmarkStart w:id="395" w:name="_Toc98033933"/>
      <w:bookmarkStart w:id="396" w:name="_Toc87543817"/>
      <w:bookmarkStart w:id="397" w:name="_Toc87538368"/>
      <w:bookmarkStart w:id="398" w:name="_Toc42204992"/>
      <w:bookmarkStart w:id="399" w:name="_Toc116583999"/>
      <w:bookmarkStart w:id="400" w:name="_Toc8047"/>
      <w:bookmarkStart w:id="401" w:name="_Toc110405133"/>
      <w:bookmarkStart w:id="402" w:name="_Toc109809311"/>
      <w:bookmarkStart w:id="403" w:name="_Toc98865010"/>
      <w:bookmarkStart w:id="404" w:name="_Toc22595"/>
      <w:r>
        <w:rPr>
          <w:rFonts w:hint="eastAsia" w:asciiTheme="minorEastAsia" w:hAnsiTheme="minorEastAsia" w:eastAsiaTheme="minorEastAsia"/>
          <w:b/>
          <w:bCs/>
          <w:color w:val="auto"/>
          <w:sz w:val="28"/>
          <w:szCs w:val="28"/>
          <w:highlight w:val="none"/>
        </w:rPr>
        <w:t>2.</w:t>
      </w:r>
      <w:bookmarkEnd w:id="390"/>
      <w:bookmarkEnd w:id="391"/>
      <w:bookmarkEnd w:id="392"/>
      <w:bookmarkEnd w:id="393"/>
      <w:bookmarkEnd w:id="394"/>
      <w:bookmarkEnd w:id="395"/>
      <w:bookmarkEnd w:id="396"/>
      <w:bookmarkEnd w:id="397"/>
      <w:bookmarkEnd w:id="398"/>
      <w:r>
        <w:rPr>
          <w:rFonts w:hint="eastAsia" w:asciiTheme="minorEastAsia" w:hAnsiTheme="minorEastAsia" w:eastAsiaTheme="minorEastAsia"/>
          <w:b/>
          <w:bCs/>
          <w:color w:val="auto"/>
          <w:sz w:val="28"/>
          <w:szCs w:val="28"/>
          <w:highlight w:val="none"/>
        </w:rPr>
        <w:t>采购文件</w:t>
      </w:r>
      <w:bookmarkEnd w:id="399"/>
      <w:bookmarkEnd w:id="400"/>
      <w:bookmarkEnd w:id="401"/>
      <w:bookmarkEnd w:id="402"/>
      <w:bookmarkEnd w:id="403"/>
      <w:bookmarkEnd w:id="404"/>
    </w:p>
    <w:p w14:paraId="66714837">
      <w:pPr>
        <w:spacing w:line="360" w:lineRule="auto"/>
        <w:outlineLvl w:val="3"/>
        <w:rPr>
          <w:rFonts w:hint="eastAsia" w:ascii="宋体" w:hAnsi="宋体"/>
          <w:b/>
          <w:bCs/>
          <w:color w:val="auto"/>
          <w:sz w:val="24"/>
          <w:szCs w:val="24"/>
          <w:highlight w:val="none"/>
        </w:rPr>
      </w:pPr>
      <w:bookmarkStart w:id="405" w:name="_Toc87538369"/>
      <w:bookmarkStart w:id="406" w:name="_Toc45976900"/>
      <w:bookmarkStart w:id="407" w:name="_Toc45791354"/>
      <w:bookmarkStart w:id="408" w:name="_Toc84356252"/>
      <w:bookmarkStart w:id="409" w:name="_Toc75783531"/>
      <w:bookmarkStart w:id="410" w:name="_Toc1486"/>
      <w:bookmarkStart w:id="411" w:name="_Toc98033934"/>
      <w:bookmarkStart w:id="412" w:name="_Toc42204993"/>
      <w:bookmarkStart w:id="413" w:name="_Toc81330939"/>
      <w:bookmarkStart w:id="414" w:name="_Toc69678429"/>
      <w:bookmarkStart w:id="415" w:name="_Toc83753892"/>
      <w:bookmarkStart w:id="416" w:name="_Toc116584000"/>
      <w:bookmarkStart w:id="417" w:name="_Toc110405134"/>
      <w:bookmarkStart w:id="418" w:name="_Toc42267632"/>
      <w:bookmarkStart w:id="419" w:name="_Toc87543818"/>
      <w:bookmarkStart w:id="420" w:name="_Toc53412216"/>
      <w:bookmarkStart w:id="421" w:name="_Toc98865011"/>
      <w:bookmarkStart w:id="422" w:name="_Toc109809312"/>
      <w:r>
        <w:rPr>
          <w:rFonts w:hint="eastAsia" w:ascii="宋体" w:hAnsi="宋体"/>
          <w:b/>
          <w:bCs/>
          <w:color w:val="auto"/>
          <w:sz w:val="24"/>
          <w:szCs w:val="24"/>
          <w:highlight w:val="none"/>
        </w:rPr>
        <w:t>2.1采购文件的构成</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22EC4E6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采购文件包括以下内容：</w:t>
      </w:r>
    </w:p>
    <w:p w14:paraId="5E89B3BE">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第一章 竞争性谈判公告</w:t>
      </w:r>
    </w:p>
    <w:p w14:paraId="63C15B6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第二章 供应商须知</w:t>
      </w:r>
    </w:p>
    <w:p w14:paraId="0BDDA23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第三章 合同条款及格式</w:t>
      </w:r>
    </w:p>
    <w:p w14:paraId="50A5F419">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第四章 响应文件格式</w:t>
      </w:r>
    </w:p>
    <w:p w14:paraId="0992392E">
      <w:pPr>
        <w:adjustRightInd w:val="0"/>
        <w:snapToGrid w:val="0"/>
        <w:spacing w:line="360" w:lineRule="auto"/>
        <w:ind w:firstLine="420" w:firstLineChars="200"/>
        <w:rPr>
          <w:rFonts w:hint="eastAsia" w:asciiTheme="minorEastAsia" w:hAnsiTheme="minorEastAsia" w:eastAsiaTheme="minorEastAsia"/>
          <w:color w:val="auto"/>
          <w:szCs w:val="32"/>
          <w:highlight w:val="none"/>
        </w:rPr>
      </w:pPr>
      <w:r>
        <w:rPr>
          <w:rFonts w:hint="eastAsia" w:asciiTheme="minorEastAsia" w:hAnsiTheme="minorEastAsia" w:eastAsiaTheme="minorEastAsia"/>
          <w:color w:val="auto"/>
          <w:szCs w:val="21"/>
          <w:highlight w:val="none"/>
        </w:rPr>
        <w:t>第五章 采购需求及要求</w:t>
      </w:r>
    </w:p>
    <w:p w14:paraId="49A841D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第六章 评审办法（最低评标价法）</w:t>
      </w:r>
    </w:p>
    <w:p w14:paraId="56F3EFA3">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2.1.1构成采购文件的其他文件：根据本章第1.10款、第2.2 款和第2.3 款采购人对</w:t>
      </w:r>
      <w:r>
        <w:rPr>
          <w:rFonts w:hint="eastAsia" w:asciiTheme="minorEastAsia" w:hAnsiTheme="minorEastAsia" w:eastAsiaTheme="minorEastAsia"/>
          <w:snapToGrid w:val="0"/>
          <w:color w:val="auto"/>
          <w:kern w:val="0"/>
          <w:szCs w:val="21"/>
          <w:highlight w:val="none"/>
        </w:rPr>
        <w:t>采购文件</w:t>
      </w:r>
      <w:r>
        <w:rPr>
          <w:rFonts w:hint="eastAsia" w:asciiTheme="minorEastAsia" w:hAnsiTheme="minorEastAsia" w:eastAsiaTheme="minorEastAsia"/>
          <w:color w:val="auto"/>
          <w:szCs w:val="28"/>
          <w:highlight w:val="none"/>
        </w:rPr>
        <w:t>所作的澄清、修改，构成采购文件的组成部分。</w:t>
      </w:r>
    </w:p>
    <w:p w14:paraId="673D2212">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2.1.2谈判过程中可能实质性变动的内容：在谈判过程中，谈判小组可以根据</w:t>
      </w:r>
      <w:r>
        <w:rPr>
          <w:rFonts w:hint="eastAsia" w:asciiTheme="minorEastAsia" w:hAnsiTheme="minorEastAsia" w:eastAsiaTheme="minorEastAsia"/>
          <w:snapToGrid w:val="0"/>
          <w:color w:val="auto"/>
          <w:kern w:val="0"/>
          <w:szCs w:val="21"/>
          <w:highlight w:val="none"/>
        </w:rPr>
        <w:t>采购文件</w:t>
      </w:r>
      <w:r>
        <w:rPr>
          <w:rFonts w:hint="eastAsia" w:asciiTheme="minorEastAsia" w:hAnsiTheme="minorEastAsia" w:eastAsiaTheme="minorEastAsia"/>
          <w:color w:val="auto"/>
          <w:szCs w:val="21"/>
          <w:highlight w:val="none"/>
        </w:rPr>
        <w:t>和谈判情况实质性变动采购需求中的技术要求、质量标准以及合同条款，但不得变动</w:t>
      </w:r>
      <w:r>
        <w:rPr>
          <w:rFonts w:hint="eastAsia" w:asciiTheme="minorEastAsia" w:hAnsiTheme="minorEastAsia" w:eastAsiaTheme="minorEastAsia"/>
          <w:snapToGrid w:val="0"/>
          <w:color w:val="auto"/>
          <w:kern w:val="0"/>
          <w:szCs w:val="21"/>
          <w:highlight w:val="none"/>
        </w:rPr>
        <w:t>采购文件</w:t>
      </w:r>
      <w:r>
        <w:rPr>
          <w:rFonts w:hint="eastAsia" w:asciiTheme="minorEastAsia" w:hAnsiTheme="minorEastAsia" w:eastAsiaTheme="minorEastAsia"/>
          <w:color w:val="auto"/>
          <w:szCs w:val="21"/>
          <w:highlight w:val="none"/>
        </w:rPr>
        <w:t>中的其他内容。实质性变动的内容，须经采购人代表确认。</w:t>
      </w:r>
    </w:p>
    <w:p w14:paraId="2F50EEEC">
      <w:pPr>
        <w:spacing w:line="360" w:lineRule="auto"/>
        <w:outlineLvl w:val="3"/>
        <w:rPr>
          <w:rFonts w:hint="eastAsia" w:ascii="宋体" w:hAnsi="宋体"/>
          <w:b/>
          <w:bCs/>
          <w:color w:val="auto"/>
          <w:sz w:val="24"/>
          <w:szCs w:val="24"/>
          <w:highlight w:val="none"/>
        </w:rPr>
      </w:pPr>
      <w:bookmarkStart w:id="423" w:name="_Toc42267633"/>
      <w:bookmarkStart w:id="424" w:name="_Toc84356253"/>
      <w:bookmarkStart w:id="425" w:name="_Toc75783532"/>
      <w:bookmarkStart w:id="426" w:name="_Toc69678430"/>
      <w:bookmarkStart w:id="427" w:name="_Toc87543819"/>
      <w:bookmarkStart w:id="428" w:name="_Toc98865012"/>
      <w:bookmarkStart w:id="429" w:name="_Toc45791355"/>
      <w:bookmarkStart w:id="430" w:name="_Toc53412217"/>
      <w:bookmarkStart w:id="431" w:name="_Toc116584001"/>
      <w:bookmarkStart w:id="432" w:name="_Toc45976901"/>
      <w:bookmarkStart w:id="433" w:name="_Toc42204994"/>
      <w:bookmarkStart w:id="434" w:name="_Toc98033935"/>
      <w:bookmarkStart w:id="435" w:name="_Toc87538370"/>
      <w:bookmarkStart w:id="436" w:name="_Toc109809313"/>
      <w:bookmarkStart w:id="437" w:name="_Toc83753893"/>
      <w:bookmarkStart w:id="438" w:name="_Toc110405135"/>
      <w:bookmarkStart w:id="439" w:name="_Toc2038"/>
      <w:bookmarkStart w:id="440" w:name="_Toc81330940"/>
      <w:r>
        <w:rPr>
          <w:rFonts w:hint="eastAsia" w:ascii="宋体" w:hAnsi="宋体"/>
          <w:b/>
          <w:bCs/>
          <w:color w:val="auto"/>
          <w:sz w:val="24"/>
          <w:szCs w:val="24"/>
          <w:highlight w:val="none"/>
        </w:rPr>
        <w:t>2.2采购文件的澄清</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4EEA9A2B">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2.2.1供应商要求澄清采购文件的截止时间和方法：同1.10.2的时间要求。供应商应仔细阅读和检查采购文件的全部内容，如发现缺页或附件不全，应及时向采购人提出，以便补齐。如有疑问，应在供应商须知前附表规定的时间前，要求采购人对采购文件予以澄清。</w:t>
      </w:r>
    </w:p>
    <w:p w14:paraId="19293393">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2.2.2响应文件的提交截止时间：详见供应商须知前附表。</w:t>
      </w:r>
    </w:p>
    <w:p w14:paraId="5CAC3A9C">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2.2.3供应商确认收到</w:t>
      </w:r>
      <w:r>
        <w:rPr>
          <w:rFonts w:hint="eastAsia" w:asciiTheme="minorEastAsia" w:hAnsiTheme="minorEastAsia" w:eastAsiaTheme="minorEastAsia"/>
          <w:snapToGrid w:val="0"/>
          <w:color w:val="auto"/>
          <w:kern w:val="0"/>
          <w:szCs w:val="21"/>
          <w:highlight w:val="none"/>
        </w:rPr>
        <w:t>采购文件</w:t>
      </w:r>
      <w:r>
        <w:rPr>
          <w:rFonts w:hint="eastAsia" w:asciiTheme="minorEastAsia" w:hAnsiTheme="minorEastAsia" w:eastAsiaTheme="minorEastAsia"/>
          <w:color w:val="auto"/>
          <w:szCs w:val="21"/>
          <w:highlight w:val="none"/>
        </w:rPr>
        <w:t>澄清的时间：详</w:t>
      </w:r>
      <w:r>
        <w:rPr>
          <w:rFonts w:hint="eastAsia" w:asciiTheme="minorEastAsia" w:hAnsiTheme="minorEastAsia" w:eastAsiaTheme="minorEastAsia"/>
          <w:color w:val="auto"/>
          <w:szCs w:val="28"/>
          <w:highlight w:val="none"/>
        </w:rPr>
        <w:t>见供应商须知前附表。</w:t>
      </w:r>
    </w:p>
    <w:p w14:paraId="565152F4">
      <w:pPr>
        <w:spacing w:line="360" w:lineRule="auto"/>
        <w:outlineLvl w:val="3"/>
        <w:rPr>
          <w:rFonts w:hint="eastAsia" w:ascii="宋体" w:hAnsi="宋体"/>
          <w:b/>
          <w:bCs/>
          <w:color w:val="auto"/>
          <w:sz w:val="24"/>
          <w:szCs w:val="24"/>
          <w:highlight w:val="none"/>
        </w:rPr>
      </w:pPr>
      <w:bookmarkStart w:id="441" w:name="_Toc83753894"/>
      <w:bookmarkStart w:id="442" w:name="_Toc13012"/>
      <w:bookmarkStart w:id="443" w:name="_Toc87538371"/>
      <w:bookmarkStart w:id="444" w:name="_Toc53412218"/>
      <w:bookmarkStart w:id="445" w:name="_Toc98033936"/>
      <w:bookmarkStart w:id="446" w:name="_Toc98865013"/>
      <w:bookmarkStart w:id="447" w:name="_Toc84356254"/>
      <w:bookmarkStart w:id="448" w:name="_Toc110405136"/>
      <w:bookmarkStart w:id="449" w:name="_Toc116584002"/>
      <w:bookmarkStart w:id="450" w:name="_Toc45791356"/>
      <w:bookmarkStart w:id="451" w:name="_Toc45976902"/>
      <w:bookmarkStart w:id="452" w:name="_Toc109809314"/>
      <w:bookmarkStart w:id="453" w:name="_Toc69678431"/>
      <w:bookmarkStart w:id="454" w:name="_Toc42267634"/>
      <w:bookmarkStart w:id="455" w:name="_Toc87543820"/>
      <w:bookmarkStart w:id="456" w:name="_Toc81330941"/>
      <w:bookmarkStart w:id="457" w:name="_Toc42204995"/>
      <w:bookmarkStart w:id="458" w:name="_Toc75783533"/>
      <w:r>
        <w:rPr>
          <w:rFonts w:hint="eastAsia" w:ascii="宋体" w:hAnsi="宋体"/>
          <w:b/>
          <w:bCs/>
          <w:color w:val="auto"/>
          <w:sz w:val="24"/>
          <w:szCs w:val="24"/>
          <w:highlight w:val="none"/>
        </w:rPr>
        <w:t>2.3采购文件的修改</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08E84425">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bookmarkStart w:id="459" w:name="_Toc381796409"/>
      <w:bookmarkStart w:id="460" w:name="_Toc292983019"/>
      <w:r>
        <w:rPr>
          <w:rFonts w:hint="eastAsia" w:asciiTheme="minorEastAsia" w:hAnsiTheme="minorEastAsia" w:eastAsiaTheme="minorEastAsia"/>
          <w:color w:val="auto"/>
          <w:szCs w:val="21"/>
          <w:highlight w:val="none"/>
        </w:rPr>
        <w:t>2.3.1</w:t>
      </w:r>
      <w:r>
        <w:rPr>
          <w:rFonts w:hint="eastAsia" w:asciiTheme="minorEastAsia" w:hAnsiTheme="minorEastAsia" w:eastAsiaTheme="minorEastAsia"/>
          <w:color w:val="auto"/>
          <w:highlight w:val="none"/>
        </w:rPr>
        <w:t>响应文件提交截止时间前，采购人、</w:t>
      </w:r>
      <w:r>
        <w:rPr>
          <w:rFonts w:hint="eastAsia" w:asciiTheme="minorEastAsia" w:hAnsiTheme="minorEastAsia" w:eastAsiaTheme="minorEastAsia"/>
          <w:color w:val="auto"/>
          <w:highlight w:val="none"/>
          <w:lang w:eastAsia="zh-CN"/>
        </w:rPr>
        <w:t>集中采购机构</w:t>
      </w:r>
      <w:r>
        <w:rPr>
          <w:rFonts w:hint="eastAsia" w:asciiTheme="minorEastAsia" w:hAnsiTheme="minorEastAsia" w:eastAsiaTheme="minorEastAsia"/>
          <w:color w:val="auto"/>
          <w:highlight w:val="none"/>
        </w:rPr>
        <w:t>可以对已发出的采购文件进行必要的澄清，澄清的内容作为采购文件的组成部分，</w:t>
      </w:r>
      <w:r>
        <w:rPr>
          <w:rFonts w:hint="eastAsia" w:asciiTheme="minorEastAsia" w:hAnsiTheme="minorEastAsia" w:eastAsiaTheme="minorEastAsia"/>
          <w:color w:val="auto"/>
          <w:szCs w:val="21"/>
          <w:highlight w:val="none"/>
        </w:rPr>
        <w:t>并具有约束力。</w:t>
      </w:r>
      <w:r>
        <w:rPr>
          <w:rFonts w:hint="eastAsia" w:asciiTheme="minorEastAsia" w:hAnsiTheme="minorEastAsia" w:eastAsiaTheme="minorEastAsia"/>
          <w:color w:val="auto"/>
          <w:highlight w:val="none"/>
        </w:rPr>
        <w:t>澄清的内容可能影响采购文件编制的，采购人、</w:t>
      </w:r>
      <w:r>
        <w:rPr>
          <w:rFonts w:hint="eastAsia" w:asciiTheme="minorEastAsia" w:hAnsiTheme="minorEastAsia" w:eastAsiaTheme="minorEastAsia"/>
          <w:color w:val="auto"/>
          <w:highlight w:val="none"/>
          <w:lang w:eastAsia="zh-CN"/>
        </w:rPr>
        <w:t>集中采购机构</w:t>
      </w:r>
      <w:r>
        <w:rPr>
          <w:rFonts w:hint="eastAsia" w:asciiTheme="minorEastAsia" w:hAnsiTheme="minorEastAsia" w:eastAsiaTheme="minorEastAsia"/>
          <w:color w:val="auto"/>
          <w:highlight w:val="none"/>
        </w:rPr>
        <w:t>应在提交响应文件截止时间</w:t>
      </w: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个工作日前，在政府采购云平台通知所有获取采购文件的供应商，但不指明澄清问题的来源。不足</w:t>
      </w: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个工作日的，应当顺延提交响应文件截止时间。</w:t>
      </w:r>
    </w:p>
    <w:p w14:paraId="518AE953">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2.3.2供应商应在响应文件提交截止时间前随时查看有关该项目采购文件的答疑、补遗内容。否则，由此引起的损失由供应商自负。</w:t>
      </w:r>
    </w:p>
    <w:p w14:paraId="59260398">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2.3.3采购文件、采购文件澄清、采购文件修改文件内容均以网上发布的为准，当采购文件、采购文件澄清、采购文件修改文件内容相互矛盾时，以最后发出的为准</w:t>
      </w:r>
      <w:r>
        <w:rPr>
          <w:rFonts w:asciiTheme="minorEastAsia" w:hAnsiTheme="minorEastAsia" w:eastAsiaTheme="minorEastAsia"/>
          <w:color w:val="auto"/>
          <w:szCs w:val="21"/>
          <w:highlight w:val="none"/>
        </w:rPr>
        <w:t>。</w:t>
      </w:r>
    </w:p>
    <w:p w14:paraId="2264D462">
      <w:pPr>
        <w:spacing w:line="360" w:lineRule="auto"/>
        <w:jc w:val="center"/>
        <w:outlineLvl w:val="2"/>
        <w:rPr>
          <w:rFonts w:hint="eastAsia" w:asciiTheme="minorEastAsia" w:hAnsiTheme="minorEastAsia" w:eastAsiaTheme="minorEastAsia"/>
          <w:b/>
          <w:bCs/>
          <w:color w:val="auto"/>
          <w:sz w:val="28"/>
          <w:szCs w:val="28"/>
          <w:highlight w:val="none"/>
        </w:rPr>
      </w:pPr>
      <w:bookmarkStart w:id="461" w:name="_Toc98033937"/>
      <w:bookmarkStart w:id="462" w:name="_Toc42267635"/>
      <w:bookmarkStart w:id="463" w:name="_Toc87538372"/>
      <w:bookmarkStart w:id="464" w:name="_Toc84356255"/>
      <w:bookmarkStart w:id="465" w:name="_Toc87543821"/>
      <w:bookmarkStart w:id="466" w:name="_Toc98865014"/>
      <w:bookmarkStart w:id="467" w:name="_Toc37603104"/>
      <w:bookmarkStart w:id="468" w:name="_Toc9316"/>
      <w:bookmarkStart w:id="469" w:name="_Toc110405137"/>
      <w:bookmarkStart w:id="470" w:name="_Toc109809315"/>
      <w:bookmarkStart w:id="471" w:name="_Toc83753895"/>
      <w:bookmarkStart w:id="472" w:name="_Toc45976903"/>
      <w:bookmarkStart w:id="473" w:name="_Toc26920"/>
      <w:bookmarkStart w:id="474" w:name="_Toc116584003"/>
      <w:bookmarkStart w:id="475" w:name="_Toc42204996"/>
      <w:bookmarkStart w:id="476" w:name="_Toc45791357"/>
      <w:r>
        <w:rPr>
          <w:rFonts w:hint="eastAsia" w:asciiTheme="minorEastAsia" w:hAnsiTheme="minorEastAsia" w:eastAsiaTheme="minorEastAsia"/>
          <w:b/>
          <w:bCs/>
          <w:color w:val="auto"/>
          <w:sz w:val="28"/>
          <w:szCs w:val="28"/>
          <w:highlight w:val="none"/>
        </w:rPr>
        <w:t>3.响应文件</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1134783D">
      <w:pPr>
        <w:spacing w:line="360" w:lineRule="auto"/>
        <w:outlineLvl w:val="3"/>
        <w:rPr>
          <w:rFonts w:hint="eastAsia" w:ascii="宋体" w:hAnsi="宋体"/>
          <w:b/>
          <w:bCs/>
          <w:color w:val="auto"/>
          <w:sz w:val="24"/>
          <w:szCs w:val="24"/>
          <w:highlight w:val="none"/>
        </w:rPr>
      </w:pPr>
      <w:bookmarkStart w:id="477" w:name="_Toc42204997"/>
      <w:bookmarkStart w:id="478" w:name="_Toc81330943"/>
      <w:bookmarkStart w:id="479" w:name="_Toc69678433"/>
      <w:bookmarkStart w:id="480" w:name="_Toc87538373"/>
      <w:bookmarkStart w:id="481" w:name="_Toc87543822"/>
      <w:bookmarkStart w:id="482" w:name="_Toc45791358"/>
      <w:bookmarkStart w:id="483" w:name="_Toc110405138"/>
      <w:bookmarkStart w:id="484" w:name="_Toc53412220"/>
      <w:bookmarkStart w:id="485" w:name="_Toc116584004"/>
      <w:bookmarkStart w:id="486" w:name="_Toc98033938"/>
      <w:bookmarkStart w:id="487" w:name="_Toc75783535"/>
      <w:bookmarkStart w:id="488" w:name="_Toc145"/>
      <w:bookmarkStart w:id="489" w:name="_Toc84356256"/>
      <w:bookmarkStart w:id="490" w:name="_Toc109809316"/>
      <w:bookmarkStart w:id="491" w:name="_Toc42267636"/>
      <w:bookmarkStart w:id="492" w:name="_Toc98865015"/>
      <w:bookmarkStart w:id="493" w:name="_Toc83753896"/>
      <w:bookmarkStart w:id="494" w:name="_Toc45976904"/>
      <w:r>
        <w:rPr>
          <w:rFonts w:hint="eastAsia" w:ascii="宋体" w:hAnsi="宋体"/>
          <w:b/>
          <w:bCs/>
          <w:color w:val="auto"/>
          <w:sz w:val="24"/>
          <w:szCs w:val="24"/>
          <w:highlight w:val="none"/>
        </w:rPr>
        <w:t>3.1 响应文件的组成</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24F57E53">
      <w:pPr>
        <w:pStyle w:val="5"/>
        <w:spacing w:line="360"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详见第四章“响应文件格式”部分。</w:t>
      </w:r>
    </w:p>
    <w:p w14:paraId="78FBF889">
      <w:pPr>
        <w:spacing w:line="360" w:lineRule="auto"/>
        <w:outlineLvl w:val="3"/>
        <w:rPr>
          <w:rFonts w:hint="eastAsia" w:ascii="宋体" w:hAnsi="宋体"/>
          <w:b/>
          <w:bCs/>
          <w:color w:val="auto"/>
          <w:sz w:val="24"/>
          <w:szCs w:val="24"/>
          <w:highlight w:val="none"/>
        </w:rPr>
      </w:pPr>
      <w:bookmarkStart w:id="495" w:name="_Toc75783536"/>
      <w:bookmarkStart w:id="496" w:name="_Toc116584005"/>
      <w:bookmarkStart w:id="497" w:name="_Toc84356257"/>
      <w:bookmarkStart w:id="498" w:name="_Toc98033939"/>
      <w:bookmarkStart w:id="499" w:name="_Toc98865016"/>
      <w:bookmarkStart w:id="500" w:name="_Toc87538374"/>
      <w:bookmarkStart w:id="501" w:name="_Toc42267637"/>
      <w:bookmarkStart w:id="502" w:name="_Toc42204998"/>
      <w:bookmarkStart w:id="503" w:name="_Toc83753897"/>
      <w:bookmarkStart w:id="504" w:name="_Toc69678434"/>
      <w:bookmarkStart w:id="505" w:name="_Toc45976905"/>
      <w:bookmarkStart w:id="506" w:name="_Toc110405139"/>
      <w:bookmarkStart w:id="507" w:name="_Toc109809317"/>
      <w:bookmarkStart w:id="508" w:name="_Toc81330944"/>
      <w:bookmarkStart w:id="509" w:name="_Toc53412221"/>
      <w:bookmarkStart w:id="510" w:name="_Toc45791359"/>
      <w:bookmarkStart w:id="511" w:name="_Toc87543823"/>
      <w:bookmarkStart w:id="512" w:name="_Toc11669"/>
      <w:r>
        <w:rPr>
          <w:rFonts w:hint="eastAsia" w:ascii="宋体" w:hAnsi="宋体"/>
          <w:b/>
          <w:bCs/>
          <w:color w:val="auto"/>
          <w:sz w:val="24"/>
          <w:szCs w:val="24"/>
          <w:highlight w:val="none"/>
        </w:rPr>
        <w:t>3.2 谈判报价</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757A9D6C">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.2.1</w:t>
      </w:r>
      <w:r>
        <w:rPr>
          <w:rFonts w:hint="eastAsia" w:asciiTheme="minorEastAsia" w:hAnsiTheme="minorEastAsia" w:eastAsiaTheme="minorEastAsia"/>
          <w:color w:val="auto"/>
          <w:szCs w:val="21"/>
          <w:highlight w:val="none"/>
        </w:rPr>
        <w:t>最高限价：详见供应商须知前附表。</w:t>
      </w:r>
    </w:p>
    <w:p w14:paraId="7BF62999">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报价方式：详见供应商须知前附表。</w:t>
      </w:r>
    </w:p>
    <w:p w14:paraId="2DA6CC0B">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结算方式：详见供应商须知前附表。</w:t>
      </w:r>
    </w:p>
    <w:p w14:paraId="7C8174FD">
      <w:pPr>
        <w:spacing w:line="360" w:lineRule="auto"/>
        <w:ind w:firstLine="420" w:firstLineChars="200"/>
        <w:rPr>
          <w:rFonts w:hint="eastAsia" w:ascii="宋体" w:hAnsi="宋体" w:cs="宋体"/>
          <w:color w:val="auto"/>
          <w:szCs w:val="21"/>
          <w:highlight w:val="none"/>
        </w:rPr>
      </w:pPr>
      <w:r>
        <w:rPr>
          <w:rFonts w:hint="eastAsia" w:asciiTheme="minorEastAsia" w:hAnsiTheme="minorEastAsia" w:eastAsiaTheme="minorEastAsia"/>
          <w:color w:val="auto"/>
          <w:szCs w:val="21"/>
          <w:highlight w:val="none"/>
        </w:rPr>
        <w:t>3.2.</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任何有选择的报价将不予接受，本次竞争性谈判只允许供应商只有一个有效的谈判报价。在响应文件中，供应商投报两个或多个谈判报价，又未书面声明其中哪一个有效的，响应文件按否决处理。</w:t>
      </w:r>
      <w:r>
        <w:rPr>
          <w:rFonts w:ascii="宋体" w:hAnsi="宋体"/>
          <w:color w:val="auto"/>
          <w:szCs w:val="21"/>
          <w:highlight w:val="none"/>
        </w:rPr>
        <w:t>通过</w:t>
      </w:r>
      <w:r>
        <w:rPr>
          <w:rFonts w:hint="eastAsia" w:ascii="宋体" w:hAnsi="宋体"/>
          <w:color w:val="auto"/>
          <w:szCs w:val="21"/>
          <w:highlight w:val="none"/>
        </w:rPr>
        <w:t>资格审查和符合性审查</w:t>
      </w:r>
      <w:r>
        <w:rPr>
          <w:rFonts w:ascii="宋体" w:hAnsi="宋体"/>
          <w:color w:val="auto"/>
          <w:szCs w:val="21"/>
          <w:highlight w:val="none"/>
        </w:rPr>
        <w:t>的供应商将进行</w:t>
      </w:r>
      <w:r>
        <w:rPr>
          <w:rFonts w:hint="eastAsia" w:ascii="宋体" w:hAnsi="宋体"/>
          <w:color w:val="auto"/>
          <w:szCs w:val="21"/>
          <w:highlight w:val="none"/>
        </w:rPr>
        <w:t>二次报价，</w:t>
      </w:r>
      <w:r>
        <w:rPr>
          <w:rFonts w:hint="eastAsia" w:ascii="宋体" w:hAnsi="宋体" w:cs="宋体"/>
          <w:color w:val="auto"/>
          <w:szCs w:val="21"/>
          <w:highlight w:val="none"/>
        </w:rPr>
        <w:t>二次报价或二次报价依据政策扣除后的价格为供应商的评审价，供应商的二次报价是响应文件的有效组成部分</w:t>
      </w:r>
      <w:r>
        <w:rPr>
          <w:rFonts w:ascii="宋体" w:hAnsi="宋体"/>
          <w:color w:val="auto"/>
          <w:szCs w:val="21"/>
          <w:highlight w:val="none"/>
        </w:rPr>
        <w:t>。</w:t>
      </w:r>
    </w:p>
    <w:p w14:paraId="37D74D37">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宋体" w:hAnsi="宋体"/>
          <w:color w:val="auto"/>
          <w:szCs w:val="21"/>
          <w:highlight w:val="none"/>
        </w:rPr>
        <w:t>3.2.5二次报价：</w:t>
      </w:r>
      <w:r>
        <w:rPr>
          <w:rFonts w:hint="eastAsia" w:asciiTheme="minorEastAsia" w:hAnsiTheme="minorEastAsia" w:eastAsiaTheme="minorEastAsia"/>
          <w:color w:val="auto"/>
          <w:szCs w:val="21"/>
          <w:highlight w:val="none"/>
        </w:rPr>
        <w:t>见供应商须知前附表。</w:t>
      </w:r>
    </w:p>
    <w:p w14:paraId="43A71767">
      <w:pPr>
        <w:spacing w:line="360" w:lineRule="auto"/>
        <w:outlineLvl w:val="3"/>
        <w:rPr>
          <w:rFonts w:hint="eastAsia" w:ascii="宋体" w:hAnsi="宋体"/>
          <w:b/>
          <w:bCs/>
          <w:color w:val="auto"/>
          <w:sz w:val="24"/>
          <w:szCs w:val="24"/>
          <w:highlight w:val="none"/>
        </w:rPr>
      </w:pPr>
      <w:bookmarkStart w:id="513" w:name="_Toc110405140"/>
      <w:bookmarkStart w:id="514" w:name="_Toc98865017"/>
      <w:bookmarkStart w:id="515" w:name="_Toc75783537"/>
      <w:bookmarkStart w:id="516" w:name="_Toc42267638"/>
      <w:bookmarkStart w:id="517" w:name="_Toc109809318"/>
      <w:bookmarkStart w:id="518" w:name="_Toc84356258"/>
      <w:bookmarkStart w:id="519" w:name="_Toc53412222"/>
      <w:bookmarkStart w:id="520" w:name="_Toc83753898"/>
      <w:bookmarkStart w:id="521" w:name="_Toc98033940"/>
      <w:bookmarkStart w:id="522" w:name="_Toc9599"/>
      <w:bookmarkStart w:id="523" w:name="_Toc87543824"/>
      <w:bookmarkStart w:id="524" w:name="_Toc116584006"/>
      <w:bookmarkStart w:id="525" w:name="_Toc69678435"/>
      <w:bookmarkStart w:id="526" w:name="_Toc81330945"/>
      <w:bookmarkStart w:id="527" w:name="_Toc45976906"/>
      <w:bookmarkStart w:id="528" w:name="_Toc45791360"/>
      <w:bookmarkStart w:id="529" w:name="_Toc87538375"/>
      <w:bookmarkStart w:id="530" w:name="_Toc42204999"/>
      <w:r>
        <w:rPr>
          <w:rFonts w:hint="eastAsia" w:ascii="宋体" w:hAnsi="宋体"/>
          <w:b/>
          <w:bCs/>
          <w:color w:val="auto"/>
          <w:sz w:val="24"/>
          <w:szCs w:val="24"/>
          <w:highlight w:val="none"/>
        </w:rPr>
        <w:t>3.3 谈判有效期</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7C39992A">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3.3.1在供应商须知前附表规定的</w:t>
      </w:r>
      <w:r>
        <w:rPr>
          <w:rFonts w:hint="eastAsia" w:asciiTheme="minorEastAsia" w:hAnsiTheme="minorEastAsia" w:eastAsiaTheme="minorEastAsia"/>
          <w:color w:val="auto"/>
          <w:szCs w:val="24"/>
          <w:highlight w:val="none"/>
        </w:rPr>
        <w:t>谈判</w:t>
      </w:r>
      <w:r>
        <w:rPr>
          <w:rFonts w:hint="eastAsia" w:asciiTheme="minorEastAsia" w:hAnsiTheme="minorEastAsia" w:eastAsiaTheme="minorEastAsia"/>
          <w:color w:val="auto"/>
          <w:szCs w:val="28"/>
          <w:highlight w:val="none"/>
        </w:rPr>
        <w:t>有效期内，供应商不得要求撤销或修改其响应文件。</w:t>
      </w:r>
    </w:p>
    <w:p w14:paraId="48B5DCC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8"/>
          <w:highlight w:val="none"/>
        </w:rPr>
        <w:t>3.3.2出现特殊情况需要延长</w:t>
      </w:r>
      <w:r>
        <w:rPr>
          <w:rFonts w:hint="eastAsia" w:asciiTheme="minorEastAsia" w:hAnsiTheme="minorEastAsia" w:eastAsiaTheme="minorEastAsia"/>
          <w:color w:val="auto"/>
          <w:szCs w:val="24"/>
          <w:highlight w:val="none"/>
        </w:rPr>
        <w:t>谈判</w:t>
      </w:r>
      <w:r>
        <w:rPr>
          <w:rFonts w:hint="eastAsia" w:asciiTheme="minorEastAsia" w:hAnsiTheme="minorEastAsia" w:eastAsiaTheme="minorEastAsia"/>
          <w:color w:val="auto"/>
          <w:szCs w:val="28"/>
          <w:highlight w:val="none"/>
        </w:rPr>
        <w:t>有效期的，采购人将通知所有供应商延长</w:t>
      </w:r>
      <w:r>
        <w:rPr>
          <w:rFonts w:hint="eastAsia" w:asciiTheme="minorEastAsia" w:hAnsiTheme="minorEastAsia" w:eastAsiaTheme="minorEastAsia"/>
          <w:color w:val="auto"/>
          <w:szCs w:val="24"/>
          <w:highlight w:val="none"/>
        </w:rPr>
        <w:t>谈判</w:t>
      </w:r>
      <w:r>
        <w:rPr>
          <w:rFonts w:hint="eastAsia" w:asciiTheme="minorEastAsia" w:hAnsiTheme="minorEastAsia" w:eastAsiaTheme="minorEastAsia"/>
          <w:color w:val="auto"/>
          <w:szCs w:val="28"/>
          <w:highlight w:val="none"/>
        </w:rPr>
        <w:t>有效期。</w:t>
      </w:r>
    </w:p>
    <w:p w14:paraId="03E40708">
      <w:pPr>
        <w:spacing w:line="360" w:lineRule="auto"/>
        <w:outlineLvl w:val="3"/>
        <w:rPr>
          <w:rFonts w:hint="eastAsia" w:ascii="宋体" w:hAnsi="宋体"/>
          <w:b/>
          <w:bCs/>
          <w:color w:val="auto"/>
          <w:sz w:val="24"/>
          <w:szCs w:val="24"/>
          <w:highlight w:val="none"/>
        </w:rPr>
      </w:pPr>
      <w:bookmarkStart w:id="531" w:name="_Toc30417"/>
      <w:bookmarkStart w:id="532" w:name="_Toc87538376"/>
      <w:bookmarkStart w:id="533" w:name="_Toc53412223"/>
      <w:bookmarkStart w:id="534" w:name="_Toc84356259"/>
      <w:bookmarkStart w:id="535" w:name="_Toc98865018"/>
      <w:bookmarkStart w:id="536" w:name="_Toc45976907"/>
      <w:bookmarkStart w:id="537" w:name="_Toc75783538"/>
      <w:bookmarkStart w:id="538" w:name="_Toc81330946"/>
      <w:bookmarkStart w:id="539" w:name="_Toc83753899"/>
      <w:bookmarkStart w:id="540" w:name="_Toc109809319"/>
      <w:bookmarkStart w:id="541" w:name="_Toc87543825"/>
      <w:bookmarkStart w:id="542" w:name="_Toc45791361"/>
      <w:bookmarkStart w:id="543" w:name="_Toc69678436"/>
      <w:bookmarkStart w:id="544" w:name="_Toc98033941"/>
      <w:bookmarkStart w:id="545" w:name="_Toc42205000"/>
      <w:bookmarkStart w:id="546" w:name="_Toc110405141"/>
      <w:bookmarkStart w:id="547" w:name="_Toc116584007"/>
      <w:bookmarkStart w:id="548" w:name="_Toc42267639"/>
      <w:r>
        <w:rPr>
          <w:rFonts w:hint="eastAsia" w:ascii="宋体" w:hAnsi="宋体"/>
          <w:b/>
          <w:bCs/>
          <w:color w:val="auto"/>
          <w:sz w:val="24"/>
          <w:szCs w:val="24"/>
          <w:highlight w:val="none"/>
        </w:rPr>
        <w:t>3.4 谈判保证金</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5DEE629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3.4.1供应商在提交响应文件的同时，应按供应商须知前附表的规定提交谈判保证金。</w:t>
      </w:r>
    </w:p>
    <w:p w14:paraId="1D4A47C1">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3.4.2供应商不按本章第3.4.1项要求提交谈判保证金的，其响应文件作否决处理。</w:t>
      </w:r>
    </w:p>
    <w:p w14:paraId="45AF705C">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3.4.3谈判保证金退还到供应商的基本账户。</w:t>
      </w:r>
    </w:p>
    <w:p w14:paraId="76764A91">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未成交的供应商的谈判保证金，在成交通知书发出后5个工作日内退还；成交供应商的谈判保证金在采购人与其签订合同后5个工作日内退还。</w:t>
      </w:r>
    </w:p>
    <w:p w14:paraId="33179204">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供应商有下列情形之一的，谈判保证金不予退还</w:t>
      </w:r>
      <w:r>
        <w:rPr>
          <w:rFonts w:asciiTheme="minorEastAsia" w:hAnsiTheme="minorEastAsia" w:eastAsiaTheme="minorEastAsia"/>
          <w:color w:val="auto"/>
          <w:szCs w:val="21"/>
          <w:highlight w:val="none"/>
        </w:rPr>
        <w:t>：</w:t>
      </w:r>
    </w:p>
    <w:p w14:paraId="2A496850">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（1）供应商在提交响应文件截止时间后撤回其响应文件的；</w:t>
      </w:r>
    </w:p>
    <w:p w14:paraId="5D339C21">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（2）供应商在响应文件中提供虚假材料的；</w:t>
      </w:r>
    </w:p>
    <w:p w14:paraId="1FF97A61">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（3）除因不可抗力或采购文件认可的情形以外，成交供应商不与采购人签订合同的；</w:t>
      </w:r>
    </w:p>
    <w:p w14:paraId="40D88D4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rPr>
        <w:t>与采购人、其他</w:t>
      </w:r>
      <w:r>
        <w:rPr>
          <w:rFonts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rPr>
        <w:t>或者</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恶意串通的。</w:t>
      </w:r>
    </w:p>
    <w:p w14:paraId="4EB1369C">
      <w:pPr>
        <w:spacing w:line="360" w:lineRule="auto"/>
        <w:outlineLvl w:val="3"/>
        <w:rPr>
          <w:rFonts w:hint="eastAsia" w:ascii="宋体" w:hAnsi="宋体"/>
          <w:b/>
          <w:bCs/>
          <w:color w:val="auto"/>
          <w:sz w:val="24"/>
          <w:szCs w:val="24"/>
          <w:highlight w:val="none"/>
        </w:rPr>
      </w:pPr>
      <w:bookmarkStart w:id="549" w:name="_Toc30166"/>
      <w:bookmarkStart w:id="550" w:name="_Toc87538377"/>
      <w:bookmarkStart w:id="551" w:name="_Toc45791362"/>
      <w:bookmarkStart w:id="552" w:name="_Toc75783539"/>
      <w:bookmarkStart w:id="553" w:name="_Toc42267640"/>
      <w:bookmarkStart w:id="554" w:name="_Toc69678437"/>
      <w:bookmarkStart w:id="555" w:name="_Toc81330947"/>
      <w:bookmarkStart w:id="556" w:name="_Toc45976908"/>
      <w:bookmarkStart w:id="557" w:name="_Toc42205001"/>
      <w:bookmarkStart w:id="558" w:name="_Toc53412224"/>
      <w:bookmarkStart w:id="559" w:name="_Toc83753900"/>
      <w:bookmarkStart w:id="560" w:name="_Toc116584008"/>
      <w:bookmarkStart w:id="561" w:name="_Toc98865019"/>
      <w:bookmarkStart w:id="562" w:name="_Toc110405142"/>
      <w:bookmarkStart w:id="563" w:name="_Toc87543826"/>
      <w:bookmarkStart w:id="564" w:name="_Toc98033942"/>
      <w:bookmarkStart w:id="565" w:name="_Toc109809320"/>
      <w:bookmarkStart w:id="566" w:name="_Toc84356260"/>
      <w:r>
        <w:rPr>
          <w:rFonts w:hint="eastAsia" w:ascii="宋体" w:hAnsi="宋体"/>
          <w:b/>
          <w:bCs/>
          <w:color w:val="auto"/>
          <w:sz w:val="24"/>
          <w:szCs w:val="24"/>
          <w:highlight w:val="none"/>
        </w:rPr>
        <w:t>3.5 资格审查资料</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7F88D9A2">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3.5.1近年财务状况的年份要求：详见供应商须知前附表。</w:t>
      </w:r>
    </w:p>
    <w:p w14:paraId="40120952">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3.5.2没有重大违法记录的年份要求：详见供应商须知前附表。</w:t>
      </w:r>
    </w:p>
    <w:p w14:paraId="0EFC772B">
      <w:pPr>
        <w:spacing w:line="360" w:lineRule="auto"/>
        <w:ind w:firstLine="420" w:firstLineChars="200"/>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3.5.3其他资格审查资料：详见</w:t>
      </w:r>
      <w:r>
        <w:rPr>
          <w:rFonts w:hint="eastAsia" w:asciiTheme="minorEastAsia" w:hAnsiTheme="minorEastAsia" w:eastAsiaTheme="minorEastAsia"/>
          <w:color w:val="auto"/>
          <w:szCs w:val="21"/>
          <w:highlight w:val="none"/>
        </w:rPr>
        <w:t>第四章</w:t>
      </w:r>
      <w:r>
        <w:rPr>
          <w:rFonts w:hint="eastAsia" w:cs="宋体" w:asciiTheme="minorEastAsia" w:hAnsiTheme="minorEastAsia" w:eastAsiaTheme="minorEastAsia"/>
          <w:color w:val="auto"/>
          <w:szCs w:val="21"/>
          <w:highlight w:val="none"/>
        </w:rPr>
        <w:t>“响应文件格式”资格文件中的内容。</w:t>
      </w:r>
    </w:p>
    <w:p w14:paraId="06746113">
      <w:pPr>
        <w:spacing w:line="360" w:lineRule="auto"/>
        <w:outlineLvl w:val="3"/>
        <w:rPr>
          <w:rFonts w:hint="eastAsia" w:ascii="宋体" w:hAnsi="宋体"/>
          <w:b/>
          <w:bCs/>
          <w:color w:val="auto"/>
          <w:sz w:val="24"/>
          <w:szCs w:val="24"/>
          <w:highlight w:val="none"/>
        </w:rPr>
      </w:pPr>
      <w:bookmarkStart w:id="567" w:name="_Toc81330948"/>
      <w:bookmarkStart w:id="568" w:name="_Toc45976909"/>
      <w:bookmarkStart w:id="569" w:name="_Toc42205002"/>
      <w:bookmarkStart w:id="570" w:name="_Toc1352"/>
      <w:bookmarkStart w:id="571" w:name="_Toc110405143"/>
      <w:bookmarkStart w:id="572" w:name="_Toc84356261"/>
      <w:bookmarkStart w:id="573" w:name="_Toc69678438"/>
      <w:bookmarkStart w:id="574" w:name="_Toc109809321"/>
      <w:bookmarkStart w:id="575" w:name="_Toc83753901"/>
      <w:bookmarkStart w:id="576" w:name="_Toc42267641"/>
      <w:bookmarkStart w:id="577" w:name="_Toc116584009"/>
      <w:bookmarkStart w:id="578" w:name="_Toc87543827"/>
      <w:bookmarkStart w:id="579" w:name="_Toc45791363"/>
      <w:bookmarkStart w:id="580" w:name="_Toc87538378"/>
      <w:bookmarkStart w:id="581" w:name="_Toc75783540"/>
      <w:bookmarkStart w:id="582" w:name="_Toc98033943"/>
      <w:bookmarkStart w:id="583" w:name="_Toc53412225"/>
      <w:bookmarkStart w:id="584" w:name="_Toc98865020"/>
      <w:r>
        <w:rPr>
          <w:rFonts w:hint="eastAsia" w:ascii="宋体" w:hAnsi="宋体"/>
          <w:b/>
          <w:bCs/>
          <w:color w:val="auto"/>
          <w:sz w:val="24"/>
          <w:szCs w:val="24"/>
          <w:highlight w:val="none"/>
        </w:rPr>
        <w:t>3.6 备选谈判方案</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39BCCF13">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除供应商须知前附表另有规定外，供应商不得</w:t>
      </w:r>
      <w:r>
        <w:rPr>
          <w:rFonts w:hint="eastAsia" w:asciiTheme="minorEastAsia" w:hAnsiTheme="minorEastAsia" w:eastAsiaTheme="minorEastAsia"/>
          <w:color w:val="auto"/>
          <w:szCs w:val="28"/>
          <w:highlight w:val="none"/>
        </w:rPr>
        <w:t>提交</w:t>
      </w:r>
      <w:r>
        <w:rPr>
          <w:rFonts w:hint="eastAsia" w:asciiTheme="minorEastAsia" w:hAnsiTheme="minorEastAsia" w:eastAsiaTheme="minorEastAsia"/>
          <w:color w:val="auto"/>
          <w:szCs w:val="21"/>
          <w:highlight w:val="none"/>
        </w:rPr>
        <w:t>备选谈判方案。允许供应商</w:t>
      </w:r>
      <w:r>
        <w:rPr>
          <w:rFonts w:hint="eastAsia" w:asciiTheme="minorEastAsia" w:hAnsiTheme="minorEastAsia" w:eastAsiaTheme="minorEastAsia"/>
          <w:color w:val="auto"/>
          <w:szCs w:val="28"/>
          <w:highlight w:val="none"/>
        </w:rPr>
        <w:t>提交</w:t>
      </w:r>
      <w:r>
        <w:rPr>
          <w:rFonts w:hint="eastAsia" w:asciiTheme="minorEastAsia" w:hAnsiTheme="minorEastAsia" w:eastAsiaTheme="minorEastAsia"/>
          <w:color w:val="auto"/>
          <w:szCs w:val="21"/>
          <w:highlight w:val="none"/>
        </w:rPr>
        <w:t>备选谈判方案的，只有成交供应商所</w:t>
      </w:r>
      <w:r>
        <w:rPr>
          <w:rFonts w:hint="eastAsia" w:asciiTheme="minorEastAsia" w:hAnsiTheme="minorEastAsia" w:eastAsiaTheme="minorEastAsia"/>
          <w:color w:val="auto"/>
          <w:szCs w:val="28"/>
          <w:highlight w:val="none"/>
        </w:rPr>
        <w:t>提交</w:t>
      </w:r>
      <w:r>
        <w:rPr>
          <w:rFonts w:hint="eastAsia" w:asciiTheme="minorEastAsia" w:hAnsiTheme="minorEastAsia" w:eastAsiaTheme="minorEastAsia"/>
          <w:color w:val="auto"/>
          <w:szCs w:val="21"/>
          <w:highlight w:val="none"/>
        </w:rPr>
        <w:t>的备选谈判方案方可予以考虑。谈判小组认为成交供应商的备选谈判方案优于其按照采购文件要求编制的谈判方案的，采购人可以接受该备选谈判方案。</w:t>
      </w:r>
    </w:p>
    <w:p w14:paraId="1B60D615">
      <w:pPr>
        <w:spacing w:line="360" w:lineRule="auto"/>
        <w:outlineLvl w:val="3"/>
        <w:rPr>
          <w:rFonts w:hint="eastAsia" w:ascii="宋体" w:hAnsi="宋体"/>
          <w:b/>
          <w:bCs/>
          <w:color w:val="auto"/>
          <w:sz w:val="24"/>
          <w:szCs w:val="24"/>
          <w:highlight w:val="none"/>
        </w:rPr>
      </w:pPr>
      <w:bookmarkStart w:id="585" w:name="_Toc110405144"/>
      <w:bookmarkStart w:id="586" w:name="_Toc81330949"/>
      <w:bookmarkStart w:id="587" w:name="_Toc98865021"/>
      <w:bookmarkStart w:id="588" w:name="_Toc98033944"/>
      <w:bookmarkStart w:id="589" w:name="_Toc42205003"/>
      <w:bookmarkStart w:id="590" w:name="_Toc116584010"/>
      <w:bookmarkStart w:id="591" w:name="_Toc83753902"/>
      <w:bookmarkStart w:id="592" w:name="_Toc69678439"/>
      <w:bookmarkStart w:id="593" w:name="_Toc16675"/>
      <w:bookmarkStart w:id="594" w:name="_Toc45976910"/>
      <w:bookmarkStart w:id="595" w:name="_Toc87538379"/>
      <w:bookmarkStart w:id="596" w:name="_Toc87543828"/>
      <w:bookmarkStart w:id="597" w:name="_Toc53412226"/>
      <w:bookmarkStart w:id="598" w:name="_Toc75783541"/>
      <w:bookmarkStart w:id="599" w:name="_Toc84356262"/>
      <w:bookmarkStart w:id="600" w:name="_Toc42267642"/>
      <w:bookmarkStart w:id="601" w:name="_Toc109809322"/>
      <w:bookmarkStart w:id="602" w:name="_Toc45791364"/>
      <w:r>
        <w:rPr>
          <w:rFonts w:hint="eastAsia" w:ascii="宋体" w:hAnsi="宋体"/>
          <w:b/>
          <w:bCs/>
          <w:color w:val="auto"/>
          <w:sz w:val="24"/>
          <w:szCs w:val="24"/>
          <w:highlight w:val="none"/>
        </w:rPr>
        <w:t>3.7 响应文件的编制</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14:paraId="6D01B6B9">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3.7.1响应</w:t>
      </w:r>
      <w:r>
        <w:rPr>
          <w:rFonts w:asciiTheme="minorEastAsia" w:hAnsiTheme="minorEastAsia" w:eastAsiaTheme="minorEastAsia"/>
          <w:color w:val="auto"/>
          <w:szCs w:val="21"/>
          <w:highlight w:val="none"/>
        </w:rPr>
        <w:t>文件</w:t>
      </w:r>
      <w:r>
        <w:rPr>
          <w:rFonts w:hint="eastAsia" w:asciiTheme="minorEastAsia" w:hAnsiTheme="minorEastAsia" w:eastAsiaTheme="minorEastAsia"/>
          <w:color w:val="auto"/>
          <w:szCs w:val="21"/>
          <w:highlight w:val="none"/>
        </w:rPr>
        <w:t>的</w:t>
      </w:r>
      <w:r>
        <w:rPr>
          <w:rFonts w:asciiTheme="minorEastAsia" w:hAnsiTheme="minorEastAsia" w:eastAsiaTheme="minorEastAsia"/>
          <w:color w:val="auto"/>
          <w:szCs w:val="21"/>
          <w:highlight w:val="none"/>
        </w:rPr>
        <w:t>格式：详</w:t>
      </w:r>
      <w:r>
        <w:rPr>
          <w:rFonts w:hint="eastAsia" w:asciiTheme="minorEastAsia" w:hAnsiTheme="minorEastAsia" w:eastAsiaTheme="minorEastAsia"/>
          <w:color w:val="auto"/>
          <w:szCs w:val="21"/>
          <w:highlight w:val="none"/>
        </w:rPr>
        <w:t>见供应商须知前附表。</w:t>
      </w:r>
    </w:p>
    <w:p w14:paraId="75CBC1E7">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3.7.2响应文件应当对采购文件中有关采购内容、合同履行期限、谈判有效期、质量要求等实质性内容作出响应。</w:t>
      </w:r>
    </w:p>
    <w:p w14:paraId="24DAADE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3.7.3响应文件的签署：</w:t>
      </w:r>
      <w:r>
        <w:rPr>
          <w:rFonts w:hint="eastAsia" w:asciiTheme="minorEastAsia" w:hAnsiTheme="minorEastAsia" w:eastAsiaTheme="minorEastAsia"/>
          <w:color w:val="auto"/>
          <w:highlight w:val="none"/>
        </w:rPr>
        <w:t>见供应商须知前附表。</w:t>
      </w:r>
    </w:p>
    <w:p w14:paraId="744F7CC4">
      <w:pPr>
        <w:spacing w:line="360" w:lineRule="auto"/>
        <w:jc w:val="center"/>
        <w:outlineLvl w:val="2"/>
        <w:rPr>
          <w:rFonts w:hint="eastAsia" w:asciiTheme="minorEastAsia" w:hAnsiTheme="minorEastAsia" w:eastAsiaTheme="minorEastAsia"/>
          <w:b/>
          <w:bCs/>
          <w:color w:val="auto"/>
          <w:sz w:val="28"/>
          <w:szCs w:val="28"/>
          <w:highlight w:val="none"/>
        </w:rPr>
      </w:pPr>
      <w:bookmarkStart w:id="603" w:name="_Toc98033945"/>
      <w:bookmarkStart w:id="604" w:name="_Toc45976911"/>
      <w:bookmarkStart w:id="605" w:name="_Toc42205004"/>
      <w:bookmarkStart w:id="606" w:name="_Toc83753903"/>
      <w:bookmarkStart w:id="607" w:name="_Toc87538380"/>
      <w:bookmarkStart w:id="608" w:name="_Toc24563"/>
      <w:bookmarkStart w:id="609" w:name="_Toc84356263"/>
      <w:bookmarkStart w:id="610" w:name="_Toc42267643"/>
      <w:bookmarkStart w:id="611" w:name="_Toc98865022"/>
      <w:bookmarkStart w:id="612" w:name="_Toc45791365"/>
      <w:bookmarkStart w:id="613" w:name="_Toc292983020"/>
      <w:bookmarkStart w:id="614" w:name="_Toc109809323"/>
      <w:bookmarkStart w:id="615" w:name="_Toc87543829"/>
      <w:bookmarkStart w:id="616" w:name="_Toc381796410"/>
      <w:bookmarkStart w:id="617" w:name="_Toc37603105"/>
      <w:bookmarkStart w:id="618" w:name="_Toc110405145"/>
      <w:bookmarkStart w:id="619" w:name="_Toc4936"/>
      <w:bookmarkStart w:id="620" w:name="_Toc116584011"/>
      <w:r>
        <w:rPr>
          <w:rFonts w:hint="eastAsia" w:asciiTheme="minorEastAsia" w:hAnsiTheme="minorEastAsia" w:eastAsiaTheme="minorEastAsia"/>
          <w:b/>
          <w:bCs/>
          <w:color w:val="auto"/>
          <w:sz w:val="28"/>
          <w:szCs w:val="28"/>
          <w:highlight w:val="none"/>
        </w:rPr>
        <w:t>4.响应文件的</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hint="eastAsia" w:asciiTheme="minorEastAsia" w:hAnsiTheme="minorEastAsia" w:eastAsiaTheme="minorEastAsia"/>
          <w:b/>
          <w:bCs/>
          <w:color w:val="auto"/>
          <w:sz w:val="28"/>
          <w:szCs w:val="28"/>
          <w:highlight w:val="none"/>
        </w:rPr>
        <w:t>提交</w:t>
      </w:r>
      <w:bookmarkEnd w:id="619"/>
      <w:bookmarkEnd w:id="620"/>
    </w:p>
    <w:p w14:paraId="28726E54">
      <w:pPr>
        <w:spacing w:line="360" w:lineRule="auto"/>
        <w:outlineLvl w:val="3"/>
        <w:rPr>
          <w:rFonts w:hint="eastAsia" w:ascii="宋体" w:hAnsi="宋体"/>
          <w:b/>
          <w:bCs/>
          <w:color w:val="auto"/>
          <w:sz w:val="24"/>
          <w:szCs w:val="24"/>
          <w:highlight w:val="none"/>
        </w:rPr>
      </w:pPr>
      <w:bookmarkStart w:id="621" w:name="_Toc75783543"/>
      <w:bookmarkStart w:id="622" w:name="_Toc42267644"/>
      <w:bookmarkStart w:id="623" w:name="_Toc83753904"/>
      <w:bookmarkStart w:id="624" w:name="_Toc69678441"/>
      <w:bookmarkStart w:id="625" w:name="_Toc45976912"/>
      <w:bookmarkStart w:id="626" w:name="_Toc45791366"/>
      <w:bookmarkStart w:id="627" w:name="_Toc81330951"/>
      <w:bookmarkStart w:id="628" w:name="_Toc87543830"/>
      <w:bookmarkStart w:id="629" w:name="_Toc42205005"/>
      <w:bookmarkStart w:id="630" w:name="_Toc84356264"/>
      <w:bookmarkStart w:id="631" w:name="_Toc98033946"/>
      <w:bookmarkStart w:id="632" w:name="_Toc109809324"/>
      <w:bookmarkStart w:id="633" w:name="_Toc6542"/>
      <w:bookmarkStart w:id="634" w:name="_Toc87538381"/>
      <w:bookmarkStart w:id="635" w:name="_Toc53412228"/>
      <w:bookmarkStart w:id="636" w:name="_Toc110405146"/>
      <w:bookmarkStart w:id="637" w:name="_Toc98865023"/>
      <w:bookmarkStart w:id="638" w:name="_Toc116584012"/>
      <w:r>
        <w:rPr>
          <w:rFonts w:hint="eastAsia" w:ascii="宋体" w:hAnsi="宋体"/>
          <w:b/>
          <w:bCs/>
          <w:color w:val="auto"/>
          <w:sz w:val="24"/>
          <w:szCs w:val="24"/>
          <w:highlight w:val="none"/>
        </w:rPr>
        <w:t>4.1响应文件的</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Pr>
          <w:rFonts w:hint="eastAsia" w:ascii="宋体" w:hAnsi="宋体"/>
          <w:b/>
          <w:bCs/>
          <w:color w:val="auto"/>
          <w:sz w:val="24"/>
          <w:szCs w:val="24"/>
          <w:highlight w:val="none"/>
        </w:rPr>
        <w:t>加密</w:t>
      </w:r>
    </w:p>
    <w:p w14:paraId="48FF618F">
      <w:pPr>
        <w:spacing w:line="360" w:lineRule="auto"/>
        <w:ind w:firstLine="420" w:firstLineChars="200"/>
        <w:jc w:val="left"/>
        <w:rPr>
          <w:rFonts w:hint="eastAsia" w:asciiTheme="minorEastAsia" w:hAnsiTheme="minorEastAsia" w:eastAsiaTheme="minorEastAsia"/>
          <w:color w:val="auto"/>
          <w:szCs w:val="28"/>
          <w:highlight w:val="none"/>
        </w:rPr>
      </w:pPr>
      <w:bookmarkStart w:id="639" w:name="_Toc17162"/>
      <w:bookmarkStart w:id="640" w:name="_Toc110405147"/>
      <w:bookmarkStart w:id="641" w:name="_Toc87538382"/>
      <w:bookmarkStart w:id="642" w:name="_Toc98033947"/>
      <w:bookmarkStart w:id="643" w:name="_Toc45976913"/>
      <w:bookmarkStart w:id="644" w:name="_Toc45791367"/>
      <w:bookmarkStart w:id="645" w:name="_Toc53412229"/>
      <w:bookmarkStart w:id="646" w:name="_Toc75783544"/>
      <w:bookmarkStart w:id="647" w:name="_Toc87543831"/>
      <w:bookmarkStart w:id="648" w:name="_Toc83753905"/>
      <w:bookmarkStart w:id="649" w:name="_Toc69678442"/>
      <w:bookmarkStart w:id="650" w:name="_Toc98865024"/>
      <w:bookmarkStart w:id="651" w:name="_Toc84356265"/>
      <w:bookmarkStart w:id="652" w:name="_Toc81330952"/>
      <w:bookmarkStart w:id="653" w:name="_Toc42205006"/>
      <w:bookmarkStart w:id="654" w:name="_Toc42267645"/>
      <w:bookmarkStart w:id="655" w:name="_Toc109809325"/>
      <w:r>
        <w:rPr>
          <w:rFonts w:hint="eastAsia" w:asciiTheme="minorEastAsia" w:hAnsiTheme="minorEastAsia" w:eastAsiaTheme="minorEastAsia"/>
          <w:color w:val="auto"/>
          <w:szCs w:val="28"/>
          <w:highlight w:val="none"/>
        </w:rPr>
        <w:t>4.1.1响应文件的加密：见供应商须知前附表。</w:t>
      </w:r>
    </w:p>
    <w:p w14:paraId="084E8B03">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4.1.2未按本章第4.1.1项要求加密的响应文件，采购人不予受理。</w:t>
      </w:r>
    </w:p>
    <w:p w14:paraId="4837A052">
      <w:pPr>
        <w:spacing w:line="360" w:lineRule="auto"/>
        <w:outlineLvl w:val="3"/>
        <w:rPr>
          <w:rFonts w:hint="eastAsia" w:ascii="宋体" w:hAnsi="宋体"/>
          <w:b/>
          <w:bCs/>
          <w:color w:val="auto"/>
          <w:sz w:val="24"/>
          <w:szCs w:val="24"/>
          <w:highlight w:val="none"/>
        </w:rPr>
      </w:pPr>
      <w:bookmarkStart w:id="656" w:name="_Toc116584013"/>
      <w:r>
        <w:rPr>
          <w:rFonts w:hint="eastAsia" w:ascii="宋体" w:hAnsi="宋体"/>
          <w:b/>
          <w:bCs/>
          <w:color w:val="auto"/>
          <w:sz w:val="24"/>
          <w:szCs w:val="24"/>
          <w:highlight w:val="none"/>
        </w:rPr>
        <w:t>4.2 响应文件的</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Pr>
          <w:rFonts w:hint="eastAsia" w:ascii="宋体" w:hAnsi="宋体"/>
          <w:b/>
          <w:bCs/>
          <w:color w:val="auto"/>
          <w:sz w:val="24"/>
          <w:szCs w:val="24"/>
          <w:highlight w:val="none"/>
        </w:rPr>
        <w:t>提交</w:t>
      </w:r>
      <w:bookmarkEnd w:id="656"/>
    </w:p>
    <w:p w14:paraId="190E4667">
      <w:pPr>
        <w:spacing w:line="360" w:lineRule="auto"/>
        <w:ind w:firstLine="420" w:firstLineChars="200"/>
        <w:jc w:val="left"/>
        <w:rPr>
          <w:rFonts w:hint="eastAsia" w:asciiTheme="minorEastAsia" w:hAnsiTheme="minorEastAsia" w:eastAsiaTheme="minorEastAsia"/>
          <w:color w:val="auto"/>
          <w:szCs w:val="28"/>
          <w:highlight w:val="none"/>
        </w:rPr>
      </w:pPr>
      <w:bookmarkStart w:id="657" w:name="_Toc98033948"/>
      <w:bookmarkStart w:id="658" w:name="_Toc53412230"/>
      <w:bookmarkStart w:id="659" w:name="_Toc69678443"/>
      <w:bookmarkStart w:id="660" w:name="_Toc81330953"/>
      <w:bookmarkStart w:id="661" w:name="_Toc83753906"/>
      <w:bookmarkStart w:id="662" w:name="_Toc109809326"/>
      <w:bookmarkStart w:id="663" w:name="_Toc98865025"/>
      <w:bookmarkStart w:id="664" w:name="_Toc75783545"/>
      <w:bookmarkStart w:id="665" w:name="_Toc87538383"/>
      <w:bookmarkStart w:id="666" w:name="_Toc45791368"/>
      <w:bookmarkStart w:id="667" w:name="_Toc87543832"/>
      <w:bookmarkStart w:id="668" w:name="_Toc84356266"/>
      <w:bookmarkStart w:id="669" w:name="_Toc45976914"/>
      <w:bookmarkStart w:id="670" w:name="_Toc42267646"/>
      <w:bookmarkStart w:id="671" w:name="_Toc14942"/>
      <w:bookmarkStart w:id="672" w:name="_Toc42205007"/>
      <w:bookmarkStart w:id="673" w:name="_Toc110405148"/>
      <w:r>
        <w:rPr>
          <w:rFonts w:hint="eastAsia" w:asciiTheme="minorEastAsia" w:hAnsiTheme="minorEastAsia" w:eastAsiaTheme="minorEastAsia"/>
          <w:color w:val="auto"/>
          <w:szCs w:val="28"/>
          <w:highlight w:val="none"/>
        </w:rPr>
        <w:t>4.2.</w:t>
      </w:r>
      <w:r>
        <w:rPr>
          <w:rFonts w:asciiTheme="minorEastAsia" w:hAnsiTheme="minorEastAsia" w:eastAsiaTheme="minorEastAsia"/>
          <w:color w:val="auto"/>
          <w:szCs w:val="28"/>
          <w:highlight w:val="none"/>
        </w:rPr>
        <w:t>1</w:t>
      </w:r>
      <w:r>
        <w:rPr>
          <w:rFonts w:hint="eastAsia" w:asciiTheme="minorEastAsia" w:hAnsiTheme="minorEastAsia" w:eastAsiaTheme="minorEastAsia"/>
          <w:color w:val="auto"/>
          <w:szCs w:val="28"/>
          <w:highlight w:val="none"/>
        </w:rPr>
        <w:t>响应文件的提交：见供应商须知前附表。</w:t>
      </w:r>
    </w:p>
    <w:p w14:paraId="53AFA460">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4.2.</w:t>
      </w:r>
      <w:r>
        <w:rPr>
          <w:rFonts w:asciiTheme="minorEastAsia" w:hAnsiTheme="minorEastAsia" w:eastAsiaTheme="minorEastAsia"/>
          <w:color w:val="auto"/>
          <w:szCs w:val="28"/>
          <w:highlight w:val="none"/>
        </w:rPr>
        <w:t>2</w:t>
      </w:r>
      <w:r>
        <w:rPr>
          <w:rFonts w:hint="eastAsia" w:asciiTheme="minorEastAsia" w:hAnsiTheme="minorEastAsia" w:eastAsiaTheme="minorEastAsia"/>
          <w:color w:val="auto"/>
          <w:szCs w:val="28"/>
          <w:highlight w:val="none"/>
        </w:rPr>
        <w:t>除供应商须知前附表另有规定外，供应商所提交的响应文件不予退还。</w:t>
      </w:r>
    </w:p>
    <w:p w14:paraId="1441D13E">
      <w:pPr>
        <w:spacing w:line="360" w:lineRule="auto"/>
        <w:outlineLvl w:val="3"/>
        <w:rPr>
          <w:rFonts w:hint="eastAsia" w:ascii="宋体" w:hAnsi="宋体"/>
          <w:b/>
          <w:bCs/>
          <w:color w:val="auto"/>
          <w:sz w:val="24"/>
          <w:szCs w:val="24"/>
          <w:highlight w:val="none"/>
        </w:rPr>
      </w:pPr>
      <w:bookmarkStart w:id="674" w:name="_Toc116584014"/>
      <w:r>
        <w:rPr>
          <w:rFonts w:hint="eastAsia" w:ascii="宋体" w:hAnsi="宋体"/>
          <w:b/>
          <w:bCs/>
          <w:color w:val="auto"/>
          <w:sz w:val="24"/>
          <w:szCs w:val="24"/>
          <w:highlight w:val="none"/>
        </w:rPr>
        <w:t>4.3响应文件修改和撤回</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3C04ED3F">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4.3.1在本章第2.2.2项规定的</w:t>
      </w:r>
      <w:r>
        <w:rPr>
          <w:rFonts w:hint="eastAsia" w:asciiTheme="minorEastAsia" w:hAnsiTheme="minorEastAsia" w:eastAsiaTheme="minorEastAsia"/>
          <w:color w:val="auto"/>
          <w:szCs w:val="21"/>
          <w:highlight w:val="none"/>
        </w:rPr>
        <w:t>响应文件提交截止时间</w:t>
      </w:r>
      <w:r>
        <w:rPr>
          <w:rFonts w:hint="eastAsia" w:asciiTheme="minorEastAsia" w:hAnsiTheme="minorEastAsia" w:eastAsiaTheme="minorEastAsia"/>
          <w:color w:val="auto"/>
          <w:szCs w:val="28"/>
          <w:highlight w:val="none"/>
        </w:rPr>
        <w:t>前，供应商可以修改或撤回已在网上提交的响应文件，无需通知采购人和</w:t>
      </w:r>
      <w:r>
        <w:rPr>
          <w:rFonts w:hint="eastAsia" w:asciiTheme="minorEastAsia" w:hAnsiTheme="minorEastAsia" w:eastAsiaTheme="minorEastAsia"/>
          <w:color w:val="auto"/>
          <w:szCs w:val="28"/>
          <w:highlight w:val="none"/>
          <w:lang w:eastAsia="zh-CN"/>
        </w:rPr>
        <w:t>集中采购机构</w:t>
      </w:r>
      <w:r>
        <w:rPr>
          <w:rFonts w:hint="eastAsia" w:asciiTheme="minorEastAsia" w:hAnsiTheme="minorEastAsia" w:eastAsiaTheme="minorEastAsia"/>
          <w:color w:val="auto"/>
          <w:szCs w:val="28"/>
          <w:highlight w:val="none"/>
        </w:rPr>
        <w:t>。</w:t>
      </w:r>
    </w:p>
    <w:p w14:paraId="240E6CCB">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4.3.2修改的响应文件应按照本章第3条、第4条的规定进行编制、加密和提交。</w:t>
      </w:r>
    </w:p>
    <w:p w14:paraId="58707898">
      <w:pPr>
        <w:spacing w:line="360" w:lineRule="auto"/>
        <w:jc w:val="center"/>
        <w:outlineLvl w:val="2"/>
        <w:rPr>
          <w:rFonts w:hint="eastAsia" w:asciiTheme="minorEastAsia" w:hAnsiTheme="minorEastAsia" w:eastAsiaTheme="minorEastAsia"/>
          <w:b/>
          <w:bCs/>
          <w:color w:val="auto"/>
          <w:sz w:val="28"/>
          <w:szCs w:val="28"/>
          <w:highlight w:val="none"/>
        </w:rPr>
      </w:pPr>
      <w:bookmarkStart w:id="675" w:name="_Toc4482"/>
      <w:bookmarkStart w:id="676" w:name="_Toc45791369"/>
      <w:bookmarkStart w:id="677" w:name="_Toc84356267"/>
      <w:bookmarkStart w:id="678" w:name="_Toc98033949"/>
      <w:bookmarkStart w:id="679" w:name="_Toc21759"/>
      <w:bookmarkStart w:id="680" w:name="_Toc109809327"/>
      <w:bookmarkStart w:id="681" w:name="_Toc98865026"/>
      <w:bookmarkStart w:id="682" w:name="_Toc292983021"/>
      <w:bookmarkStart w:id="683" w:name="_Toc116584015"/>
      <w:bookmarkStart w:id="684" w:name="_Toc42267647"/>
      <w:bookmarkStart w:id="685" w:name="_Toc87543833"/>
      <w:bookmarkStart w:id="686" w:name="_Toc87538384"/>
      <w:bookmarkStart w:id="687" w:name="_Toc381796411"/>
      <w:bookmarkStart w:id="688" w:name="_Toc45976915"/>
      <w:bookmarkStart w:id="689" w:name="_Toc37603106"/>
      <w:bookmarkStart w:id="690" w:name="_Toc110405149"/>
      <w:bookmarkStart w:id="691" w:name="_Toc42205008"/>
      <w:bookmarkStart w:id="692" w:name="_Toc83753907"/>
      <w:r>
        <w:rPr>
          <w:rFonts w:hint="eastAsia" w:asciiTheme="minorEastAsia" w:hAnsiTheme="minorEastAsia" w:eastAsiaTheme="minorEastAsia"/>
          <w:b/>
          <w:bCs/>
          <w:color w:val="auto"/>
          <w:sz w:val="28"/>
          <w:szCs w:val="28"/>
          <w:highlight w:val="none"/>
        </w:rPr>
        <w:t>5.开标</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6DCF38AE">
      <w:pPr>
        <w:spacing w:line="360" w:lineRule="auto"/>
        <w:outlineLvl w:val="3"/>
        <w:rPr>
          <w:rFonts w:hint="eastAsia" w:ascii="宋体" w:hAnsi="宋体"/>
          <w:b/>
          <w:bCs/>
          <w:color w:val="auto"/>
          <w:sz w:val="24"/>
          <w:szCs w:val="24"/>
          <w:highlight w:val="none"/>
        </w:rPr>
      </w:pPr>
      <w:bookmarkStart w:id="693" w:name="_Toc69678445"/>
      <w:bookmarkStart w:id="694" w:name="_Toc98865027"/>
      <w:bookmarkStart w:id="695" w:name="_Toc12148"/>
      <w:bookmarkStart w:id="696" w:name="_Toc98033950"/>
      <w:bookmarkStart w:id="697" w:name="_Toc87538385"/>
      <w:bookmarkStart w:id="698" w:name="_Toc45976916"/>
      <w:bookmarkStart w:id="699" w:name="_Toc84356268"/>
      <w:bookmarkStart w:id="700" w:name="_Toc109809328"/>
      <w:bookmarkStart w:id="701" w:name="_Toc81330955"/>
      <w:bookmarkStart w:id="702" w:name="_Toc45791370"/>
      <w:bookmarkStart w:id="703" w:name="_Toc75783547"/>
      <w:bookmarkStart w:id="704" w:name="_Toc42205009"/>
      <w:bookmarkStart w:id="705" w:name="_Toc110405150"/>
      <w:bookmarkStart w:id="706" w:name="_Toc42267648"/>
      <w:bookmarkStart w:id="707" w:name="_Toc53412232"/>
      <w:bookmarkStart w:id="708" w:name="_Toc87543834"/>
      <w:bookmarkStart w:id="709" w:name="_Toc83753908"/>
      <w:bookmarkStart w:id="710" w:name="_Toc116584016"/>
      <w:r>
        <w:rPr>
          <w:rFonts w:hint="eastAsia" w:ascii="宋体" w:hAnsi="宋体"/>
          <w:b/>
          <w:bCs/>
          <w:color w:val="auto"/>
          <w:sz w:val="24"/>
          <w:szCs w:val="24"/>
          <w:highlight w:val="none"/>
        </w:rPr>
        <w:t>5.1</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r>
        <w:rPr>
          <w:rFonts w:hint="eastAsia" w:ascii="宋体" w:hAnsi="宋体"/>
          <w:b/>
          <w:bCs/>
          <w:color w:val="auto"/>
          <w:sz w:val="24"/>
          <w:szCs w:val="24"/>
          <w:highlight w:val="none"/>
        </w:rPr>
        <w:t>开标时间和地点</w:t>
      </w:r>
      <w:bookmarkEnd w:id="710"/>
    </w:p>
    <w:p w14:paraId="41BE66C5">
      <w:pPr>
        <w:spacing w:line="360" w:lineRule="auto"/>
        <w:ind w:firstLine="420" w:firstLineChars="200"/>
        <w:jc w:val="left"/>
        <w:rPr>
          <w:rFonts w:hint="eastAsia" w:asciiTheme="minorEastAsia" w:hAnsiTheme="minorEastAsia" w:eastAsiaTheme="minorEastAsia"/>
          <w:color w:val="auto"/>
          <w:szCs w:val="28"/>
          <w:highlight w:val="none"/>
        </w:rPr>
      </w:pPr>
      <w:bookmarkStart w:id="711" w:name="_Toc87543835"/>
      <w:bookmarkStart w:id="712" w:name="_Toc109809329"/>
      <w:bookmarkStart w:id="713" w:name="_Toc83753909"/>
      <w:bookmarkStart w:id="714" w:name="_Toc42205010"/>
      <w:bookmarkStart w:id="715" w:name="_Toc98865028"/>
      <w:bookmarkStart w:id="716" w:name="_Toc98033951"/>
      <w:bookmarkStart w:id="717" w:name="_Toc75783548"/>
      <w:bookmarkStart w:id="718" w:name="_Toc45976917"/>
      <w:bookmarkStart w:id="719" w:name="_Toc110405151"/>
      <w:bookmarkStart w:id="720" w:name="_Toc87538386"/>
      <w:bookmarkStart w:id="721" w:name="_Toc45791371"/>
      <w:bookmarkStart w:id="722" w:name="_Toc42267649"/>
      <w:bookmarkStart w:id="723" w:name="_Toc53412233"/>
      <w:bookmarkStart w:id="724" w:name="_Toc84356269"/>
      <w:bookmarkStart w:id="725" w:name="_Toc23677"/>
      <w:bookmarkStart w:id="726" w:name="_Toc81330956"/>
      <w:bookmarkStart w:id="727" w:name="_Toc69678446"/>
      <w:r>
        <w:rPr>
          <w:rFonts w:hint="eastAsia" w:asciiTheme="minorEastAsia" w:hAnsiTheme="minorEastAsia" w:eastAsiaTheme="minorEastAsia"/>
          <w:color w:val="auto"/>
          <w:szCs w:val="28"/>
          <w:highlight w:val="none"/>
        </w:rPr>
        <w:t>详见供应商须知前附表。</w:t>
      </w:r>
    </w:p>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14:paraId="40795B46">
      <w:pPr>
        <w:spacing w:line="360" w:lineRule="auto"/>
        <w:outlineLvl w:val="3"/>
        <w:rPr>
          <w:rFonts w:hint="eastAsia" w:ascii="宋体" w:hAnsi="宋体"/>
          <w:b/>
          <w:bCs/>
          <w:color w:val="auto"/>
          <w:sz w:val="24"/>
          <w:szCs w:val="24"/>
          <w:highlight w:val="none"/>
        </w:rPr>
      </w:pPr>
      <w:bookmarkStart w:id="728" w:name="_Toc109809330"/>
      <w:bookmarkStart w:id="729" w:name="_Toc75783549"/>
      <w:bookmarkStart w:id="730" w:name="_Toc98865029"/>
      <w:bookmarkStart w:id="731" w:name="_Toc69678447"/>
      <w:bookmarkStart w:id="732" w:name="_Toc11738"/>
      <w:bookmarkStart w:id="733" w:name="_Toc81330957"/>
      <w:bookmarkStart w:id="734" w:name="_Toc87538387"/>
      <w:bookmarkStart w:id="735" w:name="_Toc42205011"/>
      <w:bookmarkStart w:id="736" w:name="_Toc53412234"/>
      <w:bookmarkStart w:id="737" w:name="_Toc42267650"/>
      <w:bookmarkStart w:id="738" w:name="_Toc83753910"/>
      <w:bookmarkStart w:id="739" w:name="_Toc98033952"/>
      <w:bookmarkStart w:id="740" w:name="_Toc45791372"/>
      <w:bookmarkStart w:id="741" w:name="_Toc84356270"/>
      <w:bookmarkStart w:id="742" w:name="_Toc116584017"/>
      <w:bookmarkStart w:id="743" w:name="_Toc87543836"/>
      <w:bookmarkStart w:id="744" w:name="_Toc45976918"/>
      <w:bookmarkStart w:id="745" w:name="_Toc110405152"/>
      <w:r>
        <w:rPr>
          <w:rFonts w:hint="eastAsia" w:ascii="宋体" w:hAnsi="宋体"/>
          <w:b/>
          <w:bCs/>
          <w:color w:val="auto"/>
          <w:sz w:val="24"/>
          <w:szCs w:val="24"/>
          <w:highlight w:val="none"/>
        </w:rPr>
        <w:t>5.2</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Start w:id="746" w:name="_Toc116584018"/>
      <w:bookmarkStart w:id="747" w:name="_Toc98865030"/>
      <w:bookmarkStart w:id="748" w:name="_Toc69678448"/>
      <w:bookmarkStart w:id="749" w:name="_Toc109809331"/>
      <w:bookmarkStart w:id="750" w:name="_Toc45791373"/>
      <w:bookmarkStart w:id="751" w:name="_Toc81330958"/>
      <w:bookmarkStart w:id="752" w:name="_Toc42267651"/>
      <w:bookmarkStart w:id="753" w:name="_Toc87538388"/>
      <w:bookmarkStart w:id="754" w:name="_Toc42205012"/>
      <w:bookmarkStart w:id="755" w:name="_Toc45976919"/>
      <w:bookmarkStart w:id="756" w:name="_Toc84356271"/>
      <w:bookmarkStart w:id="757" w:name="_Toc75783550"/>
      <w:bookmarkStart w:id="758" w:name="_Toc98033953"/>
      <w:bookmarkStart w:id="759" w:name="_Toc87543837"/>
      <w:bookmarkStart w:id="760" w:name="_Toc18249"/>
      <w:bookmarkStart w:id="761" w:name="_Toc110405153"/>
      <w:bookmarkStart w:id="762" w:name="_Toc83753911"/>
      <w:bookmarkStart w:id="763" w:name="_Toc53412235"/>
      <w:r>
        <w:rPr>
          <w:rFonts w:hint="eastAsia" w:ascii="宋体" w:hAnsi="宋体"/>
          <w:b/>
          <w:bCs/>
          <w:color w:val="auto"/>
          <w:sz w:val="24"/>
          <w:szCs w:val="24"/>
          <w:highlight w:val="none"/>
        </w:rPr>
        <w:t xml:space="preserve"> 开标程序</w:t>
      </w:r>
    </w:p>
    <w:p w14:paraId="0AAF5FC1">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详见供应商须知前附表。</w:t>
      </w:r>
    </w:p>
    <w:p w14:paraId="04F921FE">
      <w:pPr>
        <w:spacing w:line="360" w:lineRule="auto"/>
        <w:outlineLvl w:val="3"/>
        <w:rPr>
          <w:rFonts w:hint="eastAsia" w:ascii="宋体" w:hAnsi="宋体"/>
          <w:b/>
          <w:bCs/>
          <w:color w:val="auto"/>
          <w:sz w:val="24"/>
          <w:szCs w:val="24"/>
          <w:highlight w:val="none"/>
        </w:rPr>
      </w:pPr>
      <w:r>
        <w:rPr>
          <w:rFonts w:hint="eastAsia" w:ascii="宋体" w:hAnsi="宋体"/>
          <w:b/>
          <w:bCs/>
          <w:color w:val="auto"/>
          <w:sz w:val="24"/>
          <w:szCs w:val="24"/>
          <w:highlight w:val="none"/>
        </w:rPr>
        <w:t>5.3响应文件的解密方式</w:t>
      </w:r>
      <w:bookmarkEnd w:id="746"/>
    </w:p>
    <w:p w14:paraId="6499CD8F">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详见供应商须知前附表。</w:t>
      </w:r>
    </w:p>
    <w:p w14:paraId="7B6FE14E">
      <w:pPr>
        <w:spacing w:line="360" w:lineRule="auto"/>
        <w:outlineLvl w:val="3"/>
        <w:rPr>
          <w:rFonts w:hint="eastAsia" w:ascii="宋体" w:hAnsi="宋体"/>
          <w:b/>
          <w:bCs/>
          <w:color w:val="auto"/>
          <w:sz w:val="24"/>
          <w:szCs w:val="24"/>
          <w:highlight w:val="none"/>
        </w:rPr>
      </w:pPr>
      <w:bookmarkStart w:id="764" w:name="_Toc116584019"/>
      <w:r>
        <w:rPr>
          <w:rFonts w:hint="eastAsia" w:ascii="宋体" w:hAnsi="宋体"/>
          <w:b/>
          <w:bCs/>
          <w:color w:val="auto"/>
          <w:sz w:val="24"/>
          <w:szCs w:val="24"/>
          <w:highlight w:val="none"/>
        </w:rPr>
        <w:t>5.4响应文件有下列情形之一的，采购人不予受理：</w:t>
      </w:r>
      <w:bookmarkEnd w:id="764"/>
    </w:p>
    <w:p w14:paraId="0E235EEE">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5.4.1在2.2.2项规定的</w:t>
      </w:r>
      <w:r>
        <w:rPr>
          <w:rFonts w:hint="eastAsia" w:asciiTheme="minorEastAsia" w:hAnsiTheme="minorEastAsia" w:eastAsiaTheme="minorEastAsia"/>
          <w:color w:val="auto"/>
          <w:szCs w:val="21"/>
          <w:highlight w:val="none"/>
        </w:rPr>
        <w:t>响应文件提交截止时间</w:t>
      </w:r>
      <w:r>
        <w:rPr>
          <w:rFonts w:hint="eastAsia" w:asciiTheme="minorEastAsia" w:hAnsiTheme="minorEastAsia" w:eastAsiaTheme="minorEastAsia"/>
          <w:color w:val="auto"/>
          <w:szCs w:val="28"/>
          <w:highlight w:val="none"/>
        </w:rPr>
        <w:t>以后上传或未成功上传响应文件的。</w:t>
      </w:r>
    </w:p>
    <w:p w14:paraId="7DFD9205">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5.4.2供应商提交的电子响应文件格式不符合3.7.1项要求或无法读取导入的。</w:t>
      </w:r>
    </w:p>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14:paraId="03D7C78D">
      <w:pPr>
        <w:spacing w:line="360" w:lineRule="auto"/>
        <w:jc w:val="center"/>
        <w:outlineLvl w:val="2"/>
        <w:rPr>
          <w:rFonts w:hint="eastAsia" w:asciiTheme="minorEastAsia" w:hAnsiTheme="minorEastAsia" w:eastAsiaTheme="minorEastAsia"/>
          <w:b/>
          <w:bCs/>
          <w:color w:val="auto"/>
          <w:sz w:val="28"/>
          <w:szCs w:val="28"/>
          <w:highlight w:val="none"/>
        </w:rPr>
      </w:pPr>
      <w:bookmarkStart w:id="765" w:name="_Toc98033954"/>
      <w:bookmarkStart w:id="766" w:name="_Toc42205013"/>
      <w:bookmarkStart w:id="767" w:name="_Toc19868"/>
      <w:bookmarkStart w:id="768" w:name="_Toc45976920"/>
      <w:bookmarkStart w:id="769" w:name="_Toc87538389"/>
      <w:bookmarkStart w:id="770" w:name="_Toc98865031"/>
      <w:bookmarkStart w:id="771" w:name="_Toc42267652"/>
      <w:bookmarkStart w:id="772" w:name="_Toc83753912"/>
      <w:bookmarkStart w:id="773" w:name="_Toc109809332"/>
      <w:bookmarkStart w:id="774" w:name="_Toc116584021"/>
      <w:bookmarkStart w:id="775" w:name="_Toc87543838"/>
      <w:bookmarkStart w:id="776" w:name="_Toc45791374"/>
      <w:bookmarkStart w:id="777" w:name="_Toc10641"/>
      <w:bookmarkStart w:id="778" w:name="_Toc84356272"/>
      <w:bookmarkStart w:id="779" w:name="_Toc110405154"/>
      <w:r>
        <w:rPr>
          <w:rFonts w:hint="eastAsia" w:asciiTheme="minorEastAsia" w:hAnsiTheme="minorEastAsia" w:eastAsiaTheme="minorEastAsia"/>
          <w:b/>
          <w:bCs/>
          <w:color w:val="auto"/>
          <w:sz w:val="28"/>
          <w:szCs w:val="28"/>
          <w:highlight w:val="none"/>
        </w:rPr>
        <w:t>6.评审</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080F17E9">
      <w:pPr>
        <w:spacing w:line="360" w:lineRule="auto"/>
        <w:outlineLvl w:val="3"/>
        <w:rPr>
          <w:rFonts w:hint="eastAsia" w:ascii="宋体" w:hAnsi="宋体"/>
          <w:b/>
          <w:bCs/>
          <w:color w:val="auto"/>
          <w:sz w:val="24"/>
          <w:szCs w:val="24"/>
          <w:highlight w:val="none"/>
        </w:rPr>
      </w:pPr>
      <w:bookmarkStart w:id="780" w:name="_Toc116584022"/>
      <w:bookmarkStart w:id="781" w:name="_Toc87543839"/>
      <w:bookmarkStart w:id="782" w:name="_Toc75783552"/>
      <w:bookmarkStart w:id="783" w:name="_Toc45791375"/>
      <w:bookmarkStart w:id="784" w:name="_Toc109809333"/>
      <w:bookmarkStart w:id="785" w:name="_Toc42205014"/>
      <w:bookmarkStart w:id="786" w:name="_Toc110405155"/>
      <w:bookmarkStart w:id="787" w:name="_Toc98865032"/>
      <w:bookmarkStart w:id="788" w:name="_Toc45976921"/>
      <w:bookmarkStart w:id="789" w:name="_Toc4399"/>
      <w:bookmarkStart w:id="790" w:name="_Toc69678450"/>
      <w:bookmarkStart w:id="791" w:name="_Toc42267653"/>
      <w:bookmarkStart w:id="792" w:name="_Toc81330960"/>
      <w:bookmarkStart w:id="793" w:name="_Toc84356273"/>
      <w:bookmarkStart w:id="794" w:name="_Toc53412237"/>
      <w:bookmarkStart w:id="795" w:name="_Toc98033955"/>
      <w:bookmarkStart w:id="796" w:name="_Toc83753913"/>
      <w:bookmarkStart w:id="797" w:name="_Toc87538390"/>
      <w:r>
        <w:rPr>
          <w:rFonts w:hint="eastAsia" w:ascii="宋体" w:hAnsi="宋体"/>
          <w:b/>
          <w:bCs/>
          <w:color w:val="auto"/>
          <w:sz w:val="24"/>
          <w:szCs w:val="24"/>
          <w:highlight w:val="none"/>
        </w:rPr>
        <w:t>6.1 谈判小组</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14:paraId="4614F526">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8"/>
          <w:highlight w:val="none"/>
        </w:rPr>
        <w:t>6.1.1本项目的评审工作由采购人依法组建的谈判小组负责。谈判小组</w:t>
      </w:r>
      <w:r>
        <w:rPr>
          <w:rFonts w:asciiTheme="minorEastAsia" w:hAnsiTheme="minorEastAsia" w:eastAsiaTheme="minorEastAsia"/>
          <w:color w:val="auto"/>
          <w:szCs w:val="21"/>
          <w:highlight w:val="none"/>
        </w:rPr>
        <w:t>由</w:t>
      </w:r>
      <w:r>
        <w:rPr>
          <w:rFonts w:hint="eastAsia" w:asciiTheme="minorEastAsia" w:hAnsiTheme="minorEastAsia" w:eastAsiaTheme="minorEastAsia"/>
          <w:color w:val="auto"/>
          <w:szCs w:val="28"/>
          <w:highlight w:val="none"/>
        </w:rPr>
        <w:t>采购人代表及</w:t>
      </w:r>
      <w:r>
        <w:rPr>
          <w:rFonts w:asciiTheme="minorEastAsia" w:hAnsiTheme="minorEastAsia" w:eastAsiaTheme="minorEastAsia"/>
          <w:color w:val="auto"/>
          <w:szCs w:val="21"/>
          <w:highlight w:val="none"/>
        </w:rPr>
        <w:t>有关技术、经济等方面的</w:t>
      </w:r>
      <w:r>
        <w:rPr>
          <w:rFonts w:hint="eastAsia" w:asciiTheme="minorEastAsia" w:hAnsiTheme="minorEastAsia" w:eastAsiaTheme="minorEastAsia"/>
          <w:color w:val="auto"/>
          <w:szCs w:val="21"/>
          <w:highlight w:val="none"/>
        </w:rPr>
        <w:t>人员</w:t>
      </w:r>
      <w:r>
        <w:rPr>
          <w:rFonts w:asciiTheme="minorEastAsia" w:hAnsiTheme="minorEastAsia" w:eastAsiaTheme="minorEastAsia"/>
          <w:color w:val="auto"/>
          <w:szCs w:val="21"/>
          <w:highlight w:val="none"/>
        </w:rPr>
        <w:t>组成。</w:t>
      </w:r>
      <w:r>
        <w:rPr>
          <w:rFonts w:hint="eastAsia" w:asciiTheme="minorEastAsia" w:hAnsiTheme="minorEastAsia" w:eastAsiaTheme="minorEastAsia"/>
          <w:color w:val="auto"/>
          <w:szCs w:val="28"/>
          <w:highlight w:val="none"/>
        </w:rPr>
        <w:t>谈判小组</w:t>
      </w:r>
      <w:r>
        <w:rPr>
          <w:rFonts w:asciiTheme="minorEastAsia" w:hAnsiTheme="minorEastAsia" w:eastAsiaTheme="minorEastAsia"/>
          <w:color w:val="auto"/>
          <w:szCs w:val="21"/>
          <w:highlight w:val="none"/>
        </w:rPr>
        <w:t>成员人数以及技术、经济等方面</w:t>
      </w:r>
      <w:r>
        <w:rPr>
          <w:rFonts w:hint="eastAsia" w:asciiTheme="minorEastAsia" w:hAnsiTheme="minorEastAsia" w:eastAsiaTheme="minorEastAsia"/>
          <w:color w:val="auto"/>
          <w:szCs w:val="21"/>
          <w:highlight w:val="none"/>
        </w:rPr>
        <w:t>人员</w:t>
      </w:r>
      <w:r>
        <w:rPr>
          <w:rFonts w:asciiTheme="minorEastAsia" w:hAnsiTheme="minorEastAsia" w:eastAsiaTheme="minorEastAsia"/>
          <w:color w:val="auto"/>
          <w:szCs w:val="21"/>
          <w:highlight w:val="none"/>
        </w:rPr>
        <w:t>的确定方式详见供应商须知前附表。</w:t>
      </w:r>
    </w:p>
    <w:p w14:paraId="2D0D92C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6.1.2</w:t>
      </w:r>
      <w:r>
        <w:rPr>
          <w:rFonts w:hint="eastAsia" w:asciiTheme="minorEastAsia" w:hAnsiTheme="minorEastAsia" w:eastAsiaTheme="minorEastAsia"/>
          <w:color w:val="auto"/>
          <w:szCs w:val="28"/>
          <w:highlight w:val="none"/>
        </w:rPr>
        <w:t>谈判小组</w:t>
      </w:r>
      <w:r>
        <w:rPr>
          <w:rFonts w:asciiTheme="minorEastAsia" w:hAnsiTheme="minorEastAsia" w:eastAsiaTheme="minorEastAsia"/>
          <w:color w:val="auto"/>
          <w:szCs w:val="21"/>
          <w:highlight w:val="none"/>
        </w:rPr>
        <w:t>成员有下列情形之一的，应当回避：</w:t>
      </w:r>
    </w:p>
    <w:p w14:paraId="7CC51D01">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（1）采购人或供应商的主要负责人的近亲属；</w:t>
      </w:r>
    </w:p>
    <w:p w14:paraId="30F6B676">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（2）项目主管部门或者行政监督部门的人员；</w:t>
      </w:r>
    </w:p>
    <w:p w14:paraId="03C29387">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（3）与供应商有经济利益关系，可能影响对谈判公正评审的；</w:t>
      </w:r>
    </w:p>
    <w:p w14:paraId="5AA26088">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（4）曾因在招标、评</w:t>
      </w:r>
      <w:r>
        <w:rPr>
          <w:rFonts w:hint="eastAsia" w:asciiTheme="minorEastAsia" w:hAnsiTheme="minorEastAsia" w:eastAsiaTheme="minorEastAsia"/>
          <w:color w:val="auto"/>
          <w:szCs w:val="21"/>
          <w:highlight w:val="none"/>
        </w:rPr>
        <w:t>标</w:t>
      </w:r>
      <w:r>
        <w:rPr>
          <w:rFonts w:asciiTheme="minorEastAsia" w:hAnsiTheme="minorEastAsia" w:eastAsiaTheme="minorEastAsia"/>
          <w:color w:val="auto"/>
          <w:szCs w:val="21"/>
          <w:highlight w:val="none"/>
        </w:rPr>
        <w:t>以及其他与招标</w:t>
      </w:r>
      <w:r>
        <w:rPr>
          <w:rFonts w:hint="eastAsia" w:asciiTheme="minorEastAsia" w:hAnsiTheme="minorEastAsia" w:eastAsiaTheme="minorEastAsia"/>
          <w:color w:val="auto"/>
          <w:szCs w:val="21"/>
          <w:highlight w:val="none"/>
        </w:rPr>
        <w:t>投标</w:t>
      </w:r>
      <w:r>
        <w:rPr>
          <w:rFonts w:asciiTheme="minorEastAsia" w:hAnsiTheme="minorEastAsia" w:eastAsiaTheme="minorEastAsia"/>
          <w:color w:val="auto"/>
          <w:szCs w:val="21"/>
          <w:highlight w:val="none"/>
        </w:rPr>
        <w:t>有关活动中从事违法行为而受过行政处罚或刑事处罚的。</w:t>
      </w:r>
    </w:p>
    <w:p w14:paraId="225E2DFB">
      <w:pPr>
        <w:spacing w:line="360" w:lineRule="auto"/>
        <w:outlineLvl w:val="3"/>
        <w:rPr>
          <w:rFonts w:hint="eastAsia" w:ascii="宋体" w:hAnsi="宋体"/>
          <w:b/>
          <w:bCs/>
          <w:color w:val="auto"/>
          <w:sz w:val="24"/>
          <w:szCs w:val="24"/>
          <w:highlight w:val="none"/>
        </w:rPr>
      </w:pPr>
      <w:bookmarkStart w:id="798" w:name="_Toc42267654"/>
      <w:bookmarkStart w:id="799" w:name="_Toc116584023"/>
      <w:bookmarkStart w:id="800" w:name="_Toc83753914"/>
      <w:bookmarkStart w:id="801" w:name="_Toc81330961"/>
      <w:bookmarkStart w:id="802" w:name="_Toc53412238"/>
      <w:bookmarkStart w:id="803" w:name="_Toc87543840"/>
      <w:bookmarkStart w:id="804" w:name="_Toc42205015"/>
      <w:bookmarkStart w:id="805" w:name="_Toc6014"/>
      <w:bookmarkStart w:id="806" w:name="_Toc45976922"/>
      <w:bookmarkStart w:id="807" w:name="_Toc98033956"/>
      <w:bookmarkStart w:id="808" w:name="_Toc75783553"/>
      <w:bookmarkStart w:id="809" w:name="_Toc98865033"/>
      <w:bookmarkStart w:id="810" w:name="_Toc45791376"/>
      <w:bookmarkStart w:id="811" w:name="_Toc69678451"/>
      <w:bookmarkStart w:id="812" w:name="_Toc87538391"/>
      <w:bookmarkStart w:id="813" w:name="_Toc110405156"/>
      <w:bookmarkStart w:id="814" w:name="_Toc109809334"/>
      <w:bookmarkStart w:id="815" w:name="_Toc84356274"/>
      <w:r>
        <w:rPr>
          <w:rFonts w:hint="eastAsia" w:ascii="宋体" w:hAnsi="宋体"/>
          <w:b/>
          <w:bCs/>
          <w:color w:val="auto"/>
          <w:sz w:val="24"/>
          <w:szCs w:val="24"/>
          <w:highlight w:val="none"/>
        </w:rPr>
        <w:t>6.2 评审原则</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1216B13B">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评审活动应遵循公平、公正、科学和择优的原则。</w:t>
      </w:r>
    </w:p>
    <w:p w14:paraId="0B99DD02">
      <w:pPr>
        <w:spacing w:line="360" w:lineRule="auto"/>
        <w:outlineLvl w:val="3"/>
        <w:rPr>
          <w:rFonts w:hint="eastAsia" w:ascii="宋体" w:hAnsi="宋体"/>
          <w:b/>
          <w:bCs/>
          <w:color w:val="auto"/>
          <w:sz w:val="24"/>
          <w:szCs w:val="24"/>
          <w:highlight w:val="none"/>
        </w:rPr>
      </w:pPr>
      <w:bookmarkStart w:id="816" w:name="_Toc83753915"/>
      <w:bookmarkStart w:id="817" w:name="_Toc116584024"/>
      <w:bookmarkStart w:id="818" w:name="_Toc45791377"/>
      <w:bookmarkStart w:id="819" w:name="_Toc109809335"/>
      <w:bookmarkStart w:id="820" w:name="_Toc53412239"/>
      <w:bookmarkStart w:id="821" w:name="_Toc84356275"/>
      <w:bookmarkStart w:id="822" w:name="_Toc21353"/>
      <w:bookmarkStart w:id="823" w:name="_Toc98865034"/>
      <w:bookmarkStart w:id="824" w:name="_Toc81330962"/>
      <w:bookmarkStart w:id="825" w:name="_Toc110405157"/>
      <w:bookmarkStart w:id="826" w:name="_Toc75783554"/>
      <w:bookmarkStart w:id="827" w:name="_Toc87538392"/>
      <w:bookmarkStart w:id="828" w:name="_Toc87543841"/>
      <w:bookmarkStart w:id="829" w:name="_Toc98033957"/>
      <w:bookmarkStart w:id="830" w:name="_Toc42205016"/>
      <w:bookmarkStart w:id="831" w:name="_Toc69678452"/>
      <w:bookmarkStart w:id="832" w:name="_Toc42267655"/>
      <w:bookmarkStart w:id="833" w:name="_Toc45976923"/>
      <w:r>
        <w:rPr>
          <w:rFonts w:hint="eastAsia" w:ascii="宋体" w:hAnsi="宋体"/>
          <w:b/>
          <w:bCs/>
          <w:color w:val="auto"/>
          <w:sz w:val="24"/>
          <w:szCs w:val="24"/>
          <w:highlight w:val="none"/>
        </w:rPr>
        <w:t>6.3 评审</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28C04E86">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谈判小组按照第六章“评审办法”规定的方法、评审因素、标准和程序对响应文件进行评审，第六章“评审办法”没有规定的方法、评审因素和标准，不得作为评审依据。</w:t>
      </w:r>
    </w:p>
    <w:p w14:paraId="74913861">
      <w:pPr>
        <w:spacing w:line="360" w:lineRule="auto"/>
        <w:jc w:val="center"/>
        <w:outlineLvl w:val="2"/>
        <w:rPr>
          <w:rFonts w:hint="eastAsia" w:asciiTheme="minorEastAsia" w:hAnsiTheme="minorEastAsia" w:eastAsiaTheme="minorEastAsia"/>
          <w:b/>
          <w:bCs/>
          <w:color w:val="auto"/>
          <w:sz w:val="28"/>
          <w:szCs w:val="28"/>
          <w:highlight w:val="none"/>
        </w:rPr>
      </w:pPr>
      <w:bookmarkStart w:id="834" w:name="_Toc109809336"/>
      <w:bookmarkStart w:id="835" w:name="_Toc45791378"/>
      <w:bookmarkStart w:id="836" w:name="_Toc98033958"/>
      <w:bookmarkStart w:id="837" w:name="_Toc45976924"/>
      <w:bookmarkStart w:id="838" w:name="_Toc42205017"/>
      <w:bookmarkStart w:id="839" w:name="_Toc3804"/>
      <w:bookmarkStart w:id="840" w:name="_Toc116584025"/>
      <w:bookmarkStart w:id="841" w:name="_Toc37603107"/>
      <w:bookmarkStart w:id="842" w:name="_Toc110405158"/>
      <w:bookmarkStart w:id="843" w:name="_Toc84356276"/>
      <w:bookmarkStart w:id="844" w:name="_Toc87543842"/>
      <w:bookmarkStart w:id="845" w:name="_Toc98865035"/>
      <w:bookmarkStart w:id="846" w:name="_Toc83753916"/>
      <w:bookmarkStart w:id="847" w:name="_Toc11599"/>
      <w:bookmarkStart w:id="848" w:name="_Toc381796412"/>
      <w:bookmarkStart w:id="849" w:name="_Toc87538393"/>
      <w:bookmarkStart w:id="850" w:name="_Toc292983022"/>
      <w:bookmarkStart w:id="851" w:name="_Toc42267656"/>
      <w:r>
        <w:rPr>
          <w:rFonts w:hint="eastAsia" w:asciiTheme="minorEastAsia" w:hAnsiTheme="minorEastAsia" w:eastAsiaTheme="minorEastAsia"/>
          <w:b/>
          <w:bCs/>
          <w:color w:val="auto"/>
          <w:sz w:val="28"/>
          <w:szCs w:val="28"/>
          <w:highlight w:val="none"/>
        </w:rPr>
        <w:t>7.合同授予</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022CC8F1">
      <w:pPr>
        <w:spacing w:line="360" w:lineRule="auto"/>
        <w:outlineLvl w:val="3"/>
        <w:rPr>
          <w:rFonts w:hint="eastAsia" w:ascii="宋体" w:hAnsi="宋体"/>
          <w:b/>
          <w:bCs/>
          <w:color w:val="auto"/>
          <w:sz w:val="24"/>
          <w:szCs w:val="24"/>
          <w:highlight w:val="none"/>
        </w:rPr>
      </w:pPr>
      <w:bookmarkStart w:id="852" w:name="_Toc45452769"/>
      <w:bookmarkStart w:id="853" w:name="_Toc79968010"/>
      <w:bookmarkStart w:id="854" w:name="_Toc110405159"/>
      <w:bookmarkStart w:id="855" w:name="_Toc42205018"/>
      <w:bookmarkStart w:id="856" w:name="_Toc18460"/>
      <w:bookmarkStart w:id="857" w:name="_Toc116584026"/>
      <w:bookmarkStart w:id="858" w:name="_Toc70503243"/>
      <w:bookmarkStart w:id="859" w:name="_Toc48639300"/>
      <w:bookmarkStart w:id="860" w:name="_Toc42267657"/>
      <w:bookmarkStart w:id="861" w:name="_Toc98033959"/>
      <w:bookmarkStart w:id="862" w:name="_Toc52091975"/>
      <w:bookmarkStart w:id="863" w:name="_Toc109809337"/>
      <w:bookmarkStart w:id="864" w:name="_Toc50559278"/>
      <w:bookmarkStart w:id="865" w:name="_Toc98865036"/>
      <w:bookmarkStart w:id="866" w:name="_Toc79967649"/>
      <w:bookmarkStart w:id="867" w:name="_Toc45900551"/>
      <w:bookmarkStart w:id="868" w:name="_Toc87543843"/>
      <w:bookmarkStart w:id="869" w:name="_Toc124133181"/>
      <w:bookmarkStart w:id="870" w:name="_Toc45900555"/>
      <w:bookmarkStart w:id="871" w:name="_Toc81660839"/>
      <w:bookmarkStart w:id="872" w:name="_Toc81660933"/>
      <w:bookmarkStart w:id="873" w:name="_Toc45452773"/>
      <w:bookmarkStart w:id="874" w:name="_Toc50559282"/>
      <w:bookmarkStart w:id="875" w:name="_Toc81661145"/>
      <w:bookmarkStart w:id="876" w:name="_Toc42205022"/>
      <w:bookmarkStart w:id="877" w:name="_Toc42267661"/>
      <w:bookmarkStart w:id="878" w:name="_Toc45791383"/>
      <w:bookmarkStart w:id="879" w:name="_Toc45976929"/>
      <w:bookmarkStart w:id="880" w:name="_Toc84356280"/>
      <w:bookmarkStart w:id="881" w:name="_Toc83753920"/>
      <w:bookmarkStart w:id="882" w:name="_Toc87538397"/>
      <w:r>
        <w:rPr>
          <w:rFonts w:hint="eastAsia" w:ascii="宋体" w:hAnsi="宋体"/>
          <w:b/>
          <w:bCs/>
          <w:color w:val="auto"/>
          <w:sz w:val="24"/>
          <w:szCs w:val="24"/>
          <w:highlight w:val="none"/>
        </w:rPr>
        <w:t>7.1定标方式</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0B258804">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除供应商须知前附表规定谈判小组直接确定成交供应商外，采购人依据谈判小组推荐的成交候选人顺序确定成交供应商，谈判小组推荐的成交候选人的人数见供应商须知前附表。</w:t>
      </w:r>
    </w:p>
    <w:bookmarkEnd w:id="869"/>
    <w:p w14:paraId="39DFB95A">
      <w:pPr>
        <w:spacing w:line="360" w:lineRule="auto"/>
        <w:outlineLvl w:val="3"/>
        <w:rPr>
          <w:rFonts w:hint="eastAsia" w:ascii="宋体" w:hAnsi="宋体"/>
          <w:b/>
          <w:bCs/>
          <w:color w:val="auto"/>
          <w:sz w:val="24"/>
          <w:szCs w:val="24"/>
          <w:highlight w:val="none"/>
        </w:rPr>
      </w:pPr>
      <w:bookmarkStart w:id="883" w:name="_Toc42267658"/>
      <w:bookmarkStart w:id="884" w:name="_Toc52091976"/>
      <w:bookmarkStart w:id="885" w:name="_Toc45900552"/>
      <w:bookmarkStart w:id="886" w:name="_Toc50559279"/>
      <w:bookmarkStart w:id="887" w:name="_Toc70503244"/>
      <w:bookmarkStart w:id="888" w:name="_Toc45452770"/>
      <w:bookmarkStart w:id="889" w:name="_Toc48639301"/>
      <w:bookmarkStart w:id="890" w:name="_Toc42205019"/>
      <w:bookmarkStart w:id="891" w:name="_Toc18918"/>
      <w:bookmarkStart w:id="892" w:name="_Toc98033960"/>
      <w:bookmarkStart w:id="893" w:name="_Toc87543844"/>
      <w:bookmarkStart w:id="894" w:name="_Toc116584027"/>
      <w:bookmarkStart w:id="895" w:name="_Toc79968011"/>
      <w:bookmarkStart w:id="896" w:name="_Toc79967650"/>
      <w:bookmarkStart w:id="897" w:name="_Toc98865037"/>
      <w:bookmarkStart w:id="898" w:name="_Toc109809338"/>
      <w:bookmarkStart w:id="899" w:name="_Toc110405160"/>
      <w:r>
        <w:rPr>
          <w:rFonts w:hint="eastAsia" w:ascii="宋体" w:hAnsi="宋体"/>
          <w:b/>
          <w:bCs/>
          <w:color w:val="auto"/>
          <w:sz w:val="24"/>
          <w:szCs w:val="24"/>
          <w:highlight w:val="none"/>
        </w:rPr>
        <w:t>7.2成交</w:t>
      </w:r>
      <w:bookmarkEnd w:id="883"/>
      <w:bookmarkEnd w:id="884"/>
      <w:bookmarkEnd w:id="885"/>
      <w:bookmarkEnd w:id="886"/>
      <w:bookmarkEnd w:id="887"/>
      <w:bookmarkEnd w:id="888"/>
      <w:bookmarkEnd w:id="889"/>
      <w:bookmarkEnd w:id="890"/>
      <w:r>
        <w:rPr>
          <w:rFonts w:hint="eastAsia" w:ascii="宋体" w:hAnsi="宋体"/>
          <w:b/>
          <w:bCs/>
          <w:color w:val="auto"/>
          <w:sz w:val="24"/>
          <w:szCs w:val="24"/>
          <w:highlight w:val="none"/>
        </w:rPr>
        <w:t>结果</w:t>
      </w:r>
      <w:bookmarkEnd w:id="891"/>
      <w:bookmarkEnd w:id="892"/>
      <w:bookmarkEnd w:id="893"/>
      <w:bookmarkEnd w:id="894"/>
      <w:bookmarkEnd w:id="895"/>
      <w:bookmarkEnd w:id="896"/>
      <w:bookmarkEnd w:id="897"/>
      <w:bookmarkEnd w:id="898"/>
      <w:bookmarkEnd w:id="899"/>
    </w:p>
    <w:p w14:paraId="56D68F7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7.2.1</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应当在评审结束后2个工作日内将评审报告送采购人确认。</w:t>
      </w:r>
    </w:p>
    <w:p w14:paraId="004BD594">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7.2.2采购人应当在收到评审报告后5个工作日内，按照评审报告中推荐的成交候选人顺序确定成交供应商。</w:t>
      </w:r>
    </w:p>
    <w:p w14:paraId="784D4B74">
      <w:pPr>
        <w:adjustRightInd w:val="0"/>
        <w:snapToGrid w:val="0"/>
        <w:spacing w:line="360" w:lineRule="auto"/>
        <w:ind w:firstLine="420" w:firstLineChars="200"/>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1"/>
          <w:highlight w:val="none"/>
        </w:rPr>
        <w:t>7.2.3</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应当自成交供应商确定之日起2个工作日内，</w:t>
      </w:r>
      <w:r>
        <w:rPr>
          <w:rFonts w:hint="eastAsia" w:cs="宋体" w:asciiTheme="minorEastAsia" w:hAnsiTheme="minorEastAsia" w:eastAsiaTheme="minorEastAsia"/>
          <w:snapToGrid w:val="0"/>
          <w:color w:val="auto"/>
          <w:kern w:val="0"/>
          <w:szCs w:val="21"/>
          <w:highlight w:val="none"/>
        </w:rPr>
        <w:t>在省级以上财政部门指定的政府采购信息发布媒体上公告成交结果，同时向成交供应商发出成交通知书</w:t>
      </w:r>
      <w:r>
        <w:rPr>
          <w:rFonts w:hint="eastAsia" w:asciiTheme="minorEastAsia" w:hAnsiTheme="minorEastAsia" w:eastAsiaTheme="minorEastAsia"/>
          <w:color w:val="auto"/>
          <w:szCs w:val="21"/>
          <w:highlight w:val="none"/>
        </w:rPr>
        <w:t>。</w:t>
      </w:r>
    </w:p>
    <w:p w14:paraId="4854A64A">
      <w:pPr>
        <w:spacing w:line="360" w:lineRule="auto"/>
        <w:outlineLvl w:val="3"/>
        <w:rPr>
          <w:rFonts w:hint="eastAsia" w:ascii="宋体" w:hAnsi="宋体"/>
          <w:b/>
          <w:bCs/>
          <w:color w:val="auto"/>
          <w:sz w:val="24"/>
          <w:szCs w:val="24"/>
          <w:highlight w:val="none"/>
        </w:rPr>
      </w:pPr>
      <w:bookmarkStart w:id="900" w:name="_Toc10977"/>
      <w:bookmarkStart w:id="901" w:name="_Toc42205020"/>
      <w:bookmarkStart w:id="902" w:name="_Toc79968012"/>
      <w:bookmarkStart w:id="903" w:name="_Toc52091977"/>
      <w:bookmarkStart w:id="904" w:name="_Toc45900553"/>
      <w:bookmarkStart w:id="905" w:name="_Toc109809339"/>
      <w:bookmarkStart w:id="906" w:name="_Toc79967651"/>
      <w:bookmarkStart w:id="907" w:name="_Toc98865038"/>
      <w:bookmarkStart w:id="908" w:name="_Toc87543845"/>
      <w:bookmarkStart w:id="909" w:name="_Toc48639302"/>
      <w:bookmarkStart w:id="910" w:name="_Toc45452771"/>
      <w:bookmarkStart w:id="911" w:name="_Toc110405161"/>
      <w:bookmarkStart w:id="912" w:name="_Toc116584028"/>
      <w:bookmarkStart w:id="913" w:name="_Toc50559280"/>
      <w:bookmarkStart w:id="914" w:name="_Toc98033961"/>
      <w:bookmarkStart w:id="915" w:name="_Toc42267659"/>
      <w:bookmarkStart w:id="916" w:name="_Toc70503245"/>
      <w:r>
        <w:rPr>
          <w:rFonts w:hint="eastAsia" w:ascii="宋体" w:hAnsi="宋体"/>
          <w:b/>
          <w:bCs/>
          <w:color w:val="auto"/>
          <w:sz w:val="24"/>
          <w:szCs w:val="24"/>
          <w:highlight w:val="none"/>
        </w:rPr>
        <w:t>7.3履约担保</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p>
    <w:p w14:paraId="727C4490">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7.3.1成交供应商与采购人签订合同前应当按照供应商须知前附表规定的金额、担保形式向采购人提交履约担保。</w:t>
      </w:r>
    </w:p>
    <w:p w14:paraId="245F46CB">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7.3.2成交供应商不能按照供应商须知前附表要求提交履约担保的，视为放弃成交资格，且采购人上报政府采购监督管理部门。</w:t>
      </w:r>
    </w:p>
    <w:p w14:paraId="762BA499">
      <w:pPr>
        <w:spacing w:line="360" w:lineRule="auto"/>
        <w:outlineLvl w:val="3"/>
        <w:rPr>
          <w:rFonts w:hint="eastAsia" w:ascii="宋体" w:hAnsi="宋体"/>
          <w:b/>
          <w:bCs/>
          <w:color w:val="auto"/>
          <w:sz w:val="24"/>
          <w:szCs w:val="24"/>
          <w:highlight w:val="none"/>
        </w:rPr>
      </w:pPr>
      <w:bookmarkStart w:id="917" w:name="_Toc79968013"/>
      <w:bookmarkStart w:id="918" w:name="_Toc52091978"/>
      <w:bookmarkStart w:id="919" w:name="_Toc124133182"/>
      <w:bookmarkStart w:id="920" w:name="_Toc42267660"/>
      <w:bookmarkStart w:id="921" w:name="_Toc98865039"/>
      <w:bookmarkStart w:id="922" w:name="_Toc116584029"/>
      <w:bookmarkStart w:id="923" w:name="_Toc45452772"/>
      <w:bookmarkStart w:id="924" w:name="_Toc70503246"/>
      <w:bookmarkStart w:id="925" w:name="_Toc32278"/>
      <w:bookmarkStart w:id="926" w:name="_Toc87543846"/>
      <w:bookmarkStart w:id="927" w:name="_Toc98033962"/>
      <w:bookmarkStart w:id="928" w:name="_Toc42205021"/>
      <w:bookmarkStart w:id="929" w:name="_Toc50559281"/>
      <w:bookmarkStart w:id="930" w:name="_Toc48639303"/>
      <w:bookmarkStart w:id="931" w:name="_Toc109809340"/>
      <w:bookmarkStart w:id="932" w:name="_Toc45900554"/>
      <w:bookmarkStart w:id="933" w:name="_Toc79967652"/>
      <w:bookmarkStart w:id="934" w:name="_Toc110405162"/>
      <w:r>
        <w:rPr>
          <w:rFonts w:hint="eastAsia" w:ascii="宋体" w:hAnsi="宋体"/>
          <w:b/>
          <w:bCs/>
          <w:color w:val="auto"/>
          <w:sz w:val="24"/>
          <w:szCs w:val="24"/>
          <w:highlight w:val="none"/>
        </w:rPr>
        <w:t>7.4签订合同</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14:paraId="03566D09">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7.4.1采购人和成交供应商应当自成交通知书发出之日起30天内，根据采购文件和成交供应商的响应文件订立书面合同。成交供应商无正当理由拒签合同的，采购人取消其成交资格，且采购人上报政府采购监督管理部门。</w:t>
      </w:r>
    </w:p>
    <w:p w14:paraId="25A191AB">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7.4.2发出成交通知书后，采购人无正当理由拒签合同的，给成交供应商造成损失的，还应当赔偿损失。</w:t>
      </w:r>
    </w:p>
    <w:bookmarkEnd w:id="870"/>
    <w:bookmarkEnd w:id="871"/>
    <w:bookmarkEnd w:id="872"/>
    <w:bookmarkEnd w:id="873"/>
    <w:bookmarkEnd w:id="874"/>
    <w:bookmarkEnd w:id="875"/>
    <w:p w14:paraId="425E04B8">
      <w:pPr>
        <w:spacing w:line="360" w:lineRule="auto"/>
        <w:jc w:val="center"/>
        <w:outlineLvl w:val="2"/>
        <w:rPr>
          <w:rFonts w:hint="eastAsia" w:asciiTheme="minorEastAsia" w:hAnsiTheme="minorEastAsia" w:eastAsiaTheme="minorEastAsia"/>
          <w:b/>
          <w:bCs/>
          <w:color w:val="auto"/>
          <w:sz w:val="28"/>
          <w:szCs w:val="28"/>
          <w:highlight w:val="none"/>
        </w:rPr>
      </w:pPr>
      <w:bookmarkStart w:id="935" w:name="_Toc110405163"/>
      <w:bookmarkStart w:id="936" w:name="_Toc98033963"/>
      <w:bookmarkStart w:id="937" w:name="_Toc109809341"/>
      <w:bookmarkStart w:id="938" w:name="_Toc26229"/>
      <w:bookmarkStart w:id="939" w:name="_Toc98865040"/>
      <w:bookmarkStart w:id="940" w:name="_Toc25990"/>
      <w:bookmarkStart w:id="941" w:name="_Toc116584030"/>
      <w:bookmarkStart w:id="942" w:name="_Toc87543847"/>
      <w:r>
        <w:rPr>
          <w:rFonts w:hint="eastAsia" w:asciiTheme="minorEastAsia" w:hAnsiTheme="minorEastAsia" w:eastAsiaTheme="minorEastAsia"/>
          <w:b/>
          <w:bCs/>
          <w:color w:val="auto"/>
          <w:sz w:val="28"/>
          <w:szCs w:val="28"/>
          <w:highlight w:val="none"/>
        </w:rPr>
        <w:t>8.重新</w:t>
      </w:r>
      <w:bookmarkEnd w:id="876"/>
      <w:bookmarkEnd w:id="877"/>
      <w:bookmarkEnd w:id="878"/>
      <w:bookmarkEnd w:id="879"/>
      <w:r>
        <w:rPr>
          <w:rFonts w:hint="eastAsia" w:asciiTheme="minorEastAsia" w:hAnsiTheme="minorEastAsia" w:eastAsiaTheme="minorEastAsia"/>
          <w:b/>
          <w:bCs/>
          <w:color w:val="auto"/>
          <w:sz w:val="28"/>
          <w:szCs w:val="28"/>
          <w:highlight w:val="none"/>
        </w:rPr>
        <w:t>采购</w:t>
      </w:r>
      <w:bookmarkEnd w:id="880"/>
      <w:bookmarkEnd w:id="881"/>
      <w:bookmarkEnd w:id="882"/>
      <w:bookmarkEnd w:id="935"/>
      <w:bookmarkEnd w:id="936"/>
      <w:bookmarkEnd w:id="937"/>
      <w:bookmarkEnd w:id="938"/>
      <w:bookmarkEnd w:id="939"/>
      <w:bookmarkEnd w:id="940"/>
      <w:bookmarkEnd w:id="941"/>
      <w:bookmarkEnd w:id="942"/>
    </w:p>
    <w:p w14:paraId="2BE7D824">
      <w:pPr>
        <w:spacing w:line="360" w:lineRule="auto"/>
        <w:outlineLvl w:val="3"/>
        <w:rPr>
          <w:rFonts w:hint="eastAsia" w:ascii="宋体" w:hAnsi="宋体"/>
          <w:b/>
          <w:bCs/>
          <w:color w:val="auto"/>
          <w:sz w:val="24"/>
          <w:szCs w:val="24"/>
          <w:highlight w:val="none"/>
        </w:rPr>
      </w:pPr>
      <w:bookmarkStart w:id="943" w:name="_Toc109809342"/>
      <w:bookmarkStart w:id="944" w:name="_Toc31249"/>
      <w:bookmarkStart w:id="945" w:name="_Toc116584031"/>
      <w:bookmarkStart w:id="946" w:name="_Toc87543848"/>
      <w:bookmarkStart w:id="947" w:name="_Toc110405164"/>
      <w:bookmarkStart w:id="948" w:name="_Toc98033964"/>
      <w:bookmarkStart w:id="949" w:name="_Toc98865041"/>
      <w:r>
        <w:rPr>
          <w:rFonts w:hint="eastAsia" w:ascii="宋体" w:hAnsi="宋体"/>
          <w:b/>
          <w:bCs/>
          <w:color w:val="auto"/>
          <w:sz w:val="24"/>
          <w:szCs w:val="24"/>
          <w:highlight w:val="none"/>
        </w:rPr>
        <w:t>8</w:t>
      </w:r>
      <w:r>
        <w:rPr>
          <w:rFonts w:ascii="宋体" w:hAnsi="宋体"/>
          <w:b/>
          <w:bCs/>
          <w:color w:val="auto"/>
          <w:sz w:val="24"/>
          <w:szCs w:val="24"/>
          <w:highlight w:val="none"/>
        </w:rPr>
        <w:t>.1</w:t>
      </w:r>
      <w:r>
        <w:rPr>
          <w:rFonts w:hint="eastAsia" w:ascii="宋体" w:hAnsi="宋体"/>
          <w:b/>
          <w:bCs/>
          <w:color w:val="auto"/>
          <w:sz w:val="24"/>
          <w:szCs w:val="24"/>
          <w:highlight w:val="none"/>
        </w:rPr>
        <w:t>有下列情形之一的，采购人将重新采购：</w:t>
      </w:r>
      <w:bookmarkEnd w:id="943"/>
      <w:bookmarkEnd w:id="944"/>
      <w:bookmarkEnd w:id="945"/>
      <w:bookmarkEnd w:id="946"/>
      <w:bookmarkEnd w:id="947"/>
      <w:bookmarkEnd w:id="948"/>
      <w:bookmarkEnd w:id="949"/>
    </w:p>
    <w:p w14:paraId="785BB9FC">
      <w:pPr>
        <w:spacing w:line="360" w:lineRule="auto"/>
        <w:ind w:firstLine="420" w:firstLineChars="200"/>
        <w:contextualSpacing/>
        <w:rPr>
          <w:rFonts w:hint="eastAsia" w:ascii="宋体" w:hAnsi="宋体"/>
          <w:color w:val="auto"/>
          <w:szCs w:val="21"/>
          <w:highlight w:val="none"/>
        </w:rPr>
      </w:pPr>
      <w:bookmarkStart w:id="950" w:name="_Toc110405165"/>
      <w:bookmarkStart w:id="951" w:name="_Toc109809343"/>
      <w:bookmarkStart w:id="952" w:name="_Toc87543849"/>
      <w:bookmarkStart w:id="953" w:name="_Toc45791384"/>
      <w:bookmarkStart w:id="954" w:name="_Toc16641"/>
      <w:bookmarkStart w:id="955" w:name="_Toc116584032"/>
      <w:bookmarkStart w:id="956" w:name="_Toc42205023"/>
      <w:bookmarkStart w:id="957" w:name="_Toc98033965"/>
      <w:bookmarkStart w:id="958" w:name="_Toc83753921"/>
      <w:bookmarkStart w:id="959" w:name="_Toc42267662"/>
      <w:bookmarkStart w:id="960" w:name="_Toc98865042"/>
      <w:bookmarkStart w:id="961" w:name="_Toc84356281"/>
      <w:bookmarkStart w:id="962" w:name="_Toc45976930"/>
      <w:bookmarkStart w:id="963" w:name="_Toc87538398"/>
      <w:r>
        <w:rPr>
          <w:rFonts w:ascii="宋体" w:hAnsi="宋体"/>
          <w:color w:val="auto"/>
          <w:szCs w:val="21"/>
          <w:highlight w:val="none"/>
        </w:rPr>
        <w:t>8.1.1</w:t>
      </w:r>
      <w:r>
        <w:rPr>
          <w:rFonts w:hint="eastAsia" w:ascii="宋体" w:hAnsi="宋体"/>
          <w:color w:val="auto"/>
          <w:szCs w:val="21"/>
          <w:highlight w:val="none"/>
        </w:rPr>
        <w:t>提交响应文件截止时间止，提交响应文件的供应商少于3个的，采购人应当依法重新采购。</w:t>
      </w:r>
    </w:p>
    <w:p w14:paraId="71FB01B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1.</w:t>
      </w:r>
      <w:r>
        <w:rPr>
          <w:rFonts w:hint="eastAsia" w:ascii="宋体" w:hAnsi="宋体"/>
          <w:color w:val="auto"/>
          <w:szCs w:val="21"/>
          <w:highlight w:val="none"/>
        </w:rPr>
        <w:t>2经谈判小组评审后合格供应商少于3个的。</w:t>
      </w:r>
    </w:p>
    <w:p w14:paraId="457E9FFA">
      <w:pPr>
        <w:spacing w:line="360" w:lineRule="auto"/>
        <w:jc w:val="center"/>
        <w:outlineLvl w:val="2"/>
        <w:rPr>
          <w:rFonts w:hint="eastAsia" w:asciiTheme="minorEastAsia" w:hAnsiTheme="minorEastAsia" w:eastAsiaTheme="minorEastAsia"/>
          <w:b/>
          <w:bCs/>
          <w:color w:val="auto"/>
          <w:sz w:val="28"/>
          <w:szCs w:val="28"/>
          <w:highlight w:val="none"/>
        </w:rPr>
      </w:pPr>
      <w:bookmarkStart w:id="964" w:name="_Toc24856"/>
      <w:r>
        <w:rPr>
          <w:rFonts w:hint="eastAsia" w:asciiTheme="minorEastAsia" w:hAnsiTheme="minorEastAsia" w:eastAsiaTheme="minorEastAsia"/>
          <w:b/>
          <w:bCs/>
          <w:color w:val="auto"/>
          <w:sz w:val="28"/>
          <w:szCs w:val="28"/>
          <w:highlight w:val="none"/>
        </w:rPr>
        <w:t>9.纪律和监督</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25CC1E73">
      <w:pPr>
        <w:spacing w:line="360" w:lineRule="auto"/>
        <w:outlineLvl w:val="3"/>
        <w:rPr>
          <w:rFonts w:hint="eastAsia" w:ascii="宋体" w:hAnsi="宋体"/>
          <w:b/>
          <w:bCs/>
          <w:color w:val="auto"/>
          <w:sz w:val="24"/>
          <w:szCs w:val="24"/>
          <w:highlight w:val="none"/>
        </w:rPr>
      </w:pPr>
      <w:bookmarkStart w:id="965" w:name="_Toc109809344"/>
      <w:bookmarkStart w:id="966" w:name="_Toc53412247"/>
      <w:bookmarkStart w:id="967" w:name="_Toc110405166"/>
      <w:bookmarkStart w:id="968" w:name="_Toc28437"/>
      <w:bookmarkStart w:id="969" w:name="_Toc81330970"/>
      <w:bookmarkStart w:id="970" w:name="_Toc75783562"/>
      <w:bookmarkStart w:id="971" w:name="_Toc98865043"/>
      <w:bookmarkStart w:id="972" w:name="_Toc98033966"/>
      <w:bookmarkStart w:id="973" w:name="_Toc87538399"/>
      <w:bookmarkStart w:id="974" w:name="_Toc42267663"/>
      <w:bookmarkStart w:id="975" w:name="_Toc84356282"/>
      <w:bookmarkStart w:id="976" w:name="_Toc45791385"/>
      <w:bookmarkStart w:id="977" w:name="_Toc69678460"/>
      <w:bookmarkStart w:id="978" w:name="_Toc42205024"/>
      <w:bookmarkStart w:id="979" w:name="_Toc45976931"/>
      <w:bookmarkStart w:id="980" w:name="_Toc87543850"/>
      <w:bookmarkStart w:id="981" w:name="_Toc116584033"/>
      <w:bookmarkStart w:id="982" w:name="_Toc83753922"/>
      <w:r>
        <w:rPr>
          <w:rFonts w:hint="eastAsia" w:ascii="宋体" w:hAnsi="宋体"/>
          <w:b/>
          <w:bCs/>
          <w:color w:val="auto"/>
          <w:sz w:val="24"/>
          <w:szCs w:val="24"/>
          <w:highlight w:val="none"/>
        </w:rPr>
        <w:t>9.1 对采购人的纪律要求</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22B8F972">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采购人不得泄漏采购活动中应当保密的情况和资料，不得与供应商串通损害国家利益、社会公共利益或者他人合法权益。</w:t>
      </w:r>
    </w:p>
    <w:p w14:paraId="2D4651D2">
      <w:pPr>
        <w:spacing w:line="360" w:lineRule="auto"/>
        <w:outlineLvl w:val="3"/>
        <w:rPr>
          <w:rFonts w:hint="eastAsia" w:ascii="宋体" w:hAnsi="宋体"/>
          <w:b/>
          <w:bCs/>
          <w:color w:val="auto"/>
          <w:sz w:val="24"/>
          <w:szCs w:val="24"/>
          <w:highlight w:val="none"/>
        </w:rPr>
      </w:pPr>
      <w:bookmarkStart w:id="983" w:name="_Toc42205025"/>
      <w:bookmarkStart w:id="984" w:name="_Toc110405167"/>
      <w:bookmarkStart w:id="985" w:name="_Toc81330971"/>
      <w:bookmarkStart w:id="986" w:name="_Toc98033967"/>
      <w:bookmarkStart w:id="987" w:name="_Toc45976932"/>
      <w:bookmarkStart w:id="988" w:name="_Toc116584034"/>
      <w:bookmarkStart w:id="989" w:name="_Toc83753923"/>
      <w:bookmarkStart w:id="990" w:name="_Toc928"/>
      <w:bookmarkStart w:id="991" w:name="_Toc42267664"/>
      <w:bookmarkStart w:id="992" w:name="_Toc87543851"/>
      <w:bookmarkStart w:id="993" w:name="_Toc45791386"/>
      <w:bookmarkStart w:id="994" w:name="_Toc75783563"/>
      <w:bookmarkStart w:id="995" w:name="_Toc84356283"/>
      <w:bookmarkStart w:id="996" w:name="_Toc109809345"/>
      <w:bookmarkStart w:id="997" w:name="_Toc69678461"/>
      <w:bookmarkStart w:id="998" w:name="_Toc98865044"/>
      <w:bookmarkStart w:id="999" w:name="_Toc53412248"/>
      <w:bookmarkStart w:id="1000" w:name="_Toc87538400"/>
      <w:r>
        <w:rPr>
          <w:rFonts w:hint="eastAsia" w:ascii="宋体" w:hAnsi="宋体"/>
          <w:b/>
          <w:bCs/>
          <w:color w:val="auto"/>
          <w:sz w:val="24"/>
          <w:szCs w:val="24"/>
          <w:highlight w:val="none"/>
        </w:rPr>
        <w:t>9.2 对供应商的纪律要求</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14:paraId="7DBDC319">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供应商不得相互串通谈判或者与采购人串通谈判，不得向采购人或者谈判小组成员行贿谋取成交，不得以他人名义谈判或者以其他方式弄虚作假骗取成交；供应商不得以任何方式干扰、影响评审工作。</w:t>
      </w:r>
    </w:p>
    <w:p w14:paraId="73F27FCE">
      <w:pPr>
        <w:spacing w:line="360" w:lineRule="auto"/>
        <w:outlineLvl w:val="3"/>
        <w:rPr>
          <w:rFonts w:hint="eastAsia" w:ascii="宋体" w:hAnsi="宋体"/>
          <w:b/>
          <w:bCs/>
          <w:color w:val="auto"/>
          <w:sz w:val="24"/>
          <w:szCs w:val="24"/>
          <w:highlight w:val="none"/>
        </w:rPr>
      </w:pPr>
      <w:bookmarkStart w:id="1001" w:name="_Toc75783564"/>
      <w:bookmarkStart w:id="1002" w:name="_Toc83753924"/>
      <w:bookmarkStart w:id="1003" w:name="_Toc116584035"/>
      <w:bookmarkStart w:id="1004" w:name="_Toc45976933"/>
      <w:bookmarkStart w:id="1005" w:name="_Toc81330972"/>
      <w:bookmarkStart w:id="1006" w:name="_Toc87543852"/>
      <w:bookmarkStart w:id="1007" w:name="_Toc98865045"/>
      <w:bookmarkStart w:id="1008" w:name="_Toc53412249"/>
      <w:bookmarkStart w:id="1009" w:name="_Toc110405168"/>
      <w:bookmarkStart w:id="1010" w:name="_Toc69678462"/>
      <w:bookmarkStart w:id="1011" w:name="_Toc87538401"/>
      <w:bookmarkStart w:id="1012" w:name="_Toc98033968"/>
      <w:bookmarkStart w:id="1013" w:name="_Toc109809346"/>
      <w:bookmarkStart w:id="1014" w:name="_Toc84356284"/>
      <w:bookmarkStart w:id="1015" w:name="_Toc45791387"/>
      <w:bookmarkStart w:id="1016" w:name="_Toc42267665"/>
      <w:bookmarkStart w:id="1017" w:name="_Toc42205026"/>
      <w:bookmarkStart w:id="1018" w:name="_Toc13146"/>
      <w:r>
        <w:rPr>
          <w:rFonts w:hint="eastAsia" w:ascii="宋体" w:hAnsi="宋体"/>
          <w:b/>
          <w:bCs/>
          <w:color w:val="auto"/>
          <w:sz w:val="24"/>
          <w:szCs w:val="24"/>
          <w:highlight w:val="none"/>
        </w:rPr>
        <w:t>9.3 对谈判小组成员的纪律要求</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391DE711">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谈判小组成员不得收受他人的财物或者其他好处，不得向他人透漏对响应文件的评审和比较、成交候选人的推荐情况以及评审有关的其他情况。在评审活动中，谈判小组成员不得擅离职守，影响评审程序正常进行，不得使用第六章“评审办法”没有规定的评审因素和标准进行评审。</w:t>
      </w:r>
    </w:p>
    <w:p w14:paraId="4B3639F0">
      <w:pPr>
        <w:spacing w:line="360" w:lineRule="auto"/>
        <w:outlineLvl w:val="3"/>
        <w:rPr>
          <w:rFonts w:hint="eastAsia" w:ascii="宋体" w:hAnsi="宋体"/>
          <w:b/>
          <w:bCs/>
          <w:color w:val="auto"/>
          <w:sz w:val="24"/>
          <w:szCs w:val="24"/>
          <w:highlight w:val="none"/>
        </w:rPr>
      </w:pPr>
      <w:bookmarkStart w:id="1019" w:name="_Toc81330973"/>
      <w:bookmarkStart w:id="1020" w:name="_Toc83753925"/>
      <w:bookmarkStart w:id="1021" w:name="_Toc98033969"/>
      <w:bookmarkStart w:id="1022" w:name="_Toc16136"/>
      <w:bookmarkStart w:id="1023" w:name="_Toc45791388"/>
      <w:bookmarkStart w:id="1024" w:name="_Toc109809347"/>
      <w:bookmarkStart w:id="1025" w:name="_Toc116584036"/>
      <w:bookmarkStart w:id="1026" w:name="_Toc87543853"/>
      <w:bookmarkStart w:id="1027" w:name="_Toc84356285"/>
      <w:bookmarkStart w:id="1028" w:name="_Toc110405169"/>
      <w:bookmarkStart w:id="1029" w:name="_Toc87538402"/>
      <w:bookmarkStart w:id="1030" w:name="_Toc98865046"/>
      <w:bookmarkStart w:id="1031" w:name="_Toc75783565"/>
      <w:bookmarkStart w:id="1032" w:name="_Toc53412250"/>
      <w:bookmarkStart w:id="1033" w:name="_Toc45976934"/>
      <w:bookmarkStart w:id="1034" w:name="_Toc42205027"/>
      <w:bookmarkStart w:id="1035" w:name="_Toc42267666"/>
      <w:bookmarkStart w:id="1036" w:name="_Toc69678463"/>
      <w:r>
        <w:rPr>
          <w:rFonts w:hint="eastAsia" w:ascii="宋体" w:hAnsi="宋体"/>
          <w:b/>
          <w:bCs/>
          <w:color w:val="auto"/>
          <w:sz w:val="24"/>
          <w:szCs w:val="24"/>
          <w:highlight w:val="none"/>
        </w:rPr>
        <w:t>9.4 对与评审活动有关的工作人员的纪律要求</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14:paraId="7A597FF4">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568EB6B0">
      <w:pPr>
        <w:spacing w:line="360" w:lineRule="auto"/>
        <w:outlineLvl w:val="3"/>
        <w:rPr>
          <w:rFonts w:hint="eastAsia" w:ascii="宋体" w:hAnsi="宋体"/>
          <w:b/>
          <w:bCs/>
          <w:color w:val="auto"/>
          <w:sz w:val="24"/>
          <w:szCs w:val="24"/>
          <w:highlight w:val="none"/>
        </w:rPr>
      </w:pPr>
      <w:bookmarkStart w:id="1037" w:name="_Toc116584037"/>
      <w:r>
        <w:rPr>
          <w:rFonts w:hint="eastAsia" w:ascii="宋体" w:hAnsi="宋体"/>
          <w:b/>
          <w:bCs/>
          <w:color w:val="auto"/>
          <w:sz w:val="24"/>
          <w:szCs w:val="24"/>
          <w:highlight w:val="none"/>
        </w:rPr>
        <w:t>9</w:t>
      </w:r>
      <w:r>
        <w:rPr>
          <w:rFonts w:ascii="宋体" w:hAnsi="宋体"/>
          <w:b/>
          <w:bCs/>
          <w:color w:val="auto"/>
          <w:sz w:val="24"/>
          <w:szCs w:val="24"/>
          <w:highlight w:val="none"/>
        </w:rPr>
        <w:t>.5</w:t>
      </w:r>
      <w:r>
        <w:rPr>
          <w:rFonts w:hint="eastAsia" w:ascii="宋体" w:hAnsi="宋体"/>
          <w:b/>
          <w:bCs/>
          <w:color w:val="auto"/>
          <w:sz w:val="24"/>
          <w:szCs w:val="24"/>
          <w:highlight w:val="none"/>
        </w:rPr>
        <w:t>质疑</w:t>
      </w:r>
      <w:bookmarkEnd w:id="1037"/>
    </w:p>
    <w:p w14:paraId="3C03724D">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9.5.1</w:t>
      </w:r>
      <w:r>
        <w:rPr>
          <w:rFonts w:hint="eastAsia" w:asciiTheme="minorEastAsia" w:hAnsiTheme="minorEastAsia" w:eastAsiaTheme="minorEastAsia"/>
          <w:color w:val="auto"/>
          <w:szCs w:val="21"/>
          <w:highlight w:val="none"/>
        </w:rPr>
        <w:t>供应商认为采购文件、采购过程和成交结果使自己的权益受到损害的，应当在知道或者应知其权益受到损害之日起7个工作日内，登录政府采购云平台向采购人或</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在线提起质疑。质疑内容不得含有虚假、恶意成分。当事人对自己提出的主张，有责任提供证据，提出质疑时应同时提交相关证据材料和注明事实的确切来源。</w:t>
      </w:r>
    </w:p>
    <w:p w14:paraId="6B44D12E">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9.5.2</w:t>
      </w:r>
      <w:r>
        <w:rPr>
          <w:rFonts w:hint="eastAsia" w:asciiTheme="minorEastAsia" w:hAnsiTheme="minorEastAsia" w:eastAsiaTheme="minorEastAsia"/>
          <w:color w:val="auto"/>
          <w:szCs w:val="21"/>
          <w:highlight w:val="none"/>
        </w:rPr>
        <w:t>供应商应知其权益受到损害之日，是指：</w:t>
      </w:r>
    </w:p>
    <w:p w14:paraId="4A19D06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（1）对可以质疑的竞争性谈判提出质疑的，为供应商获取采购文件之日；</w:t>
      </w:r>
    </w:p>
    <w:p w14:paraId="5B5D5257">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（2）对采购过程提出质疑的，为各采购程序环节结束之日；</w:t>
      </w:r>
    </w:p>
    <w:p w14:paraId="262CB9A9">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（3）对成交结果提出质疑的，为成交结果公告期限届满之日。</w:t>
      </w:r>
    </w:p>
    <w:p w14:paraId="1CDB4B02">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3采购人、</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应在收到供应商的质疑后7个工作日内作出答复，但答复的内容不涉及商业秘密。</w:t>
      </w:r>
    </w:p>
    <w:p w14:paraId="23D95190">
      <w:pPr>
        <w:adjustRightInd w:val="0"/>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4参与政府采购活动的供应商对评审过程或者结果提出质疑的，采购人或</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可以组织原谈判小组协助处理质疑事项，并依据谈判小组出具的意见进行答复。质疑答复导致成交结果改变的，采购人或</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应当将相关情况向财政部门报告。</w:t>
      </w:r>
    </w:p>
    <w:p w14:paraId="631ABFE0">
      <w:pPr>
        <w:spacing w:line="360" w:lineRule="auto"/>
        <w:outlineLvl w:val="3"/>
        <w:rPr>
          <w:rFonts w:hint="eastAsia" w:ascii="宋体" w:hAnsi="宋体"/>
          <w:b/>
          <w:bCs/>
          <w:color w:val="auto"/>
          <w:sz w:val="24"/>
          <w:szCs w:val="24"/>
          <w:highlight w:val="none"/>
        </w:rPr>
      </w:pPr>
      <w:bookmarkStart w:id="1038" w:name="_Toc116584038"/>
      <w:r>
        <w:rPr>
          <w:rFonts w:ascii="宋体" w:hAnsi="宋体"/>
          <w:b/>
          <w:bCs/>
          <w:color w:val="auto"/>
          <w:sz w:val="24"/>
          <w:szCs w:val="24"/>
          <w:highlight w:val="none"/>
        </w:rPr>
        <w:t>9.6</w:t>
      </w:r>
      <w:r>
        <w:rPr>
          <w:rFonts w:hint="eastAsia" w:ascii="宋体" w:hAnsi="宋体"/>
          <w:b/>
          <w:bCs/>
          <w:color w:val="auto"/>
          <w:sz w:val="24"/>
          <w:szCs w:val="24"/>
          <w:highlight w:val="none"/>
        </w:rPr>
        <w:t>投诉</w:t>
      </w:r>
      <w:bookmarkEnd w:id="1038"/>
    </w:p>
    <w:p w14:paraId="143FE7EB">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投诉必须首先经过质疑程序。质疑人对采购人、</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的答复不满意，或者采购人、</w:t>
      </w:r>
      <w:r>
        <w:rPr>
          <w:rFonts w:hint="eastAsia" w:asciiTheme="minorEastAsia" w:hAnsiTheme="minorEastAsia" w:eastAsiaTheme="minorEastAsia"/>
          <w:color w:val="auto"/>
          <w:szCs w:val="21"/>
          <w:highlight w:val="none"/>
          <w:lang w:eastAsia="zh-CN"/>
        </w:rPr>
        <w:t>集中采购机构</w:t>
      </w:r>
      <w:r>
        <w:rPr>
          <w:rFonts w:hint="eastAsia" w:asciiTheme="minorEastAsia" w:hAnsiTheme="minorEastAsia" w:eastAsiaTheme="minorEastAsia"/>
          <w:color w:val="auto"/>
          <w:szCs w:val="21"/>
          <w:highlight w:val="none"/>
        </w:rPr>
        <w:t>未在规定的时间内做出答复的，可以在答复期满后1</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个工作日内书面向同级财政部门提起投诉。</w:t>
      </w:r>
    </w:p>
    <w:p w14:paraId="72B0D94A">
      <w:pPr>
        <w:spacing w:line="360" w:lineRule="auto"/>
        <w:jc w:val="center"/>
        <w:outlineLvl w:val="2"/>
        <w:rPr>
          <w:rFonts w:hint="eastAsia" w:asciiTheme="minorEastAsia" w:hAnsiTheme="minorEastAsia" w:eastAsiaTheme="minorEastAsia"/>
          <w:b/>
          <w:bCs/>
          <w:color w:val="auto"/>
          <w:sz w:val="28"/>
          <w:szCs w:val="28"/>
          <w:highlight w:val="none"/>
        </w:rPr>
      </w:pPr>
      <w:bookmarkStart w:id="1039" w:name="_Toc42205029"/>
      <w:bookmarkStart w:id="1040" w:name="_Toc18346"/>
      <w:bookmarkStart w:id="1041" w:name="_Toc87538404"/>
      <w:bookmarkStart w:id="1042" w:name="_Toc45976936"/>
      <w:bookmarkStart w:id="1043" w:name="_Toc42267668"/>
      <w:bookmarkStart w:id="1044" w:name="_Toc98865048"/>
      <w:bookmarkStart w:id="1045" w:name="_Toc83753927"/>
      <w:bookmarkStart w:id="1046" w:name="_Toc45791390"/>
      <w:bookmarkStart w:id="1047" w:name="_Toc110405172"/>
      <w:bookmarkStart w:id="1048" w:name="_Toc109809349"/>
      <w:bookmarkStart w:id="1049" w:name="_Toc116584039"/>
      <w:bookmarkStart w:id="1050" w:name="_Toc98033971"/>
      <w:bookmarkStart w:id="1051" w:name="_Toc30244"/>
      <w:bookmarkStart w:id="1052" w:name="_Toc87543855"/>
      <w:bookmarkStart w:id="1053" w:name="_Toc84356287"/>
      <w:r>
        <w:rPr>
          <w:rFonts w:hint="eastAsia" w:asciiTheme="minorEastAsia" w:hAnsiTheme="minorEastAsia" w:eastAsiaTheme="minorEastAsia"/>
          <w:b/>
          <w:bCs/>
          <w:color w:val="auto"/>
          <w:sz w:val="28"/>
          <w:szCs w:val="28"/>
          <w:highlight w:val="none"/>
        </w:rPr>
        <w:t>10.需要补充的其他内容</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14:paraId="058CF18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需要补充的其他内容：详</w:t>
      </w:r>
      <w:r>
        <w:rPr>
          <w:rFonts w:asciiTheme="minorEastAsia" w:hAnsiTheme="minorEastAsia" w:eastAsiaTheme="minorEastAsia"/>
          <w:color w:val="auto"/>
          <w:szCs w:val="21"/>
          <w:highlight w:val="none"/>
        </w:rPr>
        <w:t>见</w:t>
      </w:r>
      <w:r>
        <w:rPr>
          <w:rFonts w:hint="eastAsia" w:asciiTheme="minorEastAsia" w:hAnsiTheme="minorEastAsia" w:eastAsiaTheme="minorEastAsia"/>
          <w:color w:val="auto"/>
          <w:szCs w:val="21"/>
          <w:highlight w:val="none"/>
        </w:rPr>
        <w:t>供应商须知前附表。</w:t>
      </w:r>
    </w:p>
    <w:p w14:paraId="0B1BB03A">
      <w:pPr>
        <w:widowControl/>
        <w:spacing w:line="360" w:lineRule="auto"/>
        <w:jc w:val="left"/>
        <w:rPr>
          <w:rFonts w:hint="eastAsia" w:asciiTheme="minorEastAsia" w:hAnsiTheme="minorEastAsia" w:eastAsiaTheme="minorEastAsia"/>
          <w:color w:val="auto"/>
          <w:szCs w:val="21"/>
          <w:highlight w:val="none"/>
        </w:rPr>
      </w:pPr>
      <w:bookmarkStart w:id="1054" w:name="_Toc42205030"/>
      <w:bookmarkStart w:id="1055" w:name="_Toc37603108"/>
      <w:bookmarkStart w:id="1056" w:name="_Toc292983024"/>
      <w:bookmarkStart w:id="1057" w:name="_Toc29357076"/>
      <w:r>
        <w:rPr>
          <w:rFonts w:asciiTheme="minorEastAsia" w:hAnsiTheme="minorEastAsia" w:eastAsiaTheme="minorEastAsia"/>
          <w:color w:val="auto"/>
          <w:szCs w:val="21"/>
          <w:highlight w:val="none"/>
        </w:rPr>
        <w:br w:type="page"/>
      </w:r>
    </w:p>
    <w:p w14:paraId="40445A2A">
      <w:pPr>
        <w:autoSpaceDE w:val="0"/>
        <w:autoSpaceDN w:val="0"/>
        <w:adjustRightInd w:val="0"/>
        <w:spacing w:line="360" w:lineRule="auto"/>
        <w:jc w:val="left"/>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附件：</w:t>
      </w:r>
    </w:p>
    <w:p w14:paraId="1943E6D6">
      <w:pPr>
        <w:autoSpaceDE w:val="0"/>
        <w:autoSpaceDN w:val="0"/>
        <w:adjustRightInd w:val="0"/>
        <w:spacing w:before="240" w:beforeLines="100" w:line="360" w:lineRule="auto"/>
        <w:jc w:val="center"/>
        <w:rPr>
          <w:rFonts w:hint="eastAsia" w:cs="黑体" w:asciiTheme="minorEastAsia" w:hAnsiTheme="minorEastAsia" w:eastAsiaTheme="minorEastAsia"/>
          <w:color w:val="auto"/>
          <w:kern w:val="0"/>
          <w:sz w:val="32"/>
          <w:szCs w:val="32"/>
          <w:highlight w:val="none"/>
        </w:rPr>
      </w:pPr>
      <w:r>
        <w:rPr>
          <w:rFonts w:hint="eastAsia" w:cs="黑体" w:asciiTheme="minorEastAsia" w:hAnsiTheme="minorEastAsia" w:eastAsiaTheme="minorEastAsia"/>
          <w:color w:val="auto"/>
          <w:kern w:val="0"/>
          <w:sz w:val="32"/>
          <w:szCs w:val="32"/>
          <w:highlight w:val="none"/>
        </w:rPr>
        <w:t>电子投标文件编制要求</w:t>
      </w:r>
    </w:p>
    <w:p w14:paraId="5CFB5098">
      <w:pPr>
        <w:autoSpaceDE w:val="0"/>
        <w:autoSpaceDN w:val="0"/>
        <w:adjustRightInd w:val="0"/>
        <w:spacing w:line="360" w:lineRule="auto"/>
        <w:ind w:firstLine="420" w:firstLineChars="2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.电子投标文件的制作应使用“政采云投标客户端”，供应商下载“政采云投标客户端”，通过“政采云投标客户端”编制并生成加密的投标文件。</w:t>
      </w:r>
    </w:p>
    <w:p w14:paraId="304FC18B">
      <w:pPr>
        <w:autoSpaceDE w:val="0"/>
        <w:autoSpaceDN w:val="0"/>
        <w:adjustRightInd w:val="0"/>
        <w:spacing w:line="360" w:lineRule="auto"/>
        <w:ind w:firstLine="420" w:firstLineChars="2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.“政采云投标客户端”提供数字证书（</w:t>
      </w:r>
      <w:r>
        <w:rPr>
          <w:rFonts w:cs="宋体" w:asciiTheme="minorEastAsia" w:hAnsiTheme="minorEastAsia" w:eastAsiaTheme="minorEastAsia"/>
          <w:color w:val="auto"/>
          <w:kern w:val="0"/>
          <w:szCs w:val="21"/>
          <w:highlight w:val="none"/>
        </w:rPr>
        <w:t>CA</w:t>
      </w:r>
      <w:r>
        <w:rPr>
          <w:rFonts w:hint="eastAsia" w:cs="宋体" w:asciiTheme="minorEastAsia" w:hAnsiTheme="minorEastAsia" w:eastAsiaTheme="minorEastAsia"/>
          <w:color w:val="auto"/>
          <w:kern w:val="0"/>
          <w:szCs w:val="21"/>
          <w:highlight w:val="none"/>
        </w:rPr>
        <w:t>）对投标文件进行加密功能。投标人对网上递交的投标文件应加密。如果供应商使用某个数字证书（</w:t>
      </w:r>
      <w:r>
        <w:rPr>
          <w:rFonts w:cs="宋体" w:asciiTheme="minorEastAsia" w:hAnsiTheme="minorEastAsia" w:eastAsiaTheme="minorEastAsia"/>
          <w:color w:val="auto"/>
          <w:kern w:val="0"/>
          <w:szCs w:val="21"/>
          <w:highlight w:val="none"/>
        </w:rPr>
        <w:t>CA</w:t>
      </w:r>
      <w:r>
        <w:rPr>
          <w:rFonts w:hint="eastAsia" w:cs="宋体" w:asciiTheme="minorEastAsia" w:hAnsiTheme="minorEastAsia" w:eastAsiaTheme="minorEastAsia"/>
          <w:color w:val="auto"/>
          <w:kern w:val="0"/>
          <w:szCs w:val="21"/>
          <w:highlight w:val="none"/>
        </w:rPr>
        <w:t>）对投标文件进行了数字证书（</w:t>
      </w:r>
      <w:r>
        <w:rPr>
          <w:rFonts w:cs="宋体" w:asciiTheme="minorEastAsia" w:hAnsiTheme="minorEastAsia" w:eastAsiaTheme="minorEastAsia"/>
          <w:color w:val="auto"/>
          <w:kern w:val="0"/>
          <w:szCs w:val="21"/>
          <w:highlight w:val="none"/>
        </w:rPr>
        <w:t>CA</w:t>
      </w:r>
      <w:r>
        <w:rPr>
          <w:rFonts w:hint="eastAsia" w:cs="宋体" w:asciiTheme="minorEastAsia" w:hAnsiTheme="minorEastAsia" w:eastAsiaTheme="minorEastAsia"/>
          <w:color w:val="auto"/>
          <w:kern w:val="0"/>
          <w:szCs w:val="21"/>
          <w:highlight w:val="none"/>
        </w:rPr>
        <w:t>）加密，需要在开标时使用该数字证书（</w:t>
      </w:r>
      <w:r>
        <w:rPr>
          <w:rFonts w:cs="宋体" w:asciiTheme="minorEastAsia" w:hAnsiTheme="minorEastAsia" w:eastAsiaTheme="minorEastAsia"/>
          <w:color w:val="auto"/>
          <w:kern w:val="0"/>
          <w:szCs w:val="21"/>
          <w:highlight w:val="none"/>
        </w:rPr>
        <w:t>CA</w:t>
      </w:r>
      <w:r>
        <w:rPr>
          <w:rFonts w:hint="eastAsia" w:cs="宋体" w:asciiTheme="minorEastAsia" w:hAnsiTheme="minorEastAsia" w:eastAsiaTheme="minorEastAsia"/>
          <w:color w:val="auto"/>
          <w:kern w:val="0"/>
          <w:szCs w:val="21"/>
          <w:highlight w:val="none"/>
        </w:rPr>
        <w:t>）进行解密，才能读取或导入投标文件，因供应商原因造成投标文件未解密的，视为撤回其投标文件。</w:t>
      </w:r>
    </w:p>
    <w:p w14:paraId="7EC0C1AA">
      <w:pPr>
        <w:autoSpaceDE w:val="0"/>
        <w:autoSpaceDN w:val="0"/>
        <w:adjustRightInd w:val="0"/>
        <w:spacing w:line="360" w:lineRule="auto"/>
        <w:ind w:firstLine="420" w:firstLineChars="2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.网上递交投标文件应根据采购文件要求，在投标截止时间前将电子投标文件通过政府采购云平台（网址:https://www.zcygov.cn/）上传至对应的项目，系统自动生成投标回执，以表明上传成功。</w:t>
      </w:r>
    </w:p>
    <w:p w14:paraId="43D2A499">
      <w:pPr>
        <w:wordWrap w:val="0"/>
        <w:autoSpaceDE w:val="0"/>
        <w:autoSpaceDN w:val="0"/>
        <w:adjustRightInd w:val="0"/>
        <w:spacing w:line="360" w:lineRule="auto"/>
        <w:ind w:firstLine="420" w:firstLineChars="2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4</w:t>
      </w:r>
      <w:r>
        <w:rPr>
          <w:rFonts w:hint="eastAsia" w:cs="宋体" w:asciiTheme="minorEastAsia" w:hAnsiTheme="minorEastAsia" w:eastAsiaTheme="minorEastAsia"/>
          <w:color w:val="auto"/>
          <w:kern w:val="0"/>
          <w:szCs w:val="21"/>
          <w:highlight w:val="none"/>
        </w:rPr>
        <w:t>.该投标文件制作要求如果与采购文件规定不一致，以此投标文件制作要求为准。“政采云投标客户端”及</w:t>
      </w:r>
      <w:r>
        <w:rPr>
          <w:rFonts w:cs="宋体" w:asciiTheme="minorEastAsia" w:hAnsiTheme="minorEastAsia" w:eastAsiaTheme="minorEastAsia"/>
          <w:color w:val="auto"/>
          <w:kern w:val="0"/>
          <w:szCs w:val="21"/>
          <w:highlight w:val="none"/>
        </w:rPr>
        <w:t xml:space="preserve">CA </w:t>
      </w:r>
      <w:r>
        <w:rPr>
          <w:rFonts w:hint="eastAsia" w:cs="宋体" w:asciiTheme="minorEastAsia" w:hAnsiTheme="minorEastAsia" w:eastAsiaTheme="minorEastAsia"/>
          <w:color w:val="auto"/>
          <w:kern w:val="0"/>
          <w:szCs w:val="21"/>
          <w:highlight w:val="none"/>
        </w:rPr>
        <w:t>驱动下载网址：</w:t>
      </w:r>
      <w:r>
        <w:rPr>
          <w:color w:val="auto"/>
          <w:highlight w:val="none"/>
        </w:rPr>
        <w:fldChar w:fldCharType="begin"/>
      </w:r>
      <w:r>
        <w:rPr>
          <w:color w:val="auto"/>
          <w:highlight w:val="none"/>
        </w:rPr>
        <w:instrText xml:space="preserve"> HYPERLINK "https://customer.zcygov.cn/CA-driver-download?utm=web-ca-front.3ddc8fbb.0.0.91c6cff0db1311ec8cfbc9f613d30204" </w:instrText>
      </w:r>
      <w:r>
        <w:rPr>
          <w:color w:val="auto"/>
          <w:highlight w:val="none"/>
        </w:rPr>
        <w:fldChar w:fldCharType="separate"/>
      </w:r>
      <w:r>
        <w:rPr>
          <w:rStyle w:val="60"/>
          <w:rFonts w:cs="宋体" w:asciiTheme="minorEastAsia" w:hAnsiTheme="minorEastAsia" w:eastAsiaTheme="minorEastAsia"/>
          <w:color w:val="auto"/>
          <w:kern w:val="0"/>
          <w:szCs w:val="21"/>
          <w:highlight w:val="none"/>
          <w:u w:val="none"/>
        </w:rPr>
        <w:t>https://customer.zcygov.cn/CA-driver-download?utm=web-ca-front.3ddc8fbb.0.0.91c6cff0db1311ec8cfbc9f613d30204</w:t>
      </w:r>
      <w:r>
        <w:rPr>
          <w:rStyle w:val="60"/>
          <w:rFonts w:cs="宋体" w:asciiTheme="minorEastAsia" w:hAnsiTheme="minorEastAsia" w:eastAsiaTheme="minorEastAsia"/>
          <w:color w:val="auto"/>
          <w:kern w:val="0"/>
          <w:szCs w:val="21"/>
          <w:highlight w:val="none"/>
          <w:u w:val="none"/>
        </w:rPr>
        <w:fldChar w:fldCharType="end"/>
      </w:r>
      <w:r>
        <w:rPr>
          <w:rFonts w:hint="eastAsia" w:cs="宋体" w:asciiTheme="minorEastAsia" w:hAnsiTheme="minorEastAsia" w:eastAsiaTheme="minorEastAsia"/>
          <w:color w:val="auto"/>
          <w:kern w:val="0"/>
          <w:szCs w:val="21"/>
          <w:highlight w:val="none"/>
        </w:rPr>
        <w:t>。</w:t>
      </w:r>
    </w:p>
    <w:p w14:paraId="03015595">
      <w:pPr>
        <w:widowControl/>
        <w:wordWrap w:val="0"/>
        <w:jc w:val="left"/>
        <w:rPr>
          <w:rFonts w:hint="eastAsia" w:asciiTheme="minorEastAsia" w:hAnsiTheme="minorEastAsia" w:eastAsiaTheme="minorEastAsia"/>
          <w:b/>
          <w:bCs/>
          <w:color w:val="auto"/>
          <w:sz w:val="32"/>
          <w:szCs w:val="32"/>
          <w:highlight w:val="none"/>
        </w:rPr>
      </w:pPr>
      <w:r>
        <w:rPr>
          <w:rFonts w:asciiTheme="minorEastAsia" w:hAnsiTheme="minorEastAsia" w:eastAsiaTheme="minorEastAsia"/>
          <w:b/>
          <w:bCs/>
          <w:color w:val="auto"/>
          <w:sz w:val="32"/>
          <w:szCs w:val="32"/>
          <w:highlight w:val="none"/>
        </w:rPr>
        <w:br w:type="page"/>
      </w:r>
      <w:bookmarkEnd w:id="1054"/>
      <w:bookmarkEnd w:id="1055"/>
      <w:bookmarkStart w:id="1058" w:name="_Hlk153669549"/>
    </w:p>
    <w:bookmarkEnd w:id="1056"/>
    <w:bookmarkEnd w:id="1057"/>
    <w:bookmarkEnd w:id="1058"/>
    <w:p w14:paraId="653CD9FE">
      <w:pPr>
        <w:spacing w:line="360" w:lineRule="auto"/>
        <w:jc w:val="center"/>
        <w:outlineLvl w:val="0"/>
        <w:rPr>
          <w:rFonts w:hint="eastAsia" w:asciiTheme="minorEastAsia" w:hAnsiTheme="minorEastAsia" w:eastAsiaTheme="minorEastAsia"/>
          <w:b/>
          <w:bCs/>
          <w:color w:val="auto"/>
          <w:sz w:val="32"/>
          <w:szCs w:val="32"/>
          <w:highlight w:val="none"/>
        </w:rPr>
      </w:pPr>
      <w:bookmarkStart w:id="1059" w:name="_Toc27840"/>
      <w:bookmarkStart w:id="1060" w:name="_Toc19557"/>
      <w:bookmarkStart w:id="1061" w:name="_Toc132362637"/>
      <w:bookmarkStart w:id="1062" w:name="_Toc153670633"/>
      <w:bookmarkStart w:id="1063" w:name="_Hlk106380765"/>
      <w:bookmarkStart w:id="1064" w:name="_Toc30390"/>
      <w:bookmarkStart w:id="1065" w:name="_Toc29357077"/>
      <w:r>
        <w:rPr>
          <w:rFonts w:hint="eastAsia" w:asciiTheme="minorEastAsia" w:hAnsiTheme="minorEastAsia" w:eastAsiaTheme="minorEastAsia"/>
          <w:b/>
          <w:bCs/>
          <w:color w:val="auto"/>
          <w:sz w:val="32"/>
          <w:szCs w:val="32"/>
          <w:highlight w:val="none"/>
        </w:rPr>
        <w:t>第三章 合同</w:t>
      </w:r>
      <w:bookmarkStart w:id="1066" w:name="_Toc229583213"/>
      <w:r>
        <w:rPr>
          <w:rFonts w:hint="eastAsia" w:asciiTheme="minorEastAsia" w:hAnsiTheme="minorEastAsia" w:eastAsiaTheme="minorEastAsia"/>
          <w:b/>
          <w:bCs/>
          <w:color w:val="auto"/>
          <w:sz w:val="32"/>
          <w:szCs w:val="32"/>
          <w:highlight w:val="none"/>
        </w:rPr>
        <w:t>条款及格式</w:t>
      </w:r>
      <w:bookmarkEnd w:id="1059"/>
      <w:bookmarkEnd w:id="1060"/>
      <w:bookmarkEnd w:id="1061"/>
      <w:bookmarkEnd w:id="1062"/>
      <w:bookmarkEnd w:id="1066"/>
    </w:p>
    <w:p w14:paraId="28260637">
      <w:pPr>
        <w:spacing w:after="120" w:afterLines="50" w:line="360" w:lineRule="auto"/>
        <w:jc w:val="center"/>
        <w:rPr>
          <w:color w:val="auto"/>
          <w:sz w:val="24"/>
          <w:szCs w:val="24"/>
          <w:highlight w:val="none"/>
        </w:rPr>
      </w:pPr>
      <w:r>
        <w:rPr>
          <w:color w:val="auto"/>
          <w:sz w:val="24"/>
          <w:szCs w:val="24"/>
          <w:highlight w:val="none"/>
        </w:rPr>
        <w:t>合同条款及格式</w:t>
      </w:r>
      <w:r>
        <w:rPr>
          <w:rFonts w:hint="eastAsia"/>
          <w:color w:val="auto"/>
          <w:sz w:val="24"/>
          <w:szCs w:val="24"/>
          <w:highlight w:val="none"/>
        </w:rPr>
        <w:t>前附表</w:t>
      </w:r>
    </w:p>
    <w:tbl>
      <w:tblPr>
        <w:tblStyle w:val="5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84"/>
        <w:gridCol w:w="7155"/>
      </w:tblGrid>
      <w:tr w14:paraId="2094A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4" w:type="dxa"/>
            <w:vAlign w:val="center"/>
          </w:tcPr>
          <w:p w14:paraId="5229D30E">
            <w:pPr>
              <w:widowControl/>
              <w:spacing w:before="120" w:beforeLines="5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采购内容</w:t>
            </w:r>
          </w:p>
        </w:tc>
        <w:tc>
          <w:tcPr>
            <w:tcW w:w="7155" w:type="dxa"/>
          </w:tcPr>
          <w:p w14:paraId="64BA7F82">
            <w:pPr>
              <w:widowControl/>
              <w:spacing w:before="120" w:beforeLines="50" w:line="360" w:lineRule="auto"/>
              <w:jc w:val="left"/>
              <w:rPr>
                <w:rFonts w:hint="eastAsia" w:ascii="宋体" w:hAnsi="宋体" w:cs="宋体"/>
                <w:color w:val="auto"/>
                <w:kern w:val="0"/>
                <w:szCs w:val="21"/>
                <w:highlight w:val="none"/>
              </w:rPr>
            </w:pPr>
            <w:r>
              <w:rPr>
                <w:rFonts w:hint="eastAsia"/>
                <w:color w:val="auto"/>
                <w:szCs w:val="21"/>
                <w:highlight w:val="none"/>
                <w:lang w:val="en-US" w:eastAsia="zh-CN"/>
              </w:rPr>
              <w:t>宜良县中医医院保安、保洁服务</w:t>
            </w:r>
            <w:r>
              <w:rPr>
                <w:rFonts w:hint="eastAsia"/>
                <w:color w:val="auto"/>
                <w:szCs w:val="21"/>
                <w:highlight w:val="none"/>
              </w:rPr>
              <w:t>。</w:t>
            </w:r>
          </w:p>
        </w:tc>
      </w:tr>
      <w:tr w14:paraId="183AE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4" w:type="dxa"/>
            <w:vAlign w:val="center"/>
          </w:tcPr>
          <w:p w14:paraId="237781FD">
            <w:pPr>
              <w:widowControl/>
              <w:spacing w:before="120" w:beforeLines="5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服务质量</w:t>
            </w:r>
          </w:p>
        </w:tc>
        <w:tc>
          <w:tcPr>
            <w:tcW w:w="7155" w:type="dxa"/>
            <w:vAlign w:val="center"/>
          </w:tcPr>
          <w:p w14:paraId="221406E0">
            <w:pPr>
              <w:widowControl/>
              <w:spacing w:before="120" w:beforeLines="50" w:after="120" w:afterLines="50"/>
              <w:jc w:val="left"/>
              <w:rPr>
                <w:rFonts w:hint="eastAsia" w:ascii="宋体" w:hAnsi="宋体" w:cs="宋体"/>
                <w:color w:val="auto"/>
                <w:kern w:val="0"/>
                <w:szCs w:val="21"/>
                <w:highlight w:val="none"/>
              </w:rPr>
            </w:pPr>
            <w:r>
              <w:rPr>
                <w:rFonts w:hint="eastAsia" w:ascii="宋体" w:hAnsi="宋体"/>
                <w:color w:val="auto"/>
                <w:szCs w:val="21"/>
                <w:highlight w:val="none"/>
              </w:rPr>
              <w:t>符合国家、省、市以及行业的相关要求，并且满足甲方的需求。</w:t>
            </w:r>
          </w:p>
        </w:tc>
      </w:tr>
      <w:tr w14:paraId="1E456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4" w:type="dxa"/>
            <w:vAlign w:val="center"/>
          </w:tcPr>
          <w:p w14:paraId="0F17CE7F">
            <w:pPr>
              <w:widowControl/>
              <w:spacing w:before="120" w:beforeLines="5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规模</w:t>
            </w:r>
          </w:p>
        </w:tc>
        <w:tc>
          <w:tcPr>
            <w:tcW w:w="7155" w:type="dxa"/>
          </w:tcPr>
          <w:p w14:paraId="3304E710">
            <w:pPr>
              <w:widowControl/>
              <w:spacing w:before="120" w:beforeLines="50" w:after="120" w:afterLines="50" w:line="360" w:lineRule="auto"/>
              <w:jc w:val="center"/>
              <w:rPr>
                <w:rFonts w:hint="eastAsia" w:ascii="宋体" w:hAnsi="宋体" w:cs="宋体"/>
                <w:color w:val="auto"/>
                <w:kern w:val="0"/>
                <w:szCs w:val="21"/>
                <w:highlight w:val="none"/>
              </w:rPr>
            </w:pPr>
          </w:p>
        </w:tc>
      </w:tr>
      <w:tr w14:paraId="764E9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884" w:type="dxa"/>
            <w:vAlign w:val="center"/>
          </w:tcPr>
          <w:p w14:paraId="010BC6BA">
            <w:pPr>
              <w:widowControl/>
              <w:spacing w:before="120" w:beforeLines="5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履行期限</w:t>
            </w:r>
          </w:p>
        </w:tc>
        <w:tc>
          <w:tcPr>
            <w:tcW w:w="7155" w:type="dxa"/>
            <w:vAlign w:val="center"/>
          </w:tcPr>
          <w:p w14:paraId="47FF772C">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8" w:afterAutospacing="0" w:line="560" w:lineRule="exact"/>
              <w:ind w:right="0"/>
              <w:jc w:val="left"/>
              <w:textAlignment w:val="auto"/>
              <w:rPr>
                <w:rFonts w:hint="eastAsia" w:ascii="宋体" w:hAnsi="宋体" w:cs="宋体"/>
                <w:color w:val="auto"/>
                <w:kern w:val="0"/>
                <w:szCs w:val="21"/>
                <w:highlight w:val="none"/>
              </w:rPr>
            </w:pPr>
            <w:r>
              <w:rPr>
                <w:rFonts w:hint="eastAsia" w:ascii="宋体" w:hAnsi="宋体" w:eastAsia="宋体" w:cs="宋体"/>
                <w:color w:val="auto"/>
                <w:kern w:val="0"/>
                <w:szCs w:val="21"/>
                <w:highlight w:val="none"/>
                <w:lang w:val="en-US" w:eastAsia="zh-CN"/>
              </w:rPr>
              <w:t>预招3年，合同一年一签（按年进行考核，考核合格后提出申请进行续签,考核内容由院方制定）</w:t>
            </w:r>
            <w:r>
              <w:rPr>
                <w:rFonts w:hint="eastAsia" w:ascii="宋体" w:hAnsi="宋体" w:eastAsia="宋体" w:cs="宋体"/>
                <w:color w:val="auto"/>
                <w:kern w:val="0"/>
                <w:szCs w:val="21"/>
                <w:highlight w:val="none"/>
              </w:rPr>
              <w:t>。</w:t>
            </w:r>
          </w:p>
        </w:tc>
      </w:tr>
      <w:tr w14:paraId="67305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4" w:type="dxa"/>
            <w:vAlign w:val="center"/>
          </w:tcPr>
          <w:p w14:paraId="41112493">
            <w:pPr>
              <w:widowControl/>
              <w:spacing w:before="120" w:beforeLines="5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服务地点</w:t>
            </w:r>
          </w:p>
        </w:tc>
        <w:tc>
          <w:tcPr>
            <w:tcW w:w="7155" w:type="dxa"/>
          </w:tcPr>
          <w:p w14:paraId="61C775B0">
            <w:pPr>
              <w:widowControl/>
              <w:spacing w:before="120" w:beforeLines="50"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宜良县中医医院</w:t>
            </w:r>
            <w:r>
              <w:rPr>
                <w:rFonts w:hint="eastAsia" w:ascii="宋体" w:hAnsi="宋体" w:cs="宋体"/>
                <w:color w:val="auto"/>
                <w:kern w:val="0"/>
                <w:szCs w:val="21"/>
                <w:highlight w:val="none"/>
              </w:rPr>
              <w:t>。</w:t>
            </w:r>
          </w:p>
        </w:tc>
      </w:tr>
      <w:tr w14:paraId="43E2B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4" w:type="dxa"/>
            <w:vAlign w:val="center"/>
          </w:tcPr>
          <w:p w14:paraId="3937D88D">
            <w:pPr>
              <w:widowControl/>
              <w:spacing w:before="120" w:beforeLines="5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服务方式</w:t>
            </w:r>
          </w:p>
        </w:tc>
        <w:tc>
          <w:tcPr>
            <w:tcW w:w="7155" w:type="dxa"/>
          </w:tcPr>
          <w:p w14:paraId="63DEEC06">
            <w:pPr>
              <w:widowControl/>
              <w:spacing w:before="120" w:beforeLines="50" w:after="120" w:afterLines="50" w:line="360" w:lineRule="auto"/>
              <w:jc w:val="center"/>
              <w:rPr>
                <w:rFonts w:hint="eastAsia" w:ascii="宋体" w:hAnsi="宋体" w:cs="宋体"/>
                <w:color w:val="auto"/>
                <w:kern w:val="0"/>
                <w:szCs w:val="21"/>
                <w:highlight w:val="none"/>
              </w:rPr>
            </w:pPr>
          </w:p>
        </w:tc>
      </w:tr>
      <w:tr w14:paraId="7A5C1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4" w:type="dxa"/>
            <w:vAlign w:val="center"/>
          </w:tcPr>
          <w:p w14:paraId="4472623A">
            <w:pPr>
              <w:widowControl/>
              <w:spacing w:before="120" w:beforeLines="5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合同金额</w:t>
            </w:r>
          </w:p>
        </w:tc>
        <w:tc>
          <w:tcPr>
            <w:tcW w:w="7155" w:type="dxa"/>
          </w:tcPr>
          <w:p w14:paraId="56399C40">
            <w:pPr>
              <w:widowControl/>
              <w:spacing w:before="120" w:beforeLines="50" w:after="120" w:afterLines="50" w:line="360" w:lineRule="auto"/>
              <w:jc w:val="center"/>
              <w:rPr>
                <w:rFonts w:hint="eastAsia" w:ascii="宋体" w:hAnsi="宋体" w:cs="宋体"/>
                <w:color w:val="auto"/>
                <w:kern w:val="0"/>
                <w:szCs w:val="21"/>
                <w:highlight w:val="none"/>
              </w:rPr>
            </w:pPr>
          </w:p>
        </w:tc>
      </w:tr>
      <w:tr w14:paraId="19369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4" w:type="dxa"/>
            <w:vAlign w:val="center"/>
          </w:tcPr>
          <w:p w14:paraId="5161E510">
            <w:pPr>
              <w:widowControl/>
              <w:spacing w:before="120" w:beforeLines="5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付款进度</w:t>
            </w:r>
          </w:p>
        </w:tc>
        <w:tc>
          <w:tcPr>
            <w:tcW w:w="7155" w:type="dxa"/>
          </w:tcPr>
          <w:p w14:paraId="59FAB0A6">
            <w:pPr>
              <w:widowControl/>
              <w:spacing w:before="120" w:beforeLines="50" w:after="120" w:afterLines="50" w:line="360" w:lineRule="auto"/>
              <w:jc w:val="center"/>
              <w:rPr>
                <w:rFonts w:hint="eastAsia" w:ascii="宋体" w:hAnsi="宋体" w:cs="宋体"/>
                <w:color w:val="auto"/>
                <w:kern w:val="0"/>
                <w:szCs w:val="21"/>
                <w:highlight w:val="none"/>
              </w:rPr>
            </w:pPr>
          </w:p>
        </w:tc>
      </w:tr>
      <w:tr w14:paraId="1917E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4" w:type="dxa"/>
            <w:vAlign w:val="center"/>
          </w:tcPr>
          <w:p w14:paraId="49B53D4A">
            <w:pPr>
              <w:widowControl/>
              <w:spacing w:before="120" w:beforeLines="5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资金支付方式</w:t>
            </w:r>
          </w:p>
        </w:tc>
        <w:tc>
          <w:tcPr>
            <w:tcW w:w="7155" w:type="dxa"/>
          </w:tcPr>
          <w:p w14:paraId="7BCB3536">
            <w:pPr>
              <w:widowControl/>
              <w:spacing w:before="120" w:beforeLines="50" w:after="120" w:afterLines="50" w:line="360" w:lineRule="auto"/>
              <w:jc w:val="center"/>
              <w:rPr>
                <w:rFonts w:hint="eastAsia" w:ascii="宋体" w:hAnsi="宋体" w:cs="宋体"/>
                <w:color w:val="auto"/>
                <w:kern w:val="0"/>
                <w:szCs w:val="21"/>
                <w:highlight w:val="none"/>
              </w:rPr>
            </w:pPr>
          </w:p>
        </w:tc>
      </w:tr>
      <w:tr w14:paraId="25684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84" w:type="dxa"/>
            <w:vAlign w:val="center"/>
          </w:tcPr>
          <w:p w14:paraId="1AABBF90">
            <w:pPr>
              <w:widowControl/>
              <w:spacing w:before="120" w:beforeLines="50"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验收标准</w:t>
            </w:r>
          </w:p>
        </w:tc>
        <w:tc>
          <w:tcPr>
            <w:tcW w:w="7155" w:type="dxa"/>
            <w:vAlign w:val="center"/>
          </w:tcPr>
          <w:p w14:paraId="4740CBD8">
            <w:pPr>
              <w:widowControl/>
              <w:shd w:val="clear" w:color="auto" w:fill="FFFFFF"/>
              <w:spacing w:after="128" w:line="420" w:lineRule="atLeast"/>
              <w:jc w:val="left"/>
              <w:rPr>
                <w:rFonts w:hint="eastAsia" w:ascii="宋体" w:hAnsi="宋体" w:cs="宋体"/>
                <w:color w:val="auto"/>
                <w:kern w:val="0"/>
                <w:sz w:val="24"/>
                <w:szCs w:val="24"/>
                <w:highlight w:val="none"/>
              </w:rPr>
            </w:pPr>
            <w:r>
              <w:rPr>
                <w:rFonts w:hint="eastAsia" w:ascii="宋体" w:hAnsi="宋体" w:cs="宋体"/>
                <w:color w:val="auto"/>
                <w:kern w:val="0"/>
                <w:szCs w:val="21"/>
                <w:highlight w:val="none"/>
                <w:shd w:val="clear" w:color="auto" w:fill="FFFFFF"/>
                <w:lang w:bidi="ar"/>
              </w:rPr>
              <w:t>按照国家、省、市相关法律、法规规定以及甲方的要求进行验收。</w:t>
            </w:r>
          </w:p>
        </w:tc>
      </w:tr>
    </w:tbl>
    <w:p w14:paraId="498A2C81">
      <w:pPr>
        <w:widowControl/>
        <w:spacing w:before="120" w:beforeLines="50" w:after="120" w:afterLines="50" w:line="360" w:lineRule="auto"/>
        <w:jc w:val="center"/>
        <w:rPr>
          <w:rFonts w:hint="eastAsia" w:ascii="宋体" w:hAnsi="宋体" w:cs="宋体"/>
          <w:color w:val="auto"/>
          <w:kern w:val="0"/>
          <w:sz w:val="24"/>
          <w:szCs w:val="24"/>
          <w:highlight w:val="none"/>
        </w:rPr>
      </w:pPr>
    </w:p>
    <w:p w14:paraId="1C1E7A62">
      <w:pPr>
        <w:widowControl/>
        <w:jc w:val="left"/>
        <w:rPr>
          <w:rFonts w:hint="eastAsia" w:ascii="宋体" w:hAnsi="宋体" w:cs="宋体"/>
          <w:color w:val="auto"/>
          <w:kern w:val="0"/>
          <w:sz w:val="24"/>
          <w:szCs w:val="24"/>
          <w:highlight w:val="none"/>
        </w:rPr>
      </w:pPr>
      <w:r>
        <w:rPr>
          <w:rFonts w:ascii="宋体" w:hAnsi="宋体" w:cs="宋体"/>
          <w:color w:val="auto"/>
          <w:kern w:val="0"/>
          <w:sz w:val="24"/>
          <w:szCs w:val="24"/>
          <w:highlight w:val="none"/>
        </w:rPr>
        <w:br w:type="page"/>
      </w:r>
    </w:p>
    <w:p w14:paraId="32417DFA">
      <w:pPr>
        <w:snapToGrid w:val="0"/>
        <w:jc w:val="center"/>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（仅供参考，具体内容由成交供应商与采购人在合同签订时根据采购文件与响应文件内容商定）</w:t>
      </w:r>
    </w:p>
    <w:p w14:paraId="02E5A1A4">
      <w:pPr>
        <w:ind w:right="1470"/>
        <w:jc w:val="center"/>
        <w:rPr>
          <w:b/>
          <w:bCs/>
          <w:color w:val="auto"/>
          <w:sz w:val="48"/>
          <w:szCs w:val="56"/>
          <w:highlight w:val="none"/>
        </w:rPr>
      </w:pPr>
    </w:p>
    <w:p w14:paraId="2102AA57">
      <w:pPr>
        <w:ind w:right="1470"/>
        <w:jc w:val="center"/>
        <w:rPr>
          <w:b/>
          <w:bCs/>
          <w:color w:val="auto"/>
          <w:sz w:val="48"/>
          <w:szCs w:val="56"/>
          <w:highlight w:val="none"/>
        </w:rPr>
      </w:pPr>
    </w:p>
    <w:p w14:paraId="61D76AE9">
      <w:pPr>
        <w:ind w:right="1470"/>
        <w:jc w:val="center"/>
        <w:rPr>
          <w:b/>
          <w:bCs/>
          <w:color w:val="auto"/>
          <w:sz w:val="48"/>
          <w:szCs w:val="56"/>
          <w:highlight w:val="none"/>
        </w:rPr>
      </w:pPr>
    </w:p>
    <w:p w14:paraId="224374F6">
      <w:pPr>
        <w:ind w:right="1470"/>
        <w:jc w:val="center"/>
        <w:rPr>
          <w:b/>
          <w:bCs/>
          <w:color w:val="auto"/>
          <w:sz w:val="48"/>
          <w:szCs w:val="56"/>
          <w:highlight w:val="none"/>
        </w:rPr>
      </w:pPr>
    </w:p>
    <w:p w14:paraId="3B657404">
      <w:pPr>
        <w:ind w:right="1470"/>
        <w:jc w:val="center"/>
        <w:rPr>
          <w:b/>
          <w:bCs/>
          <w:color w:val="auto"/>
          <w:sz w:val="48"/>
          <w:szCs w:val="56"/>
          <w:highlight w:val="none"/>
        </w:rPr>
      </w:pPr>
    </w:p>
    <w:p w14:paraId="01286324">
      <w:pPr>
        <w:ind w:right="1470"/>
        <w:jc w:val="center"/>
        <w:rPr>
          <w:b/>
          <w:bCs/>
          <w:color w:val="auto"/>
          <w:sz w:val="48"/>
          <w:szCs w:val="56"/>
          <w:highlight w:val="none"/>
        </w:rPr>
      </w:pPr>
    </w:p>
    <w:p w14:paraId="36B2B087">
      <w:pPr>
        <w:ind w:right="1470"/>
        <w:jc w:val="center"/>
        <w:rPr>
          <w:b/>
          <w:bCs/>
          <w:color w:val="auto"/>
          <w:sz w:val="48"/>
          <w:szCs w:val="56"/>
          <w:highlight w:val="none"/>
        </w:rPr>
      </w:pPr>
    </w:p>
    <w:p w14:paraId="619FD494">
      <w:pPr>
        <w:ind w:right="1470"/>
        <w:jc w:val="center"/>
        <w:rPr>
          <w:b/>
          <w:bCs/>
          <w:color w:val="auto"/>
          <w:sz w:val="48"/>
          <w:szCs w:val="56"/>
          <w:highlight w:val="none"/>
        </w:rPr>
      </w:pPr>
    </w:p>
    <w:p w14:paraId="37005A5E">
      <w:pPr>
        <w:jc w:val="center"/>
        <w:rPr>
          <w:b/>
          <w:bCs/>
          <w:color w:val="auto"/>
          <w:sz w:val="48"/>
          <w:szCs w:val="56"/>
          <w:highlight w:val="none"/>
        </w:rPr>
      </w:pPr>
      <w:r>
        <w:rPr>
          <w:b/>
          <w:bCs/>
          <w:color w:val="auto"/>
          <w:sz w:val="48"/>
          <w:szCs w:val="56"/>
          <w:highlight w:val="none"/>
        </w:rPr>
        <w:t>政府采购合同</w:t>
      </w:r>
    </w:p>
    <w:p w14:paraId="77D93A41">
      <w:pPr>
        <w:pStyle w:val="21"/>
        <w:rPr>
          <w:rFonts w:ascii="Times New Roman" w:hAnsi="Times New Roman"/>
          <w:color w:val="auto"/>
          <w:highlight w:val="none"/>
        </w:rPr>
      </w:pPr>
    </w:p>
    <w:p w14:paraId="59F5406F">
      <w:pPr>
        <w:spacing w:line="600" w:lineRule="auto"/>
        <w:ind w:right="1470" w:firstLine="1273" w:firstLineChars="398"/>
        <w:rPr>
          <w:color w:val="auto"/>
          <w:sz w:val="32"/>
          <w:szCs w:val="40"/>
          <w:highlight w:val="none"/>
        </w:rPr>
      </w:pPr>
    </w:p>
    <w:p w14:paraId="493E2DFA">
      <w:pPr>
        <w:spacing w:line="600" w:lineRule="auto"/>
        <w:ind w:right="1470" w:firstLine="1273" w:firstLineChars="398"/>
        <w:rPr>
          <w:color w:val="auto"/>
          <w:sz w:val="32"/>
          <w:szCs w:val="40"/>
          <w:highlight w:val="none"/>
        </w:rPr>
      </w:pPr>
    </w:p>
    <w:p w14:paraId="5F5AB694">
      <w:pPr>
        <w:spacing w:line="600" w:lineRule="auto"/>
        <w:ind w:right="1470" w:firstLine="1273" w:firstLineChars="398"/>
        <w:rPr>
          <w:color w:val="auto"/>
          <w:sz w:val="32"/>
          <w:szCs w:val="40"/>
          <w:highlight w:val="none"/>
        </w:rPr>
      </w:pPr>
    </w:p>
    <w:p w14:paraId="1490FC19">
      <w:pPr>
        <w:spacing w:line="600" w:lineRule="auto"/>
        <w:ind w:right="1470" w:firstLine="1273" w:firstLineChars="398"/>
        <w:rPr>
          <w:color w:val="auto"/>
          <w:sz w:val="32"/>
          <w:szCs w:val="40"/>
          <w:highlight w:val="none"/>
        </w:rPr>
      </w:pPr>
    </w:p>
    <w:p w14:paraId="63DDF8B3">
      <w:pPr>
        <w:spacing w:line="600" w:lineRule="auto"/>
        <w:ind w:right="1470"/>
        <w:rPr>
          <w:color w:val="auto"/>
          <w:sz w:val="32"/>
          <w:szCs w:val="40"/>
          <w:highlight w:val="none"/>
        </w:rPr>
      </w:pPr>
    </w:p>
    <w:p w14:paraId="484AAD59">
      <w:pPr>
        <w:spacing w:line="360" w:lineRule="auto"/>
        <w:ind w:right="1469" w:firstLine="1593" w:firstLineChars="498"/>
        <w:rPr>
          <w:color w:val="auto"/>
          <w:sz w:val="32"/>
          <w:szCs w:val="40"/>
          <w:highlight w:val="none"/>
          <w:u w:val="single"/>
        </w:rPr>
      </w:pPr>
      <w:r>
        <w:rPr>
          <w:color w:val="auto"/>
          <w:sz w:val="32"/>
          <w:szCs w:val="40"/>
          <w:highlight w:val="none"/>
        </w:rPr>
        <w:t>项目名称：</w:t>
      </w:r>
      <w:r>
        <w:rPr>
          <w:rFonts w:hint="eastAsia"/>
          <w:color w:val="auto"/>
          <w:sz w:val="32"/>
          <w:szCs w:val="40"/>
          <w:highlight w:val="none"/>
          <w:u w:val="single"/>
        </w:rPr>
        <w:t xml:space="preserve">                           </w:t>
      </w:r>
    </w:p>
    <w:p w14:paraId="33F015CC">
      <w:pPr>
        <w:spacing w:line="360" w:lineRule="auto"/>
        <w:ind w:right="1469" w:firstLine="1593" w:firstLineChars="498"/>
        <w:rPr>
          <w:b/>
          <w:bCs/>
          <w:color w:val="auto"/>
          <w:sz w:val="32"/>
          <w:szCs w:val="40"/>
          <w:highlight w:val="none"/>
        </w:rPr>
      </w:pPr>
      <w:r>
        <w:rPr>
          <w:color w:val="auto"/>
          <w:sz w:val="32"/>
          <w:szCs w:val="40"/>
          <w:highlight w:val="none"/>
        </w:rPr>
        <w:t>合同编号（系统编号）：</w:t>
      </w:r>
      <w:r>
        <w:rPr>
          <w:rFonts w:hint="eastAsia"/>
          <w:color w:val="auto"/>
          <w:sz w:val="32"/>
          <w:szCs w:val="40"/>
          <w:highlight w:val="none"/>
          <w:u w:val="single"/>
        </w:rPr>
        <w:t xml:space="preserve">               </w:t>
      </w:r>
    </w:p>
    <w:p w14:paraId="77682761">
      <w:pPr>
        <w:spacing w:line="360" w:lineRule="auto"/>
        <w:ind w:right="1469" w:firstLine="1593" w:firstLineChars="498"/>
        <w:rPr>
          <w:color w:val="auto"/>
          <w:sz w:val="32"/>
          <w:szCs w:val="40"/>
          <w:highlight w:val="none"/>
        </w:rPr>
      </w:pPr>
      <w:r>
        <w:rPr>
          <w:color w:val="auto"/>
          <w:sz w:val="32"/>
          <w:szCs w:val="40"/>
          <w:highlight w:val="none"/>
        </w:rPr>
        <w:t>（自编号：如有）</w:t>
      </w:r>
      <w:r>
        <w:rPr>
          <w:rFonts w:hint="eastAsia"/>
          <w:color w:val="auto"/>
          <w:sz w:val="32"/>
          <w:szCs w:val="40"/>
          <w:highlight w:val="none"/>
          <w:u w:val="single"/>
        </w:rPr>
        <w:t xml:space="preserve">                     </w:t>
      </w:r>
    </w:p>
    <w:p w14:paraId="307D00DF">
      <w:pPr>
        <w:spacing w:line="360" w:lineRule="auto"/>
        <w:ind w:right="1469" w:firstLine="1593" w:firstLineChars="498"/>
        <w:rPr>
          <w:color w:val="auto"/>
          <w:sz w:val="32"/>
          <w:szCs w:val="40"/>
          <w:highlight w:val="none"/>
        </w:rPr>
      </w:pPr>
      <w:r>
        <w:rPr>
          <w:color w:val="auto"/>
          <w:sz w:val="32"/>
          <w:szCs w:val="40"/>
          <w:highlight w:val="none"/>
        </w:rPr>
        <w:t>甲方：</w:t>
      </w:r>
      <w:r>
        <w:rPr>
          <w:rFonts w:hint="eastAsia"/>
          <w:color w:val="auto"/>
          <w:sz w:val="32"/>
          <w:szCs w:val="40"/>
          <w:highlight w:val="none"/>
          <w:u w:val="single"/>
        </w:rPr>
        <w:t xml:space="preserve">                               </w:t>
      </w:r>
    </w:p>
    <w:p w14:paraId="068346F9">
      <w:pPr>
        <w:spacing w:line="360" w:lineRule="auto"/>
        <w:ind w:right="1469" w:firstLine="1593" w:firstLineChars="498"/>
        <w:rPr>
          <w:rFonts w:hint="eastAsia" w:ascii="宋体" w:hAnsi="宋体"/>
          <w:color w:val="auto"/>
          <w:sz w:val="36"/>
          <w:highlight w:val="none"/>
        </w:rPr>
      </w:pPr>
      <w:r>
        <w:rPr>
          <w:color w:val="auto"/>
          <w:sz w:val="32"/>
          <w:szCs w:val="40"/>
          <w:highlight w:val="none"/>
        </w:rPr>
        <w:t>乙方：</w:t>
      </w:r>
      <w:r>
        <w:rPr>
          <w:rFonts w:hint="eastAsia"/>
          <w:color w:val="auto"/>
          <w:sz w:val="32"/>
          <w:szCs w:val="40"/>
          <w:highlight w:val="none"/>
          <w:u w:val="single"/>
        </w:rPr>
        <w:t xml:space="preserve">                               </w:t>
      </w:r>
    </w:p>
    <w:p w14:paraId="2C7B4066">
      <w:pPr>
        <w:jc w:val="center"/>
        <w:rPr>
          <w:rFonts w:hint="eastAsia" w:ascii="宋体" w:hAnsi="宋体" w:cs="宋体"/>
          <w:b/>
          <w:color w:val="auto"/>
          <w:sz w:val="32"/>
          <w:szCs w:val="32"/>
          <w:highlight w:val="none"/>
        </w:rPr>
      </w:pPr>
      <w:r>
        <w:rPr>
          <w:rFonts w:ascii="宋体" w:hAnsi="宋体"/>
          <w:color w:val="auto"/>
          <w:highlight w:val="none"/>
        </w:rPr>
        <w:br w:type="page"/>
      </w:r>
      <w:r>
        <w:rPr>
          <w:rFonts w:hint="eastAsia" w:ascii="宋体" w:hAnsi="宋体" w:cs="宋体"/>
          <w:b/>
          <w:color w:val="auto"/>
          <w:sz w:val="32"/>
          <w:szCs w:val="32"/>
          <w:highlight w:val="none"/>
          <w:lang w:val="en-US" w:eastAsia="zh-CN"/>
        </w:rPr>
        <w:t>宜良县中医医院保安、保洁服务项目</w:t>
      </w:r>
      <w:r>
        <w:rPr>
          <w:rFonts w:hint="eastAsia" w:ascii="宋体" w:hAnsi="宋体" w:cs="宋体"/>
          <w:b/>
          <w:color w:val="auto"/>
          <w:sz w:val="32"/>
          <w:szCs w:val="32"/>
          <w:highlight w:val="none"/>
        </w:rPr>
        <w:t>采购合同</w:t>
      </w:r>
    </w:p>
    <w:p w14:paraId="0F624C1E">
      <w:pPr>
        <w:snapToGrid w:val="0"/>
        <w:spacing w:line="360" w:lineRule="auto"/>
        <w:ind w:firstLine="422" w:firstLineChars="200"/>
        <w:rPr>
          <w:rFonts w:hint="eastAsia" w:ascii="宋体" w:hAnsi="宋体" w:cs="宋体"/>
          <w:b/>
          <w:color w:val="auto"/>
          <w:szCs w:val="24"/>
          <w:highlight w:val="none"/>
        </w:rPr>
      </w:pPr>
    </w:p>
    <w:p w14:paraId="1DF717F6">
      <w:pPr>
        <w:snapToGrid w:val="0"/>
        <w:spacing w:line="360" w:lineRule="auto"/>
        <w:rPr>
          <w:rFonts w:ascii="宋体" w:hAnsi="宋体" w:cs="宋体"/>
          <w:b/>
          <w:color w:val="auto"/>
          <w:szCs w:val="24"/>
          <w:highlight w:val="none"/>
          <w:u w:val="single"/>
        </w:rPr>
      </w:pPr>
      <w:r>
        <w:rPr>
          <w:rFonts w:hint="eastAsia" w:ascii="宋体" w:hAnsi="宋体" w:cs="宋体"/>
          <w:b/>
          <w:color w:val="auto"/>
          <w:szCs w:val="24"/>
          <w:highlight w:val="none"/>
        </w:rPr>
        <w:t>甲方：</w:t>
      </w:r>
      <w:r>
        <w:rPr>
          <w:rFonts w:hint="eastAsia" w:ascii="宋体" w:hAnsi="宋体" w:cs="宋体"/>
          <w:b/>
          <w:color w:val="auto"/>
          <w:szCs w:val="24"/>
          <w:highlight w:val="none"/>
          <w:u w:val="single"/>
        </w:rPr>
        <w:t xml:space="preserve"> </w:t>
      </w:r>
      <w:r>
        <w:rPr>
          <w:rFonts w:ascii="宋体" w:hAnsi="宋体" w:cs="宋体"/>
          <w:b/>
          <w:color w:val="auto"/>
          <w:szCs w:val="24"/>
          <w:highlight w:val="none"/>
          <w:u w:val="single"/>
        </w:rPr>
        <w:t xml:space="preserve">                   </w:t>
      </w:r>
    </w:p>
    <w:p w14:paraId="5B5484E9">
      <w:pPr>
        <w:snapToGrid w:val="0"/>
        <w:spacing w:line="360" w:lineRule="auto"/>
        <w:rPr>
          <w:rFonts w:hint="eastAsia" w:ascii="宋体" w:hAnsi="宋体" w:cs="宋体"/>
          <w:b/>
          <w:color w:val="auto"/>
          <w:szCs w:val="24"/>
          <w:highlight w:val="none"/>
        </w:rPr>
      </w:pPr>
      <w:r>
        <w:rPr>
          <w:rFonts w:hint="eastAsia" w:ascii="宋体" w:hAnsi="宋体" w:cs="宋体"/>
          <w:b/>
          <w:color w:val="auto"/>
          <w:szCs w:val="24"/>
          <w:highlight w:val="none"/>
        </w:rPr>
        <w:t>乙方：</w:t>
      </w:r>
      <w:r>
        <w:rPr>
          <w:rFonts w:hint="eastAsia" w:ascii="宋体" w:hAnsi="宋体" w:cs="宋体"/>
          <w:b/>
          <w:color w:val="auto"/>
          <w:szCs w:val="24"/>
          <w:highlight w:val="none"/>
          <w:u w:val="single"/>
        </w:rPr>
        <w:t xml:space="preserve"> </w:t>
      </w:r>
      <w:r>
        <w:rPr>
          <w:rFonts w:ascii="宋体" w:hAnsi="宋体" w:cs="宋体"/>
          <w:b/>
          <w:color w:val="auto"/>
          <w:szCs w:val="24"/>
          <w:highlight w:val="none"/>
          <w:u w:val="single"/>
        </w:rPr>
        <w:t xml:space="preserve">                   </w:t>
      </w:r>
    </w:p>
    <w:p w14:paraId="547BD46E">
      <w:pPr>
        <w:rPr>
          <w:color w:val="auto"/>
          <w:highlight w:val="none"/>
        </w:rPr>
      </w:pPr>
    </w:p>
    <w:p w14:paraId="2D916E7B">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依照《中华人民共和国民法典》、《物业管理条例》及其他有关法律、行政法规，遵循平等、自愿、公平和诚实信用的原则，甲方与乙方就乙方为</w:t>
      </w:r>
      <w:r>
        <w:rPr>
          <w:rFonts w:hint="eastAsia" w:ascii="宋体" w:hAnsi="宋体" w:eastAsia="宋体" w:cs="Times New Roman"/>
          <w:color w:val="auto"/>
          <w:highlight w:val="none"/>
          <w:u w:val="single"/>
          <w:shd w:val="clear" w:color="auto" w:fill="FFFFFF"/>
          <w:lang w:val="en-US" w:eastAsia="zh-CN"/>
        </w:rPr>
        <w:t>宜良县中医医院保安、保洁服务项目采购</w:t>
      </w:r>
      <w:r>
        <w:rPr>
          <w:rFonts w:hint="eastAsia" w:ascii="宋体" w:hAnsi="宋体" w:cs="宋体"/>
          <w:color w:val="auto"/>
          <w:szCs w:val="24"/>
          <w:highlight w:val="none"/>
        </w:rPr>
        <w:t>相关事宜，经双方协商一致订立本合同。</w:t>
      </w:r>
    </w:p>
    <w:p w14:paraId="3F483B73">
      <w:pPr>
        <w:snapToGrid w:val="0"/>
        <w:spacing w:line="360" w:lineRule="auto"/>
        <w:jc w:val="center"/>
        <w:outlineLvl w:val="2"/>
        <w:rPr>
          <w:rFonts w:hint="eastAsia" w:ascii="宋体" w:hAnsi="宋体" w:cs="宋体"/>
          <w:b/>
          <w:bCs/>
          <w:color w:val="auto"/>
          <w:sz w:val="24"/>
          <w:szCs w:val="24"/>
          <w:highlight w:val="none"/>
        </w:rPr>
      </w:pPr>
      <w:bookmarkStart w:id="1067" w:name="_Toc17249"/>
      <w:r>
        <w:rPr>
          <w:rFonts w:hint="eastAsia" w:ascii="宋体" w:hAnsi="宋体" w:cs="宋体"/>
          <w:b/>
          <w:bCs/>
          <w:color w:val="auto"/>
          <w:sz w:val="24"/>
          <w:szCs w:val="24"/>
          <w:highlight w:val="none"/>
        </w:rPr>
        <w:t>第一章 物业基本情况</w:t>
      </w:r>
      <w:bookmarkEnd w:id="1067"/>
    </w:p>
    <w:p w14:paraId="511D91A7">
      <w:pPr>
        <w:snapToGrid w:val="0"/>
        <w:spacing w:line="360" w:lineRule="auto"/>
        <w:ind w:firstLine="422" w:firstLineChars="200"/>
        <w:rPr>
          <w:rFonts w:hint="eastAsia" w:ascii="宋体" w:hAnsi="宋体" w:cs="宋体"/>
          <w:b/>
          <w:color w:val="auto"/>
          <w:szCs w:val="24"/>
          <w:highlight w:val="none"/>
        </w:rPr>
      </w:pPr>
      <w:r>
        <w:rPr>
          <w:rFonts w:hint="eastAsia" w:ascii="宋体" w:hAnsi="宋体" w:cs="宋体"/>
          <w:b/>
          <w:color w:val="auto"/>
          <w:szCs w:val="24"/>
          <w:highlight w:val="none"/>
        </w:rPr>
        <w:t>第一条 物业基本情况</w:t>
      </w:r>
    </w:p>
    <w:p w14:paraId="72D9DC60">
      <w:pPr>
        <w:widowControl/>
        <w:shd w:val="clear" w:color="auto" w:fill="FFFFFF"/>
        <w:adjustRightInd w:val="0"/>
        <w:snapToGrid w:val="0"/>
        <w:spacing w:line="360" w:lineRule="auto"/>
        <w:ind w:firstLine="420" w:firstLineChars="200"/>
        <w:rPr>
          <w:rFonts w:hint="eastAsia" w:ascii="宋体" w:hAnsi="宋体" w:eastAsia="宋体" w:cs="Times New Roman"/>
          <w:color w:val="auto"/>
          <w:highlight w:val="none"/>
          <w:u w:val="single"/>
          <w:shd w:val="clear" w:color="auto" w:fill="FFFFFF"/>
        </w:rPr>
      </w:pPr>
      <w:r>
        <w:rPr>
          <w:rFonts w:hint="eastAsia" w:ascii="宋体" w:hAnsi="宋体" w:cs="宋体"/>
          <w:color w:val="auto"/>
          <w:kern w:val="0"/>
          <w:szCs w:val="21"/>
          <w:highlight w:val="none"/>
        </w:rPr>
        <w:t>坐落位置：</w:t>
      </w:r>
      <w:r>
        <w:rPr>
          <w:rFonts w:hint="eastAsia" w:ascii="宋体" w:hAnsi="宋体" w:eastAsia="宋体" w:cs="Times New Roman"/>
          <w:color w:val="auto"/>
          <w:highlight w:val="none"/>
          <w:u w:val="single"/>
          <w:shd w:val="clear" w:color="auto" w:fill="FFFFFF"/>
          <w:lang w:val="en-US" w:eastAsia="zh-CN"/>
        </w:rPr>
        <w:t>宜良县中医医院</w:t>
      </w:r>
      <w:r>
        <w:rPr>
          <w:rFonts w:hint="eastAsia" w:ascii="宋体" w:hAnsi="宋体" w:eastAsia="宋体" w:cs="Times New Roman"/>
          <w:color w:val="auto"/>
          <w:highlight w:val="none"/>
          <w:u w:val="single"/>
          <w:shd w:val="clear" w:color="auto" w:fill="FFFFFF"/>
        </w:rPr>
        <w:t>。</w:t>
      </w:r>
    </w:p>
    <w:p w14:paraId="5AF6BD96">
      <w:pPr>
        <w:widowControl/>
        <w:shd w:val="clear" w:color="auto" w:fill="FFFFFF"/>
        <w:adjustRightInd w:val="0"/>
        <w:snapToGrid w:val="0"/>
        <w:spacing w:line="360" w:lineRule="auto"/>
        <w:ind w:firstLine="420" w:firstLineChars="200"/>
        <w:rPr>
          <w:rFonts w:hint="eastAsia" w:ascii="宋体" w:hAnsi="宋体"/>
          <w:color w:val="auto"/>
          <w:highlight w:val="none"/>
          <w:shd w:val="clear" w:color="auto" w:fill="FFFFFF"/>
        </w:rPr>
      </w:pPr>
      <w:r>
        <w:rPr>
          <w:rFonts w:hint="eastAsia" w:ascii="宋体" w:hAnsi="宋体" w:cs="宋体"/>
          <w:color w:val="auto"/>
          <w:kern w:val="0"/>
          <w:szCs w:val="21"/>
          <w:highlight w:val="none"/>
        </w:rPr>
        <w:t>物业类型：</w:t>
      </w:r>
      <w:r>
        <w:rPr>
          <w:rFonts w:hint="eastAsia"/>
          <w:color w:val="auto"/>
          <w:highlight w:val="none"/>
          <w:u w:val="single"/>
          <w:shd w:val="clear" w:color="auto" w:fill="FFFFFF"/>
          <w:lang w:val="en-US" w:eastAsia="zh-CN"/>
        </w:rPr>
        <w:t>保安、</w:t>
      </w:r>
      <w:r>
        <w:rPr>
          <w:rFonts w:hint="eastAsia"/>
          <w:color w:val="auto"/>
          <w:highlight w:val="none"/>
          <w:u w:val="single"/>
          <w:shd w:val="clear" w:color="auto" w:fill="FFFFFF"/>
        </w:rPr>
        <w:t>保洁</w:t>
      </w:r>
      <w:r>
        <w:rPr>
          <w:rFonts w:hint="eastAsia"/>
          <w:color w:val="auto"/>
          <w:highlight w:val="none"/>
          <w:u w:val="single"/>
          <w:shd w:val="clear" w:color="auto" w:fill="FFFFFF"/>
          <w:lang w:val="en-US" w:eastAsia="zh-CN"/>
        </w:rPr>
        <w:t>服务</w:t>
      </w:r>
      <w:r>
        <w:rPr>
          <w:rFonts w:hint="eastAsia"/>
          <w:color w:val="auto"/>
          <w:highlight w:val="none"/>
          <w:u w:val="single"/>
          <w:shd w:val="clear" w:color="auto" w:fill="FFFFFF"/>
        </w:rPr>
        <w:t>工作</w:t>
      </w:r>
      <w:r>
        <w:rPr>
          <w:rFonts w:hint="eastAsia"/>
          <w:color w:val="auto"/>
          <w:highlight w:val="none"/>
          <w:shd w:val="clear" w:color="auto" w:fill="FFFFFF"/>
        </w:rPr>
        <w:t>。</w:t>
      </w:r>
    </w:p>
    <w:p w14:paraId="6F74C60A">
      <w:pPr>
        <w:snapToGrid w:val="0"/>
        <w:spacing w:line="360" w:lineRule="auto"/>
        <w:jc w:val="center"/>
        <w:outlineLvl w:val="2"/>
        <w:rPr>
          <w:rFonts w:hint="eastAsia" w:ascii="宋体" w:hAnsi="宋体" w:cs="宋体"/>
          <w:b/>
          <w:bCs/>
          <w:color w:val="auto"/>
          <w:sz w:val="24"/>
          <w:szCs w:val="24"/>
          <w:highlight w:val="none"/>
        </w:rPr>
      </w:pPr>
      <w:bookmarkStart w:id="1068" w:name="_Toc865"/>
      <w:r>
        <w:rPr>
          <w:rFonts w:hint="eastAsia" w:ascii="宋体" w:hAnsi="宋体" w:cs="宋体"/>
          <w:b/>
          <w:bCs/>
          <w:color w:val="auto"/>
          <w:sz w:val="24"/>
          <w:szCs w:val="24"/>
          <w:highlight w:val="none"/>
        </w:rPr>
        <w:t>第二章 服务内容</w:t>
      </w:r>
      <w:bookmarkEnd w:id="1068"/>
    </w:p>
    <w:p w14:paraId="6DDE67C3">
      <w:pPr>
        <w:numPr>
          <w:ilvl w:val="0"/>
          <w:numId w:val="2"/>
        </w:numPr>
        <w:snapToGrid w:val="0"/>
        <w:spacing w:line="360" w:lineRule="auto"/>
        <w:ind w:firstLine="422" w:firstLineChars="200"/>
        <w:rPr>
          <w:rFonts w:hint="eastAsia" w:ascii="宋体" w:hAnsi="宋体" w:cs="宋体"/>
          <w:b/>
          <w:color w:val="auto"/>
          <w:szCs w:val="24"/>
          <w:highlight w:val="none"/>
        </w:rPr>
      </w:pPr>
      <w:r>
        <w:rPr>
          <w:rFonts w:hint="eastAsia" w:ascii="宋体" w:hAnsi="宋体" w:cs="宋体"/>
          <w:b/>
          <w:color w:val="auto"/>
          <w:szCs w:val="24"/>
          <w:highlight w:val="none"/>
        </w:rPr>
        <w:t>在物业管理区域内，乙方提供的物业服务包括以下内容：</w:t>
      </w:r>
    </w:p>
    <w:p w14:paraId="38B2CA25">
      <w:pPr>
        <w:snapToGrid w:val="0"/>
        <w:spacing w:line="360" w:lineRule="auto"/>
        <w:ind w:left="420"/>
        <w:rPr>
          <w:rFonts w:hint="eastAsia" w:ascii="宋体" w:hAnsi="宋体" w:cs="宋体"/>
          <w:bCs/>
          <w:color w:val="auto"/>
          <w:szCs w:val="24"/>
          <w:highlight w:val="none"/>
          <w:u w:val="single"/>
        </w:rPr>
      </w:pPr>
      <w:r>
        <w:rPr>
          <w:rFonts w:hint="eastAsia" w:ascii="宋体" w:hAnsi="宋体" w:cs="宋体"/>
          <w:bCs/>
          <w:color w:val="auto"/>
          <w:szCs w:val="24"/>
          <w:highlight w:val="none"/>
        </w:rPr>
        <w:t>（1）服务项目：</w:t>
      </w:r>
      <w:r>
        <w:rPr>
          <w:rFonts w:hint="eastAsia" w:ascii="宋体" w:hAnsi="宋体" w:cs="宋体"/>
          <w:bCs/>
          <w:color w:val="auto"/>
          <w:szCs w:val="24"/>
          <w:highlight w:val="none"/>
          <w:u w:val="single"/>
          <w:lang w:val="en-US" w:eastAsia="zh-CN"/>
        </w:rPr>
        <w:t>保安</w:t>
      </w:r>
      <w:r>
        <w:rPr>
          <w:rFonts w:hint="eastAsia" w:ascii="宋体" w:hAnsi="宋体" w:cs="宋体"/>
          <w:bCs/>
          <w:color w:val="auto"/>
          <w:szCs w:val="24"/>
          <w:highlight w:val="none"/>
          <w:u w:val="single"/>
        </w:rPr>
        <w:t>服务</w:t>
      </w:r>
      <w:r>
        <w:rPr>
          <w:rFonts w:hint="eastAsia" w:ascii="宋体" w:hAnsi="宋体" w:cs="宋体"/>
          <w:bCs/>
          <w:color w:val="auto"/>
          <w:szCs w:val="24"/>
          <w:highlight w:val="none"/>
        </w:rPr>
        <w:t>；</w:t>
      </w:r>
      <w:r>
        <w:rPr>
          <w:rFonts w:ascii="宋体" w:hAnsi="宋体" w:cs="宋体"/>
          <w:bCs/>
          <w:color w:val="auto"/>
          <w:szCs w:val="24"/>
          <w:highlight w:val="none"/>
        </w:rPr>
        <w:t xml:space="preserve"> </w:t>
      </w:r>
      <w:r>
        <w:rPr>
          <w:rFonts w:hint="eastAsia" w:ascii="宋体" w:hAnsi="宋体" w:cs="宋体"/>
          <w:bCs/>
          <w:color w:val="auto"/>
          <w:szCs w:val="24"/>
          <w:highlight w:val="none"/>
        </w:rPr>
        <w:t>内容：</w:t>
      </w:r>
      <w:r>
        <w:rPr>
          <w:rFonts w:hint="eastAsia" w:ascii="宋体" w:hAnsi="宋体" w:cs="宋体"/>
          <w:bCs/>
          <w:color w:val="auto"/>
          <w:szCs w:val="24"/>
          <w:highlight w:val="none"/>
          <w:u w:val="single"/>
        </w:rPr>
        <w:t xml:space="preserve">          </w:t>
      </w:r>
      <w:r>
        <w:rPr>
          <w:rFonts w:hint="eastAsia" w:ascii="宋体" w:hAnsi="宋体" w:cs="宋体"/>
          <w:bCs/>
          <w:color w:val="auto"/>
          <w:szCs w:val="24"/>
          <w:highlight w:val="none"/>
        </w:rPr>
        <w:t>；</w:t>
      </w:r>
    </w:p>
    <w:p w14:paraId="5A10AC9F">
      <w:pPr>
        <w:snapToGrid w:val="0"/>
        <w:spacing w:line="360" w:lineRule="auto"/>
        <w:ind w:left="420"/>
        <w:rPr>
          <w:rFonts w:hint="eastAsia" w:ascii="宋体" w:hAnsi="宋体" w:cs="宋体"/>
          <w:bCs/>
          <w:color w:val="auto"/>
          <w:szCs w:val="24"/>
          <w:highlight w:val="none"/>
          <w:u w:val="single"/>
        </w:rPr>
      </w:pPr>
      <w:r>
        <w:rPr>
          <w:rFonts w:hint="eastAsia" w:ascii="宋体" w:hAnsi="宋体" w:cs="宋体"/>
          <w:bCs/>
          <w:color w:val="auto"/>
          <w:szCs w:val="24"/>
          <w:highlight w:val="none"/>
        </w:rPr>
        <w:t>（</w:t>
      </w:r>
      <w:r>
        <w:rPr>
          <w:rFonts w:hint="eastAsia" w:ascii="宋体" w:hAnsi="宋体" w:cs="宋体"/>
          <w:bCs/>
          <w:color w:val="auto"/>
          <w:szCs w:val="24"/>
          <w:highlight w:val="none"/>
          <w:lang w:val="en-US" w:eastAsia="zh-CN"/>
        </w:rPr>
        <w:t>2</w:t>
      </w:r>
      <w:r>
        <w:rPr>
          <w:rFonts w:hint="eastAsia" w:ascii="宋体" w:hAnsi="宋体" w:cs="宋体"/>
          <w:bCs/>
          <w:color w:val="auto"/>
          <w:szCs w:val="24"/>
          <w:highlight w:val="none"/>
        </w:rPr>
        <w:t>）服务项目：</w:t>
      </w:r>
      <w:r>
        <w:rPr>
          <w:rFonts w:hint="eastAsia" w:ascii="宋体" w:hAnsi="宋体" w:cs="宋体"/>
          <w:bCs/>
          <w:color w:val="auto"/>
          <w:szCs w:val="24"/>
          <w:highlight w:val="none"/>
          <w:u w:val="single"/>
          <w:lang w:val="en-US" w:eastAsia="zh-CN"/>
        </w:rPr>
        <w:t>保洁</w:t>
      </w:r>
      <w:r>
        <w:rPr>
          <w:rFonts w:hint="eastAsia" w:ascii="宋体" w:hAnsi="宋体" w:cs="宋体"/>
          <w:bCs/>
          <w:color w:val="auto"/>
          <w:szCs w:val="24"/>
          <w:highlight w:val="none"/>
          <w:u w:val="single"/>
        </w:rPr>
        <w:t>服务</w:t>
      </w:r>
      <w:r>
        <w:rPr>
          <w:rFonts w:hint="eastAsia" w:ascii="宋体" w:hAnsi="宋体" w:cs="宋体"/>
          <w:bCs/>
          <w:color w:val="auto"/>
          <w:szCs w:val="24"/>
          <w:highlight w:val="none"/>
        </w:rPr>
        <w:t>； 内容：</w:t>
      </w:r>
      <w:r>
        <w:rPr>
          <w:rFonts w:hint="eastAsia" w:ascii="宋体" w:hAnsi="宋体" w:cs="宋体"/>
          <w:bCs/>
          <w:color w:val="auto"/>
          <w:szCs w:val="24"/>
          <w:highlight w:val="none"/>
          <w:u w:val="single"/>
        </w:rPr>
        <w:t xml:space="preserve">         </w:t>
      </w:r>
      <w:r>
        <w:rPr>
          <w:rFonts w:ascii="宋体" w:hAnsi="宋体" w:cs="宋体"/>
          <w:bCs/>
          <w:color w:val="auto"/>
          <w:szCs w:val="24"/>
          <w:highlight w:val="none"/>
          <w:u w:val="single"/>
        </w:rPr>
        <w:t xml:space="preserve"> </w:t>
      </w:r>
      <w:r>
        <w:rPr>
          <w:rFonts w:hint="eastAsia" w:ascii="宋体" w:hAnsi="宋体" w:cs="宋体"/>
          <w:bCs/>
          <w:color w:val="auto"/>
          <w:szCs w:val="24"/>
          <w:highlight w:val="none"/>
        </w:rPr>
        <w:t>。</w:t>
      </w:r>
    </w:p>
    <w:p w14:paraId="62D7F9D1">
      <w:pPr>
        <w:tabs>
          <w:tab w:val="left" w:pos="411"/>
        </w:tabs>
        <w:snapToGrid w:val="0"/>
        <w:spacing w:line="360" w:lineRule="auto"/>
        <w:ind w:firstLine="422" w:firstLineChars="200"/>
        <w:rPr>
          <w:rFonts w:hint="eastAsia" w:ascii="宋体" w:hAnsi="宋体" w:cs="宋体"/>
          <w:b/>
          <w:color w:val="auto"/>
          <w:szCs w:val="24"/>
          <w:highlight w:val="none"/>
        </w:rPr>
      </w:pPr>
      <w:r>
        <w:rPr>
          <w:rFonts w:hint="eastAsia" w:ascii="宋体" w:hAnsi="宋体" w:cs="宋体"/>
          <w:b/>
          <w:color w:val="auto"/>
          <w:highlight w:val="none"/>
        </w:rPr>
        <w:t xml:space="preserve">第三条 </w:t>
      </w:r>
      <w:r>
        <w:rPr>
          <w:rFonts w:hint="eastAsia" w:ascii="宋体" w:hAnsi="宋体" w:cs="宋体"/>
          <w:b/>
          <w:color w:val="auto"/>
          <w:szCs w:val="24"/>
          <w:highlight w:val="none"/>
        </w:rPr>
        <w:t>安全责任</w:t>
      </w:r>
    </w:p>
    <w:p w14:paraId="12979FA5">
      <w:pPr>
        <w:snapToGrid w:val="0"/>
        <w:spacing w:line="360" w:lineRule="auto"/>
        <w:ind w:firstLine="420"/>
        <w:rPr>
          <w:rFonts w:hint="eastAsia" w:ascii="宋体" w:hAnsi="宋体" w:cs="宋体"/>
          <w:color w:val="auto"/>
          <w:szCs w:val="24"/>
          <w:highlight w:val="none"/>
        </w:rPr>
      </w:pPr>
      <w:r>
        <w:rPr>
          <w:rFonts w:hint="eastAsia" w:ascii="宋体" w:hAnsi="宋体" w:cs="宋体"/>
          <w:color w:val="auto"/>
          <w:szCs w:val="24"/>
          <w:highlight w:val="none"/>
        </w:rPr>
        <w:t>1.乙方拟派人员为甲方提供约定的服务中，若造成本人或他人的意外事故的，甲方协助乙方处理，责任及其他事宜均由乙方自行承担处理,乙方对拟派人员承担用人单位的责任。</w:t>
      </w:r>
    </w:p>
    <w:p w14:paraId="14C57468">
      <w:pPr>
        <w:snapToGrid w:val="0"/>
        <w:spacing w:line="360" w:lineRule="auto"/>
        <w:ind w:firstLine="420"/>
        <w:rPr>
          <w:rFonts w:hint="eastAsia" w:ascii="宋体" w:hAnsi="宋体" w:cs="宋体"/>
          <w:color w:val="auto"/>
          <w:szCs w:val="24"/>
          <w:highlight w:val="none"/>
        </w:rPr>
      </w:pPr>
      <w:r>
        <w:rPr>
          <w:rFonts w:ascii="宋体" w:hAnsi="宋体" w:cs="宋体"/>
          <w:color w:val="auto"/>
          <w:szCs w:val="24"/>
          <w:highlight w:val="none"/>
        </w:rPr>
        <w:t>2</w:t>
      </w:r>
      <w:r>
        <w:rPr>
          <w:rFonts w:hint="eastAsia" w:ascii="宋体" w:hAnsi="宋体" w:cs="宋体"/>
          <w:color w:val="auto"/>
          <w:szCs w:val="24"/>
          <w:highlight w:val="none"/>
        </w:rPr>
        <w:t>.乙方拟派所有服务人员由乙方自主聘用，聘用所有人员须经岗前培训，并交</w:t>
      </w:r>
      <w:r>
        <w:rPr>
          <w:rFonts w:hint="eastAsia" w:ascii="宋体" w:hAnsi="宋体" w:cs="宋体"/>
          <w:color w:val="auto"/>
          <w:szCs w:val="24"/>
          <w:highlight w:val="none"/>
          <w:lang w:val="en-US" w:eastAsia="zh-CN"/>
        </w:rPr>
        <w:t>医院</w:t>
      </w:r>
      <w:r>
        <w:rPr>
          <w:rFonts w:hint="eastAsia" w:ascii="宋体" w:hAnsi="宋体" w:cs="宋体"/>
          <w:color w:val="auto"/>
          <w:szCs w:val="24"/>
          <w:highlight w:val="none"/>
        </w:rPr>
        <w:t>审核备案，保洁人员、</w:t>
      </w:r>
      <w:r>
        <w:rPr>
          <w:rFonts w:hint="eastAsia" w:ascii="宋体" w:hAnsi="宋体" w:cs="宋体"/>
          <w:color w:val="auto"/>
          <w:szCs w:val="24"/>
          <w:highlight w:val="none"/>
          <w:lang w:val="en-US" w:eastAsia="zh-CN"/>
        </w:rPr>
        <w:t>保安人</w:t>
      </w:r>
      <w:r>
        <w:rPr>
          <w:rFonts w:hint="eastAsia" w:ascii="宋体" w:hAnsi="宋体" w:cs="宋体"/>
          <w:color w:val="auto"/>
          <w:szCs w:val="24"/>
          <w:highlight w:val="none"/>
        </w:rPr>
        <w:t>员变更或辞聘应及时通知甲方总务处。</w:t>
      </w:r>
    </w:p>
    <w:p w14:paraId="4C014A91">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3.乙方所有人员必须服从甲方各部门管理，避免出现推诿、扯皮事件。</w:t>
      </w:r>
    </w:p>
    <w:p w14:paraId="6F6A3654">
      <w:pPr>
        <w:snapToGrid w:val="0"/>
        <w:spacing w:line="360" w:lineRule="auto"/>
        <w:ind w:firstLine="420" w:firstLineChars="200"/>
        <w:rPr>
          <w:rFonts w:hint="eastAsia" w:ascii="宋体" w:hAnsi="宋体" w:cs="宋体"/>
          <w:color w:val="auto"/>
          <w:szCs w:val="24"/>
          <w:highlight w:val="none"/>
        </w:rPr>
      </w:pPr>
      <w:r>
        <w:rPr>
          <w:rFonts w:ascii="宋体" w:hAnsi="宋体" w:cs="宋体"/>
          <w:color w:val="auto"/>
          <w:szCs w:val="24"/>
          <w:highlight w:val="none"/>
        </w:rPr>
        <w:t>4</w:t>
      </w:r>
      <w:r>
        <w:rPr>
          <w:rFonts w:hint="eastAsia" w:ascii="宋体" w:hAnsi="宋体" w:cs="宋体"/>
          <w:color w:val="auto"/>
          <w:szCs w:val="24"/>
          <w:highlight w:val="none"/>
        </w:rPr>
        <w:t>.甲方与乙方拟派服务人员不发生任何劳动和雇佣关系，拟派服务人员由乙方自行管理，并按法律法规和地方政府的规定支付服务人员的工资、福利、奖金、加班费等一切费用。甲方一律不再支付任何费用。</w:t>
      </w:r>
    </w:p>
    <w:p w14:paraId="78E43A6A">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5.成交供应商派驻人员为</w:t>
      </w:r>
      <w:r>
        <w:rPr>
          <w:rFonts w:hint="eastAsia" w:ascii="宋体" w:hAnsi="宋体" w:cs="宋体"/>
          <w:color w:val="auto"/>
          <w:szCs w:val="24"/>
          <w:highlight w:val="none"/>
          <w:lang w:val="en-US" w:eastAsia="zh-CN"/>
        </w:rPr>
        <w:t>医院</w:t>
      </w:r>
      <w:r>
        <w:rPr>
          <w:rFonts w:hint="eastAsia" w:ascii="宋体" w:hAnsi="宋体" w:cs="宋体"/>
          <w:color w:val="auto"/>
          <w:szCs w:val="24"/>
          <w:highlight w:val="none"/>
        </w:rPr>
        <w:t>提供约定的服务中，造成本人或他人的意外事故的，</w:t>
      </w:r>
      <w:r>
        <w:rPr>
          <w:rFonts w:hint="eastAsia" w:ascii="宋体" w:hAnsi="宋体" w:cs="宋体"/>
          <w:color w:val="auto"/>
          <w:szCs w:val="24"/>
          <w:highlight w:val="none"/>
          <w:lang w:val="en-US" w:eastAsia="zh-CN"/>
        </w:rPr>
        <w:t>医院</w:t>
      </w:r>
      <w:r>
        <w:rPr>
          <w:rFonts w:hint="eastAsia" w:ascii="宋体" w:hAnsi="宋体" w:cs="宋体"/>
          <w:color w:val="auto"/>
          <w:szCs w:val="24"/>
          <w:highlight w:val="none"/>
        </w:rPr>
        <w:t>协助公司处理，责任及其他事宜均由公司自行承担处理,成交供应商对派驻人员承担用人单位的责任。</w:t>
      </w:r>
    </w:p>
    <w:p w14:paraId="28CFCC63">
      <w:pPr>
        <w:snapToGrid w:val="0"/>
        <w:spacing w:line="360" w:lineRule="auto"/>
        <w:ind w:firstLine="422" w:firstLineChars="200"/>
        <w:rPr>
          <w:rFonts w:hint="eastAsia" w:ascii="宋体" w:hAnsi="宋体" w:cs="宋体"/>
          <w:b/>
          <w:color w:val="auto"/>
          <w:szCs w:val="24"/>
          <w:highlight w:val="none"/>
        </w:rPr>
      </w:pPr>
      <w:r>
        <w:rPr>
          <w:rFonts w:hint="eastAsia" w:ascii="宋体" w:hAnsi="宋体" w:cs="宋体"/>
          <w:b/>
          <w:color w:val="auto"/>
          <w:szCs w:val="24"/>
          <w:highlight w:val="none"/>
        </w:rPr>
        <w:t>第四条 保密责任</w:t>
      </w:r>
    </w:p>
    <w:p w14:paraId="46E0CC2E">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乙方员工必须遵守甲方的相关管理规定，并严格遵守工作保密原则，严禁对外透露甲方的相关信息，如有违者，由乙方承担相关责任。</w:t>
      </w:r>
    </w:p>
    <w:p w14:paraId="3905CEDD">
      <w:pPr>
        <w:widowControl/>
        <w:snapToGrid w:val="0"/>
        <w:spacing w:line="360" w:lineRule="auto"/>
        <w:ind w:firstLine="422" w:firstLineChars="200"/>
        <w:rPr>
          <w:rFonts w:hint="eastAsia" w:ascii="宋体" w:hAnsi="宋体" w:cs="宋体"/>
          <w:color w:val="auto"/>
          <w:szCs w:val="24"/>
          <w:highlight w:val="none"/>
        </w:rPr>
      </w:pPr>
      <w:r>
        <w:rPr>
          <w:rFonts w:hint="eastAsia" w:ascii="宋体" w:hAnsi="宋体" w:cs="宋体"/>
          <w:b/>
          <w:color w:val="auto"/>
          <w:szCs w:val="24"/>
          <w:highlight w:val="none"/>
        </w:rPr>
        <w:t>第五条</w:t>
      </w:r>
      <w:r>
        <w:rPr>
          <w:rFonts w:hint="eastAsia" w:ascii="宋体" w:hAnsi="宋体" w:cs="宋体"/>
          <w:color w:val="auto"/>
          <w:szCs w:val="24"/>
          <w:highlight w:val="none"/>
        </w:rPr>
        <w:t xml:space="preserve"> </w:t>
      </w:r>
      <w:r>
        <w:rPr>
          <w:rFonts w:hint="eastAsia" w:ascii="宋体" w:hAnsi="宋体" w:cs="宋体"/>
          <w:b/>
          <w:bCs/>
          <w:color w:val="auto"/>
          <w:szCs w:val="24"/>
          <w:highlight w:val="none"/>
        </w:rPr>
        <w:t>乙方提供的物业服务应达到双方约定标准,甲方有权对乙方的服务质量进行监督，内容主要包括：</w:t>
      </w:r>
    </w:p>
    <w:p w14:paraId="2EDDB912">
      <w:pPr>
        <w:widowControl/>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bCs/>
          <w:color w:val="auto"/>
          <w:szCs w:val="24"/>
          <w:highlight w:val="none"/>
        </w:rPr>
        <w:t>乙方应按合同要求严格选择服务合同中子项服务专业服务企业，必须保证所有的服务队伍和服务质量符合甲方相应的要求。</w:t>
      </w:r>
    </w:p>
    <w:p w14:paraId="0B11B7A4">
      <w:pPr>
        <w:widowControl/>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2.对项目人员配置情况进行检查。</w:t>
      </w:r>
    </w:p>
    <w:p w14:paraId="4F27393F">
      <w:pPr>
        <w:widowControl/>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3.对该项目物业服务工作完成情况进行审核，包括但不限于卫生指标情况及其他情况等。</w:t>
      </w:r>
    </w:p>
    <w:p w14:paraId="2ECC1023">
      <w:pPr>
        <w:widowControl/>
        <w:snapToGrid w:val="0"/>
        <w:spacing w:line="360" w:lineRule="auto"/>
        <w:ind w:firstLine="420" w:firstLineChars="200"/>
        <w:rPr>
          <w:rFonts w:hint="eastAsia" w:ascii="宋体" w:hAnsi="宋体" w:cs="宋体"/>
          <w:color w:val="auto"/>
          <w:szCs w:val="24"/>
          <w:highlight w:val="none"/>
        </w:rPr>
      </w:pPr>
      <w:r>
        <w:rPr>
          <w:rFonts w:ascii="宋体" w:hAnsi="宋体" w:cs="宋体"/>
          <w:color w:val="auto"/>
          <w:szCs w:val="24"/>
          <w:highlight w:val="none"/>
        </w:rPr>
        <w:t>4</w:t>
      </w:r>
      <w:r>
        <w:rPr>
          <w:rFonts w:hint="eastAsia" w:ascii="宋体" w:hAnsi="宋体" w:cs="宋体"/>
          <w:color w:val="auto"/>
          <w:szCs w:val="24"/>
          <w:highlight w:val="none"/>
        </w:rPr>
        <w:t>.对安全生产要求执行情况进行检查。</w:t>
      </w:r>
    </w:p>
    <w:p w14:paraId="6593D7EB">
      <w:pPr>
        <w:widowControl/>
        <w:snapToGrid w:val="0"/>
        <w:spacing w:line="360" w:lineRule="auto"/>
        <w:ind w:firstLine="420" w:firstLineChars="200"/>
        <w:rPr>
          <w:rFonts w:hint="eastAsia" w:ascii="宋体" w:hAnsi="宋体" w:cs="宋体"/>
          <w:color w:val="auto"/>
          <w:szCs w:val="24"/>
          <w:highlight w:val="none"/>
        </w:rPr>
      </w:pPr>
      <w:r>
        <w:rPr>
          <w:rFonts w:ascii="宋体" w:hAnsi="宋体" w:cs="宋体"/>
          <w:color w:val="auto"/>
          <w:szCs w:val="24"/>
          <w:highlight w:val="none"/>
        </w:rPr>
        <w:t>5</w:t>
      </w:r>
      <w:r>
        <w:rPr>
          <w:rFonts w:hint="eastAsia" w:ascii="宋体" w:hAnsi="宋体" w:cs="宋体"/>
          <w:color w:val="auto"/>
          <w:szCs w:val="24"/>
          <w:highlight w:val="none"/>
        </w:rPr>
        <w:t>.对保密责任履行情况进行检查。</w:t>
      </w:r>
    </w:p>
    <w:p w14:paraId="73CF3DF7">
      <w:pPr>
        <w:widowControl/>
        <w:snapToGrid w:val="0"/>
        <w:spacing w:line="360" w:lineRule="auto"/>
        <w:ind w:firstLine="420" w:firstLineChars="200"/>
        <w:rPr>
          <w:rFonts w:hint="eastAsia" w:ascii="宋体" w:hAnsi="宋体" w:cs="宋体"/>
          <w:color w:val="auto"/>
          <w:szCs w:val="24"/>
          <w:highlight w:val="none"/>
        </w:rPr>
      </w:pPr>
      <w:r>
        <w:rPr>
          <w:rFonts w:ascii="宋体" w:hAnsi="宋体" w:cs="宋体"/>
          <w:color w:val="auto"/>
          <w:szCs w:val="24"/>
          <w:highlight w:val="none"/>
        </w:rPr>
        <w:t>6</w:t>
      </w:r>
      <w:r>
        <w:rPr>
          <w:rFonts w:hint="eastAsia" w:ascii="宋体" w:hAnsi="宋体" w:cs="宋体"/>
          <w:color w:val="auto"/>
          <w:szCs w:val="24"/>
          <w:highlight w:val="none"/>
        </w:rPr>
        <w:t>.对主管级以上人员或重点岗位</w:t>
      </w:r>
      <w:r>
        <w:rPr>
          <w:rFonts w:hint="eastAsia" w:ascii="宋体" w:hAnsi="宋体" w:cs="宋体"/>
          <w:color w:val="auto"/>
          <w:szCs w:val="21"/>
          <w:highlight w:val="none"/>
        </w:rPr>
        <w:t>服务团队成员</w:t>
      </w:r>
      <w:r>
        <w:rPr>
          <w:rFonts w:hint="eastAsia" w:ascii="宋体" w:hAnsi="宋体" w:cs="宋体"/>
          <w:color w:val="auto"/>
          <w:szCs w:val="24"/>
          <w:highlight w:val="none"/>
        </w:rPr>
        <w:t>的变动情况进行检查。</w:t>
      </w:r>
    </w:p>
    <w:p w14:paraId="708926A3">
      <w:pPr>
        <w:widowControl/>
        <w:snapToGrid w:val="0"/>
        <w:spacing w:line="360" w:lineRule="auto"/>
        <w:ind w:firstLine="420" w:firstLineChars="200"/>
        <w:rPr>
          <w:rFonts w:hint="eastAsia" w:ascii="宋体" w:hAnsi="宋体" w:cs="宋体"/>
          <w:color w:val="auto"/>
          <w:szCs w:val="24"/>
          <w:highlight w:val="none"/>
        </w:rPr>
      </w:pPr>
      <w:r>
        <w:rPr>
          <w:rFonts w:ascii="宋体" w:hAnsi="宋体" w:cs="宋体"/>
          <w:color w:val="auto"/>
          <w:szCs w:val="24"/>
          <w:highlight w:val="none"/>
        </w:rPr>
        <w:t>7</w:t>
      </w:r>
      <w:r>
        <w:rPr>
          <w:rFonts w:hint="eastAsia" w:ascii="宋体" w:hAnsi="宋体" w:cs="宋体"/>
          <w:color w:val="auto"/>
          <w:szCs w:val="24"/>
          <w:highlight w:val="none"/>
        </w:rPr>
        <w:t>.对是否有因管理疏忽引起的重大消防或治安安全隐患进行检查。</w:t>
      </w:r>
    </w:p>
    <w:p w14:paraId="589C296F">
      <w:pPr>
        <w:widowControl/>
        <w:snapToGrid w:val="0"/>
        <w:spacing w:line="360" w:lineRule="auto"/>
        <w:ind w:firstLine="420" w:firstLineChars="200"/>
        <w:rPr>
          <w:rFonts w:hint="eastAsia" w:ascii="宋体" w:hAnsi="宋体" w:cs="宋体"/>
          <w:color w:val="auto"/>
          <w:szCs w:val="24"/>
          <w:highlight w:val="none"/>
        </w:rPr>
      </w:pPr>
      <w:r>
        <w:rPr>
          <w:rFonts w:ascii="宋体" w:hAnsi="宋体" w:cs="宋体"/>
          <w:color w:val="auto"/>
          <w:szCs w:val="24"/>
          <w:highlight w:val="none"/>
        </w:rPr>
        <w:t>8</w:t>
      </w:r>
      <w:r>
        <w:rPr>
          <w:rFonts w:hint="eastAsia" w:ascii="宋体" w:hAnsi="宋体" w:cs="宋体"/>
          <w:color w:val="auto"/>
          <w:szCs w:val="24"/>
          <w:highlight w:val="none"/>
        </w:rPr>
        <w:t>.对是否有其他违反合同服务承诺条款内容情况进行检查。</w:t>
      </w:r>
    </w:p>
    <w:p w14:paraId="79EE68A7">
      <w:pPr>
        <w:snapToGrid w:val="0"/>
        <w:spacing w:line="360" w:lineRule="auto"/>
        <w:ind w:firstLine="422" w:firstLineChars="200"/>
        <w:rPr>
          <w:rFonts w:hint="eastAsia" w:ascii="宋体" w:hAnsi="宋体" w:cs="宋体"/>
          <w:b/>
          <w:color w:val="auto"/>
          <w:szCs w:val="24"/>
          <w:highlight w:val="none"/>
        </w:rPr>
      </w:pPr>
      <w:r>
        <w:rPr>
          <w:rFonts w:hint="eastAsia" w:ascii="宋体" w:hAnsi="宋体" w:cs="宋体"/>
          <w:b/>
          <w:color w:val="auto"/>
          <w:szCs w:val="24"/>
          <w:highlight w:val="none"/>
        </w:rPr>
        <w:t>第六条 双方的权利、义务</w:t>
      </w:r>
    </w:p>
    <w:p w14:paraId="4A31CCFF">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（一）甲方权利、义务：</w:t>
      </w:r>
    </w:p>
    <w:p w14:paraId="4D7DD98D">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4"/>
          <w:highlight w:val="none"/>
        </w:rPr>
        <w:t>1、检查监督乙方管理工作的实施及制度执行情况，</w:t>
      </w:r>
      <w:r>
        <w:rPr>
          <w:rFonts w:hint="eastAsia" w:ascii="宋体" w:hAnsi="宋体"/>
          <w:color w:val="auto"/>
          <w:szCs w:val="21"/>
          <w:highlight w:val="none"/>
        </w:rPr>
        <w:t>每</w:t>
      </w:r>
      <w:r>
        <w:rPr>
          <w:rFonts w:hint="eastAsia" w:ascii="宋体" w:hAnsi="宋体"/>
          <w:color w:val="auto"/>
          <w:szCs w:val="21"/>
          <w:highlight w:val="none"/>
          <w:lang w:val="en-US" w:eastAsia="zh-CN"/>
        </w:rPr>
        <w:t>年</w:t>
      </w:r>
      <w:r>
        <w:rPr>
          <w:rFonts w:hint="eastAsia" w:ascii="宋体" w:hAnsi="宋体"/>
          <w:color w:val="auto"/>
          <w:szCs w:val="21"/>
          <w:highlight w:val="none"/>
        </w:rPr>
        <w:t>一次对乙方的物业管理服务进行考核评比。</w:t>
      </w:r>
    </w:p>
    <w:p w14:paraId="319A7318">
      <w:pPr>
        <w:tabs>
          <w:tab w:val="left" w:pos="3960"/>
        </w:tabs>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2、向乙方无偿提供管理用房。</w:t>
      </w:r>
    </w:p>
    <w:p w14:paraId="05A984B8">
      <w:pPr>
        <w:tabs>
          <w:tab w:val="left" w:pos="3960"/>
        </w:tabs>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3、向乙方提供物业管理所需的图纸、档案、资料。</w:t>
      </w:r>
    </w:p>
    <w:p w14:paraId="002B25C2">
      <w:pPr>
        <w:tabs>
          <w:tab w:val="left" w:pos="3960"/>
        </w:tabs>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4、负责保证按约定、按时足额支付物业管理费。</w:t>
      </w:r>
    </w:p>
    <w:p w14:paraId="6C801EAE">
      <w:pPr>
        <w:tabs>
          <w:tab w:val="left" w:pos="3960"/>
        </w:tabs>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5、协助处理本合同生效前发生的管理遗留问题。</w:t>
      </w:r>
    </w:p>
    <w:p w14:paraId="475857C2">
      <w:pPr>
        <w:tabs>
          <w:tab w:val="left" w:pos="3960"/>
        </w:tabs>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6、协助乙方做好物业管理工作和宣传教育、文化活动。</w:t>
      </w:r>
    </w:p>
    <w:p w14:paraId="7198D680">
      <w:pPr>
        <w:tabs>
          <w:tab w:val="left" w:pos="3960"/>
        </w:tabs>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7、对违反合同约定的乙方人员，有权要求进行调换。</w:t>
      </w:r>
    </w:p>
    <w:p w14:paraId="0B282EEE">
      <w:pPr>
        <w:tabs>
          <w:tab w:val="left" w:pos="3960"/>
        </w:tabs>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8、政策规定由甲方承担的其它责任。</w:t>
      </w:r>
    </w:p>
    <w:p w14:paraId="53861395">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（二）乙方权利、义务：</w:t>
      </w:r>
    </w:p>
    <w:p w14:paraId="0978052F">
      <w:pPr>
        <w:tabs>
          <w:tab w:val="left" w:pos="3960"/>
        </w:tabs>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1、根据有关法律、法规及本合同的约定，制定物业管理制度，开展各项管理活动。</w:t>
      </w:r>
    </w:p>
    <w:p w14:paraId="2125F442">
      <w:pPr>
        <w:tabs>
          <w:tab w:val="left" w:pos="3960"/>
        </w:tabs>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2、遵守合同规定的责任要求，根据甲方授权对物业实施综合管理，确保实现各项管理目标，并承担相应责任，自觉接受物业主管部门及有关政府部门和甲方检查监督。</w:t>
      </w:r>
    </w:p>
    <w:p w14:paraId="52C7E0BF">
      <w:pPr>
        <w:tabs>
          <w:tab w:val="left" w:pos="3960"/>
        </w:tabs>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3、根据需要制定或调整服务方案。</w:t>
      </w:r>
    </w:p>
    <w:p w14:paraId="233379DD">
      <w:pPr>
        <w:tabs>
          <w:tab w:val="left" w:pos="3960"/>
        </w:tabs>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4"/>
          <w:highlight w:val="none"/>
        </w:rPr>
        <w:t>4、</w:t>
      </w:r>
      <w:r>
        <w:rPr>
          <w:rFonts w:hint="eastAsia" w:ascii="宋体" w:hAnsi="宋体"/>
          <w:color w:val="auto"/>
          <w:szCs w:val="21"/>
          <w:highlight w:val="none"/>
        </w:rPr>
        <w:t>乙方必须严格</w:t>
      </w:r>
      <w:r>
        <w:rPr>
          <w:rFonts w:hint="eastAsia" w:ascii="宋体" w:hAnsi="宋体"/>
          <w:color w:val="auto"/>
          <w:szCs w:val="21"/>
          <w:highlight w:val="none"/>
          <w:lang w:val="en-US" w:eastAsia="zh-CN"/>
        </w:rPr>
        <w:t>按</w:t>
      </w:r>
      <w:r>
        <w:rPr>
          <w:rFonts w:hint="eastAsia" w:ascii="宋体" w:hAnsi="宋体"/>
          <w:color w:val="auto"/>
          <w:szCs w:val="21"/>
          <w:highlight w:val="none"/>
        </w:rPr>
        <w:t>照</w:t>
      </w:r>
      <w:r>
        <w:rPr>
          <w:rFonts w:hint="eastAsia" w:ascii="宋体" w:hAnsi="宋体"/>
          <w:color w:val="auto"/>
          <w:szCs w:val="21"/>
          <w:highlight w:val="none"/>
          <w:lang w:val="en-US" w:eastAsia="zh-CN"/>
        </w:rPr>
        <w:t>医院</w:t>
      </w:r>
      <w:r>
        <w:rPr>
          <w:rFonts w:hint="eastAsia" w:ascii="宋体" w:hAnsi="宋体"/>
          <w:color w:val="auto"/>
          <w:szCs w:val="21"/>
          <w:highlight w:val="none"/>
        </w:rPr>
        <w:t>划定的工作范围、工作内容及管理目标成立相关机构，制定相应工作流程、工作制度、监督考核办法，合理安排人员，科学管理，严格要求，达标运行。</w:t>
      </w:r>
      <w:r>
        <w:rPr>
          <w:rFonts w:hint="eastAsia" w:ascii="宋体" w:hAnsi="宋体"/>
          <w:color w:val="auto"/>
          <w:szCs w:val="21"/>
          <w:highlight w:val="none"/>
          <w:lang w:val="en-US" w:eastAsia="zh-CN"/>
        </w:rPr>
        <w:t>医院</w:t>
      </w:r>
      <w:r>
        <w:rPr>
          <w:rFonts w:hint="eastAsia" w:ascii="宋体" w:hAnsi="宋体"/>
          <w:color w:val="auto"/>
          <w:szCs w:val="21"/>
          <w:highlight w:val="none"/>
        </w:rPr>
        <w:t>分管领导、职能部门负责监督、检查、指导，发现问题及时沟通、整改，规范运行。</w:t>
      </w:r>
    </w:p>
    <w:p w14:paraId="1CF6D228">
      <w:pPr>
        <w:tabs>
          <w:tab w:val="left" w:pos="3960"/>
        </w:tabs>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、服务人员着工装上岗，佩戴统一的标志符号。</w:t>
      </w:r>
    </w:p>
    <w:p w14:paraId="7D86CC3B">
      <w:pPr>
        <w:tabs>
          <w:tab w:val="left" w:pos="3960"/>
        </w:tabs>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、如因人员疏于职守发生被盗、财产损失等情况，由乙方承担相应责任并照价赔偿。</w:t>
      </w:r>
    </w:p>
    <w:p w14:paraId="255C439E">
      <w:pPr>
        <w:tabs>
          <w:tab w:val="left" w:pos="3960"/>
        </w:tabs>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7</w:t>
      </w:r>
      <w:r>
        <w:rPr>
          <w:rFonts w:hint="eastAsia" w:ascii="宋体" w:hAnsi="宋体"/>
          <w:color w:val="auto"/>
          <w:szCs w:val="21"/>
          <w:highlight w:val="none"/>
        </w:rPr>
        <w:t>、乙方应明确各项工作内容和工作要点，制定出具体的工作标准、检查标准，做为日常考核。</w:t>
      </w:r>
    </w:p>
    <w:p w14:paraId="57DC8072">
      <w:pPr>
        <w:tabs>
          <w:tab w:val="left" w:pos="3960"/>
        </w:tabs>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、乙方必须接受甲方的监督。</w:t>
      </w:r>
    </w:p>
    <w:p w14:paraId="438F1D4E">
      <w:pPr>
        <w:tabs>
          <w:tab w:val="left" w:pos="3960"/>
        </w:tabs>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lang w:val="en-US" w:eastAsia="zh-CN"/>
        </w:rPr>
        <w:t>9</w:t>
      </w:r>
      <w:r>
        <w:rPr>
          <w:rFonts w:hint="eastAsia" w:ascii="宋体" w:hAnsi="宋体" w:cs="宋体"/>
          <w:color w:val="auto"/>
          <w:szCs w:val="24"/>
          <w:highlight w:val="none"/>
        </w:rPr>
        <w:t>、物业服务人员在</w:t>
      </w:r>
      <w:r>
        <w:rPr>
          <w:rFonts w:hint="eastAsia" w:ascii="宋体" w:hAnsi="宋体" w:cs="宋体"/>
          <w:color w:val="auto"/>
          <w:szCs w:val="24"/>
          <w:highlight w:val="none"/>
          <w:lang w:val="en-US" w:eastAsia="zh-CN"/>
        </w:rPr>
        <w:t>院</w:t>
      </w:r>
      <w:r>
        <w:rPr>
          <w:rFonts w:hint="eastAsia" w:ascii="宋体" w:hAnsi="宋体" w:cs="宋体"/>
          <w:color w:val="auto"/>
          <w:szCs w:val="24"/>
          <w:highlight w:val="none"/>
        </w:rPr>
        <w:t>工作期间，因事（病）需要请假的，必须经乙方负责人和甲方管理人员审核同意，才能离开</w:t>
      </w:r>
      <w:r>
        <w:rPr>
          <w:rFonts w:hint="eastAsia" w:ascii="宋体" w:hAnsi="宋体" w:cs="宋体"/>
          <w:color w:val="auto"/>
          <w:szCs w:val="24"/>
          <w:highlight w:val="none"/>
          <w:lang w:val="en-US" w:eastAsia="zh-CN"/>
        </w:rPr>
        <w:t>医院</w:t>
      </w:r>
      <w:r>
        <w:rPr>
          <w:rFonts w:hint="eastAsia" w:ascii="宋体" w:hAnsi="宋体" w:cs="宋体"/>
          <w:color w:val="auto"/>
          <w:szCs w:val="24"/>
          <w:highlight w:val="none"/>
        </w:rPr>
        <w:t>，缺岗期间，由乙方负责补齐服务工作人员，以保障</w:t>
      </w:r>
      <w:r>
        <w:rPr>
          <w:rFonts w:hint="eastAsia" w:ascii="宋体" w:hAnsi="宋体" w:cs="宋体"/>
          <w:color w:val="auto"/>
          <w:szCs w:val="24"/>
          <w:highlight w:val="none"/>
          <w:lang w:val="en-US" w:eastAsia="zh-CN"/>
        </w:rPr>
        <w:t>医院</w:t>
      </w:r>
      <w:r>
        <w:rPr>
          <w:rFonts w:hint="eastAsia" w:ascii="宋体" w:hAnsi="宋体" w:cs="宋体"/>
          <w:color w:val="auto"/>
          <w:szCs w:val="24"/>
          <w:highlight w:val="none"/>
        </w:rPr>
        <w:t>保洁工作正常进行。</w:t>
      </w:r>
    </w:p>
    <w:p w14:paraId="34B4255F">
      <w:pPr>
        <w:tabs>
          <w:tab w:val="left" w:pos="3960"/>
        </w:tabs>
        <w:snapToGrid w:val="0"/>
        <w:spacing w:line="360" w:lineRule="auto"/>
        <w:ind w:firstLine="420" w:firstLineChars="200"/>
        <w:rPr>
          <w:rFonts w:hint="eastAsia" w:ascii="宋体" w:hAnsi="宋体" w:cs="宋体"/>
          <w:color w:val="auto"/>
          <w:szCs w:val="24"/>
          <w:highlight w:val="none"/>
        </w:rPr>
      </w:pPr>
      <w:r>
        <w:rPr>
          <w:rFonts w:ascii="宋体" w:hAnsi="宋体" w:cs="宋体"/>
          <w:color w:val="auto"/>
          <w:szCs w:val="24"/>
          <w:highlight w:val="none"/>
        </w:rPr>
        <w:t>1</w:t>
      </w:r>
      <w:r>
        <w:rPr>
          <w:rFonts w:hint="eastAsia" w:ascii="宋体" w:hAnsi="宋体" w:cs="宋体"/>
          <w:color w:val="auto"/>
          <w:szCs w:val="24"/>
          <w:highlight w:val="none"/>
          <w:lang w:val="en-US" w:eastAsia="zh-CN"/>
        </w:rPr>
        <w:t>0</w:t>
      </w:r>
      <w:r>
        <w:rPr>
          <w:rFonts w:hint="eastAsia" w:ascii="宋体" w:hAnsi="宋体" w:cs="宋体"/>
          <w:color w:val="auto"/>
          <w:szCs w:val="24"/>
          <w:highlight w:val="none"/>
        </w:rPr>
        <w:t>、对于不适应</w:t>
      </w:r>
      <w:r>
        <w:rPr>
          <w:rFonts w:hint="eastAsia" w:ascii="宋体" w:hAnsi="宋体" w:cs="宋体"/>
          <w:color w:val="auto"/>
          <w:szCs w:val="24"/>
          <w:highlight w:val="none"/>
          <w:lang w:val="en-US" w:eastAsia="zh-CN"/>
        </w:rPr>
        <w:t>医院</w:t>
      </w:r>
      <w:r>
        <w:rPr>
          <w:rFonts w:hint="eastAsia" w:ascii="宋体" w:hAnsi="宋体" w:cs="宋体"/>
          <w:color w:val="auto"/>
          <w:szCs w:val="24"/>
          <w:highlight w:val="none"/>
        </w:rPr>
        <w:t>物业服务的人员，甲方有权申请乙方给予更换。</w:t>
      </w:r>
    </w:p>
    <w:p w14:paraId="53A3560D">
      <w:pPr>
        <w:tabs>
          <w:tab w:val="left" w:pos="3960"/>
        </w:tabs>
        <w:snapToGrid w:val="0"/>
        <w:spacing w:line="360" w:lineRule="auto"/>
        <w:ind w:firstLine="420" w:firstLineChars="200"/>
        <w:rPr>
          <w:rFonts w:hint="eastAsia" w:ascii="宋体" w:hAnsi="宋体" w:cs="宋体"/>
          <w:color w:val="auto"/>
          <w:szCs w:val="24"/>
          <w:highlight w:val="none"/>
        </w:rPr>
      </w:pPr>
      <w:r>
        <w:rPr>
          <w:rFonts w:ascii="宋体" w:hAnsi="宋体" w:cs="宋体"/>
          <w:color w:val="auto"/>
          <w:szCs w:val="24"/>
          <w:highlight w:val="none"/>
        </w:rPr>
        <w:t>1</w:t>
      </w:r>
      <w:r>
        <w:rPr>
          <w:rFonts w:hint="eastAsia" w:ascii="宋体" w:hAnsi="宋体" w:cs="宋体"/>
          <w:color w:val="auto"/>
          <w:szCs w:val="24"/>
          <w:highlight w:val="none"/>
          <w:lang w:val="en-US" w:eastAsia="zh-CN"/>
        </w:rPr>
        <w:t>1</w:t>
      </w:r>
      <w:r>
        <w:rPr>
          <w:rFonts w:hint="eastAsia" w:ascii="宋体" w:hAnsi="宋体" w:cs="宋体"/>
          <w:color w:val="auto"/>
          <w:szCs w:val="24"/>
          <w:highlight w:val="none"/>
        </w:rPr>
        <w:t>、乙方需服从甲方管理，配合甲方做好卫生保洁、安保工作，服务人员需保证至少能在岗1年。须按甲方要求承担一些临时性工作安班，甲方有权更换不合格人员。因甲方需求会有变化和调整，会在总体控制的原则下协商微调，并配合甲方做好相关工作要求。</w:t>
      </w:r>
    </w:p>
    <w:p w14:paraId="60F77C3E">
      <w:pPr>
        <w:tabs>
          <w:tab w:val="left" w:pos="3960"/>
        </w:tabs>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rPr>
        <w:t>、对物业的设施、设备，乙方不得擅自占用和改变使用功能，如需在物业内改扩建或完善配套项目，须与甲方协商，经甲方同意后报有关部门批准方可实施。</w:t>
      </w:r>
    </w:p>
    <w:p w14:paraId="1A014DF5">
      <w:pPr>
        <w:tabs>
          <w:tab w:val="left" w:pos="3960"/>
        </w:tabs>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、甲方移交的相关资料、设备设施，乙方须建立物业管理档案并妥善保管。</w:t>
      </w:r>
    </w:p>
    <w:p w14:paraId="4B8873EB">
      <w:pPr>
        <w:tabs>
          <w:tab w:val="left" w:pos="3960"/>
        </w:tabs>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4</w:t>
      </w:r>
      <w:r>
        <w:rPr>
          <w:rFonts w:hint="eastAsia" w:ascii="宋体" w:hAnsi="宋体" w:cs="宋体"/>
          <w:color w:val="auto"/>
          <w:szCs w:val="24"/>
          <w:highlight w:val="none"/>
        </w:rPr>
        <w:t>、乙方有权对派出人员的违反法律、法规、规章的行为进行处理。根据实际情况采取批评、规劝、警告、制止等处理措施。</w:t>
      </w:r>
    </w:p>
    <w:p w14:paraId="353BA73B">
      <w:pPr>
        <w:tabs>
          <w:tab w:val="left" w:pos="3960"/>
        </w:tabs>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、管理期满后乙方应向甲方移交全部专用房屋及有关财产、资料。</w:t>
      </w:r>
    </w:p>
    <w:p w14:paraId="1B699DB2">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w:t>
      </w:r>
      <w:r>
        <w:rPr>
          <w:rFonts w:hint="eastAsia" w:ascii="宋体" w:hAnsi="宋体" w:cs="宋体"/>
          <w:color w:val="auto"/>
          <w:szCs w:val="24"/>
          <w:highlight w:val="none"/>
          <w:lang w:val="en-US" w:eastAsia="zh-CN"/>
        </w:rPr>
        <w:t>6</w:t>
      </w:r>
      <w:r>
        <w:rPr>
          <w:rFonts w:hint="eastAsia" w:ascii="宋体" w:hAnsi="宋体" w:cs="宋体"/>
          <w:color w:val="auto"/>
          <w:szCs w:val="24"/>
          <w:highlight w:val="none"/>
        </w:rPr>
        <w:t>、</w:t>
      </w:r>
      <w:r>
        <w:rPr>
          <w:rFonts w:hint="eastAsia" w:ascii="宋体" w:hAnsi="宋体"/>
          <w:color w:val="auto"/>
          <w:highlight w:val="none"/>
        </w:rPr>
        <w:t>乙方应对工作人员购买相应保险，对工作人员的疾病和人身安全负责。</w:t>
      </w:r>
    </w:p>
    <w:p w14:paraId="2E392224">
      <w:pPr>
        <w:snapToGrid w:val="0"/>
        <w:spacing w:line="360" w:lineRule="auto"/>
        <w:ind w:firstLine="420" w:firstLineChars="200"/>
        <w:rPr>
          <w:rFonts w:hint="eastAsia" w:ascii="宋体" w:hAnsi="宋体" w:cs="宋体"/>
          <w:color w:val="auto"/>
          <w:szCs w:val="24"/>
          <w:highlight w:val="none"/>
        </w:rPr>
      </w:pPr>
      <w:r>
        <w:rPr>
          <w:rFonts w:ascii="宋体" w:hAnsi="宋体" w:cs="宋体"/>
          <w:color w:val="auto"/>
          <w:szCs w:val="24"/>
          <w:highlight w:val="none"/>
        </w:rPr>
        <w:t>1</w:t>
      </w:r>
      <w:r>
        <w:rPr>
          <w:rFonts w:hint="eastAsia" w:ascii="宋体" w:hAnsi="宋体" w:cs="宋体"/>
          <w:color w:val="auto"/>
          <w:szCs w:val="24"/>
          <w:highlight w:val="none"/>
          <w:lang w:val="en-US" w:eastAsia="zh-CN"/>
        </w:rPr>
        <w:t>7</w:t>
      </w:r>
      <w:r>
        <w:rPr>
          <w:rFonts w:hint="eastAsia" w:ascii="宋体" w:hAnsi="宋体" w:cs="宋体"/>
          <w:color w:val="auto"/>
          <w:szCs w:val="24"/>
          <w:highlight w:val="none"/>
        </w:rPr>
        <w:t>、法律、政策规定由乙方承担的其它责任。</w:t>
      </w:r>
    </w:p>
    <w:p w14:paraId="3A8D1ED9">
      <w:pPr>
        <w:snapToGrid w:val="0"/>
        <w:spacing w:line="360" w:lineRule="auto"/>
        <w:ind w:firstLine="422" w:firstLineChars="200"/>
        <w:rPr>
          <w:rFonts w:hint="eastAsia" w:ascii="宋体" w:hAnsi="宋体" w:cs="宋体"/>
          <w:b/>
          <w:color w:val="auto"/>
          <w:szCs w:val="24"/>
          <w:highlight w:val="none"/>
        </w:rPr>
      </w:pPr>
      <w:r>
        <w:rPr>
          <w:rFonts w:hint="eastAsia" w:ascii="宋体" w:hAnsi="宋体" w:cs="宋体"/>
          <w:b/>
          <w:color w:val="auto"/>
          <w:szCs w:val="24"/>
          <w:highlight w:val="none"/>
        </w:rPr>
        <w:t>第七条 履约担保</w:t>
      </w:r>
    </w:p>
    <w:p w14:paraId="26FE2639">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1.履约担保的形式：</w:t>
      </w:r>
      <w:r>
        <w:rPr>
          <w:rFonts w:hint="eastAsia" w:ascii="宋体" w:hAnsi="宋体" w:cs="宋体"/>
          <w:color w:val="auto"/>
          <w:szCs w:val="24"/>
          <w:highlight w:val="none"/>
          <w:u w:val="single"/>
        </w:rPr>
        <w:t xml:space="preserve"> </w:t>
      </w:r>
      <w:r>
        <w:rPr>
          <w:rFonts w:ascii="宋体" w:hAnsi="宋体" w:cs="宋体"/>
          <w:color w:val="auto"/>
          <w:szCs w:val="24"/>
          <w:highlight w:val="none"/>
          <w:u w:val="single"/>
        </w:rPr>
        <w:t xml:space="preserve">        </w:t>
      </w:r>
      <w:r>
        <w:rPr>
          <w:rFonts w:hint="eastAsia" w:ascii="宋体" w:hAnsi="宋体" w:cs="宋体"/>
          <w:color w:val="auto"/>
          <w:szCs w:val="24"/>
          <w:highlight w:val="none"/>
        </w:rPr>
        <w:t>。</w:t>
      </w:r>
    </w:p>
    <w:p w14:paraId="7F0D1E16">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2.履约担保的金额：</w:t>
      </w:r>
      <w:r>
        <w:rPr>
          <w:rFonts w:hint="eastAsia" w:ascii="宋体" w:hAnsi="宋体" w:cs="宋体"/>
          <w:color w:val="auto"/>
          <w:szCs w:val="24"/>
          <w:highlight w:val="none"/>
          <w:u w:val="single"/>
        </w:rPr>
        <w:t xml:space="preserve">合同金额的5%（大写人民币： </w:t>
      </w:r>
      <w:r>
        <w:rPr>
          <w:rFonts w:ascii="宋体" w:hAnsi="宋体" w:cs="宋体"/>
          <w:color w:val="auto"/>
          <w:szCs w:val="24"/>
          <w:highlight w:val="none"/>
          <w:u w:val="single"/>
        </w:rPr>
        <w:t xml:space="preserve">            </w:t>
      </w:r>
      <w:r>
        <w:rPr>
          <w:rFonts w:hint="eastAsia" w:ascii="宋体" w:hAnsi="宋体" w:cs="宋体"/>
          <w:color w:val="auto"/>
          <w:szCs w:val="24"/>
          <w:highlight w:val="none"/>
          <w:u w:val="single"/>
        </w:rPr>
        <w:t xml:space="preserve">；¥ </w:t>
      </w:r>
      <w:r>
        <w:rPr>
          <w:rFonts w:ascii="宋体" w:hAnsi="宋体" w:cs="宋体"/>
          <w:color w:val="auto"/>
          <w:szCs w:val="24"/>
          <w:highlight w:val="none"/>
          <w:u w:val="single"/>
        </w:rPr>
        <w:t xml:space="preserve">       </w:t>
      </w:r>
      <w:r>
        <w:rPr>
          <w:rFonts w:hint="eastAsia" w:ascii="宋体" w:hAnsi="宋体" w:cs="宋体"/>
          <w:color w:val="auto"/>
          <w:szCs w:val="24"/>
          <w:highlight w:val="none"/>
          <w:u w:val="single"/>
        </w:rPr>
        <w:t>元）</w:t>
      </w:r>
      <w:r>
        <w:rPr>
          <w:rFonts w:hint="eastAsia" w:ascii="宋体" w:hAnsi="宋体" w:cs="宋体"/>
          <w:color w:val="auto"/>
          <w:szCs w:val="24"/>
          <w:highlight w:val="none"/>
        </w:rPr>
        <w:t>。</w:t>
      </w:r>
    </w:p>
    <w:p w14:paraId="354839D7">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w:t>
      </w:r>
      <w:r>
        <w:rPr>
          <w:color w:val="auto"/>
          <w:highlight w:val="none"/>
        </w:rPr>
        <w:t>履约保证金的提交时间：合同签订后5个工作日内提交</w:t>
      </w:r>
      <w:r>
        <w:rPr>
          <w:rFonts w:hint="eastAsia"/>
          <w:color w:val="auto"/>
          <w:highlight w:val="none"/>
        </w:rPr>
        <w:t>。</w:t>
      </w:r>
    </w:p>
    <w:p w14:paraId="5E1A7427">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4.履约担保的退还：</w:t>
      </w:r>
      <w:r>
        <w:rPr>
          <w:rFonts w:hint="eastAsia" w:ascii="宋体" w:hAnsi="宋体" w:cs="宋体"/>
          <w:color w:val="auto"/>
          <w:szCs w:val="24"/>
          <w:highlight w:val="none"/>
          <w:u w:val="single"/>
        </w:rPr>
        <w:t>合同履行期届满后，经甲乙双方协商一致，由甲方根据乙方支付履约保证金的原账户予以退还。</w:t>
      </w:r>
    </w:p>
    <w:p w14:paraId="23D117E1">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    5.履约保证金不予退还的情形：</w:t>
      </w:r>
      <w:r>
        <w:rPr>
          <w:rFonts w:hint="eastAsia" w:ascii="宋体" w:hAnsi="宋体" w:cs="宋体"/>
          <w:color w:val="auto"/>
          <w:szCs w:val="24"/>
          <w:highlight w:val="none"/>
          <w:u w:val="single"/>
        </w:rPr>
        <w:t>在本合同履行过程中，乙方违反法律规定及合同约定未尽到相应职责，多次考核不合格或引发诉讼纠纷的，履约保证金不予退还。</w:t>
      </w:r>
    </w:p>
    <w:p w14:paraId="2EDFACB9">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   6.逾期退还履约保证金的违约责任：</w:t>
      </w:r>
      <w:r>
        <w:rPr>
          <w:rFonts w:hint="eastAsia" w:ascii="宋体" w:hAnsi="宋体" w:cs="宋体"/>
          <w:color w:val="auto"/>
          <w:szCs w:val="24"/>
          <w:highlight w:val="none"/>
          <w:u w:val="single"/>
        </w:rPr>
        <w:t>合同期满并满足退还履约保证金条件后，由甲乙双方具体协商确定。</w:t>
      </w:r>
    </w:p>
    <w:p w14:paraId="637D6EF8">
      <w:pPr>
        <w:snapToGrid w:val="0"/>
        <w:spacing w:line="360" w:lineRule="auto"/>
        <w:jc w:val="center"/>
        <w:outlineLvl w:val="2"/>
        <w:rPr>
          <w:rFonts w:hint="eastAsia" w:ascii="宋体" w:hAnsi="宋体" w:cs="宋体"/>
          <w:b/>
          <w:bCs/>
          <w:color w:val="auto"/>
          <w:sz w:val="24"/>
          <w:szCs w:val="24"/>
          <w:highlight w:val="none"/>
        </w:rPr>
      </w:pPr>
      <w:bookmarkStart w:id="1069" w:name="_Toc24056"/>
      <w:r>
        <w:rPr>
          <w:rFonts w:hint="eastAsia" w:ascii="宋体" w:hAnsi="宋体" w:cs="宋体"/>
          <w:b/>
          <w:bCs/>
          <w:color w:val="auto"/>
          <w:sz w:val="24"/>
          <w:szCs w:val="24"/>
          <w:highlight w:val="none"/>
        </w:rPr>
        <w:t>第三章 合同期限和费用</w:t>
      </w:r>
      <w:bookmarkEnd w:id="1069"/>
    </w:p>
    <w:p w14:paraId="5E171222">
      <w:pPr>
        <w:snapToGrid w:val="0"/>
        <w:spacing w:line="360" w:lineRule="auto"/>
        <w:ind w:firstLine="422" w:firstLineChars="200"/>
        <w:rPr>
          <w:rFonts w:hint="eastAsia" w:ascii="宋体" w:hAnsi="宋体" w:cs="宋体"/>
          <w:color w:val="auto"/>
          <w:szCs w:val="24"/>
          <w:highlight w:val="none"/>
          <w:u w:val="single"/>
        </w:rPr>
      </w:pPr>
      <w:r>
        <w:rPr>
          <w:rFonts w:hint="eastAsia" w:ascii="宋体" w:hAnsi="宋体" w:cs="宋体"/>
          <w:b/>
          <w:color w:val="auto"/>
          <w:szCs w:val="24"/>
          <w:highlight w:val="none"/>
        </w:rPr>
        <w:t>第八条</w:t>
      </w:r>
      <w:r>
        <w:rPr>
          <w:rFonts w:hint="eastAsia" w:ascii="宋体" w:hAnsi="宋体" w:cs="宋体"/>
          <w:color w:val="auto"/>
          <w:szCs w:val="24"/>
          <w:highlight w:val="none"/>
        </w:rPr>
        <w:t xml:space="preserve"> 本合同期限</w:t>
      </w:r>
      <w:r>
        <w:rPr>
          <w:rFonts w:hint="eastAsia" w:ascii="宋体" w:hAnsi="宋体" w:cs="宋体"/>
          <w:color w:val="auto"/>
          <w:szCs w:val="24"/>
          <w:highlight w:val="none"/>
          <w:u w:val="single"/>
        </w:rPr>
        <w:t>自    年   月   日起至    年   月   日止，为期     年</w:t>
      </w:r>
      <w:r>
        <w:rPr>
          <w:rFonts w:hint="eastAsia" w:ascii="宋体" w:hAnsi="宋体" w:cs="宋体"/>
          <w:color w:val="auto"/>
          <w:szCs w:val="24"/>
          <w:highlight w:val="none"/>
        </w:rPr>
        <w:t>。各项目的合同期限和费用，具体如下：</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w:t>
      </w:r>
    </w:p>
    <w:p w14:paraId="361F8DBA">
      <w:pPr>
        <w:snapToGrid w:val="0"/>
        <w:spacing w:line="360" w:lineRule="auto"/>
        <w:ind w:firstLine="422" w:firstLineChars="200"/>
        <w:rPr>
          <w:rFonts w:hint="eastAsia" w:ascii="宋体" w:hAnsi="宋体" w:cs="宋体"/>
          <w:color w:val="auto"/>
          <w:szCs w:val="24"/>
          <w:highlight w:val="none"/>
        </w:rPr>
      </w:pPr>
      <w:r>
        <w:rPr>
          <w:rFonts w:hint="eastAsia" w:ascii="宋体" w:hAnsi="宋体" w:cs="宋体"/>
          <w:b/>
          <w:color w:val="auto"/>
          <w:szCs w:val="24"/>
          <w:highlight w:val="none"/>
        </w:rPr>
        <w:t>第九条</w:t>
      </w:r>
      <w:r>
        <w:rPr>
          <w:rFonts w:hint="eastAsia" w:ascii="宋体" w:hAnsi="宋体" w:cs="宋体"/>
          <w:color w:val="auto"/>
          <w:szCs w:val="24"/>
          <w:highlight w:val="none"/>
        </w:rPr>
        <w:t xml:space="preserve"> 如本合同未详列的服务内容或甲方需另行增加的工作，乙方根据甲方的需要提前告知收费标准，经甲方确认后并在符合政府采购相关规定的前提下方可执行，具体发生费用由双方签字确认并经采购流程审核通过后方可结算。</w:t>
      </w:r>
    </w:p>
    <w:p w14:paraId="738CD735">
      <w:pPr>
        <w:widowControl/>
        <w:snapToGrid w:val="0"/>
        <w:spacing w:line="360" w:lineRule="auto"/>
        <w:ind w:firstLine="422" w:firstLineChars="200"/>
        <w:jc w:val="left"/>
        <w:rPr>
          <w:rFonts w:hint="eastAsia" w:ascii="宋体" w:hAnsi="宋体" w:cs="宋体"/>
          <w:color w:val="auto"/>
          <w:highlight w:val="none"/>
        </w:rPr>
      </w:pPr>
      <w:r>
        <w:rPr>
          <w:rFonts w:hint="eastAsia" w:ascii="宋体" w:hAnsi="宋体" w:cs="宋体"/>
          <w:b/>
          <w:color w:val="auto"/>
          <w:highlight w:val="none"/>
        </w:rPr>
        <w:t xml:space="preserve">第十条 </w:t>
      </w:r>
      <w:r>
        <w:rPr>
          <w:rFonts w:hint="eastAsia" w:ascii="宋体" w:hAnsi="宋体" w:cs="宋体"/>
          <w:color w:val="auto"/>
          <w:highlight w:val="none"/>
        </w:rPr>
        <w:t>乙方员工因节假日加班、培训、办证、劳保、防暑而产生的费用，由乙方自行承担。</w:t>
      </w:r>
    </w:p>
    <w:p w14:paraId="7D2906C2">
      <w:pPr>
        <w:snapToGrid w:val="0"/>
        <w:spacing w:line="360" w:lineRule="auto"/>
        <w:ind w:firstLine="422" w:firstLineChars="200"/>
        <w:rPr>
          <w:rFonts w:hint="eastAsia" w:ascii="宋体" w:hAnsi="宋体" w:cs="宋体"/>
          <w:b/>
          <w:color w:val="auto"/>
          <w:szCs w:val="24"/>
          <w:highlight w:val="none"/>
        </w:rPr>
      </w:pPr>
      <w:r>
        <w:rPr>
          <w:rFonts w:hint="eastAsia" w:ascii="宋体" w:hAnsi="宋体" w:cs="宋体"/>
          <w:b/>
          <w:color w:val="auto"/>
          <w:szCs w:val="24"/>
          <w:highlight w:val="none"/>
        </w:rPr>
        <w:t>第十一条 物业服务费用的支付时间及方式</w:t>
      </w:r>
    </w:p>
    <w:p w14:paraId="29F54015">
      <w:pPr>
        <w:snapToGrid w:val="0"/>
        <w:spacing w:line="360" w:lineRule="auto"/>
        <w:ind w:left="420" w:leftChars="200"/>
        <w:rPr>
          <w:rFonts w:hint="eastAsia" w:ascii="宋体" w:hAnsi="宋体" w:cs="宋体"/>
          <w:color w:val="auto"/>
          <w:szCs w:val="24"/>
          <w:highlight w:val="none"/>
        </w:rPr>
      </w:pPr>
      <w:r>
        <w:rPr>
          <w:rFonts w:hint="eastAsia" w:ascii="宋体" w:hAnsi="宋体" w:cs="宋体"/>
          <w:color w:val="auto"/>
          <w:szCs w:val="24"/>
          <w:highlight w:val="none"/>
        </w:rPr>
        <w:t>1.固定服务费用：服务费用按</w:t>
      </w:r>
      <w:r>
        <w:rPr>
          <w:rFonts w:hint="eastAsia" w:ascii="宋体" w:hAnsi="宋体" w:cs="宋体"/>
          <w:color w:val="auto"/>
          <w:szCs w:val="24"/>
          <w:highlight w:val="none"/>
          <w:u w:val="single"/>
        </w:rPr>
        <w:t xml:space="preserve">    （月度、季度、年度）</w:t>
      </w:r>
      <w:r>
        <w:rPr>
          <w:rFonts w:hint="eastAsia" w:ascii="宋体" w:hAnsi="宋体" w:cs="宋体"/>
          <w:color w:val="auto"/>
          <w:szCs w:val="24"/>
          <w:highlight w:val="none"/>
        </w:rPr>
        <w:t>付款,每</w:t>
      </w:r>
      <w:r>
        <w:rPr>
          <w:rFonts w:hint="eastAsia" w:ascii="宋体" w:hAnsi="宋体" w:cs="宋体"/>
          <w:color w:val="auto"/>
          <w:szCs w:val="24"/>
          <w:highlight w:val="none"/>
          <w:u w:val="single"/>
        </w:rPr>
        <w:t xml:space="preserve">  （月、季、年）</w:t>
      </w:r>
      <w:r>
        <w:rPr>
          <w:rFonts w:hint="eastAsia" w:ascii="宋体" w:hAnsi="宋体" w:cs="宋体"/>
          <w:color w:val="auto"/>
          <w:szCs w:val="24"/>
          <w:highlight w:val="none"/>
        </w:rPr>
        <w:t>支付一次，每</w:t>
      </w:r>
      <w:r>
        <w:rPr>
          <w:rFonts w:hint="eastAsia" w:ascii="宋体" w:hAnsi="宋体" w:cs="宋体"/>
          <w:color w:val="auto"/>
          <w:szCs w:val="24"/>
          <w:highlight w:val="none"/>
          <w:u w:val="single"/>
        </w:rPr>
        <w:t xml:space="preserve">   （月、季、年）</w:t>
      </w:r>
      <w:r>
        <w:rPr>
          <w:rFonts w:hint="eastAsia" w:ascii="宋体" w:hAnsi="宋体" w:cs="宋体"/>
          <w:color w:val="auto"/>
          <w:szCs w:val="24"/>
          <w:highlight w:val="none"/>
        </w:rPr>
        <w:t>度末经甲方验收合格后向乙方转帐支付大写：</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元整。（小写：</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元）。</w:t>
      </w:r>
    </w:p>
    <w:p w14:paraId="6B7AB51B">
      <w:pPr>
        <w:spacing w:line="360" w:lineRule="auto"/>
        <w:ind w:left="105" w:leftChars="50" w:right="105" w:rightChars="50" w:firstLine="315"/>
        <w:rPr>
          <w:rFonts w:hint="eastAsia" w:ascii="宋体" w:hAnsi="宋体"/>
          <w:color w:val="auto"/>
          <w:szCs w:val="21"/>
          <w:highlight w:val="none"/>
        </w:rPr>
      </w:pPr>
      <w:r>
        <w:rPr>
          <w:rFonts w:hint="eastAsia" w:ascii="宋体" w:hAnsi="宋体" w:cs="宋体"/>
          <w:color w:val="auto"/>
          <w:szCs w:val="24"/>
          <w:highlight w:val="none"/>
        </w:rPr>
        <w:t>注：物业费包括合同服务</w:t>
      </w:r>
      <w:r>
        <w:rPr>
          <w:rFonts w:hint="eastAsia" w:ascii="宋体" w:hAnsi="宋体"/>
          <w:bCs/>
          <w:color w:val="auto"/>
          <w:szCs w:val="21"/>
          <w:highlight w:val="none"/>
        </w:rPr>
        <w:t>范围内的所有服务内容所需的全部费用，包括但不限于人工费、办公设备费、管理费、保险、税金、利润等所有费用。</w:t>
      </w:r>
    </w:p>
    <w:p w14:paraId="40A825FE">
      <w:pPr>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2.付款进度：</w:t>
      </w:r>
    </w:p>
    <w:p w14:paraId="0DC65C3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日，甲方向乙方支付合同款的</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元，大写：人民币</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DCD574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日，甲方向乙方支付合同款的</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元，大写：人民币</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999B40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（3）合同完成支付时间：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389B5E3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（4）乙方银行信息如下：</w:t>
      </w:r>
    </w:p>
    <w:p w14:paraId="3B79FAE9">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开户行：</w:t>
      </w:r>
      <w:r>
        <w:rPr>
          <w:rFonts w:hint="eastAsia" w:ascii="宋体" w:hAnsi="宋体" w:cs="宋体"/>
          <w:color w:val="auto"/>
          <w:highlight w:val="none"/>
          <w:u w:val="single"/>
        </w:rPr>
        <w:t xml:space="preserve">                   </w:t>
      </w:r>
    </w:p>
    <w:p w14:paraId="519B8673">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 xml:space="preserve">地址： </w:t>
      </w:r>
      <w:r>
        <w:rPr>
          <w:rFonts w:hint="eastAsia" w:ascii="宋体" w:hAnsi="宋体" w:cs="宋体"/>
          <w:color w:val="auto"/>
          <w:highlight w:val="none"/>
          <w:u w:val="single"/>
        </w:rPr>
        <w:t xml:space="preserve">                    </w:t>
      </w:r>
    </w:p>
    <w:p w14:paraId="5681C065">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 xml:space="preserve">户名： </w:t>
      </w:r>
      <w:r>
        <w:rPr>
          <w:rFonts w:hint="eastAsia" w:ascii="宋体" w:hAnsi="宋体" w:cs="宋体"/>
          <w:color w:val="auto"/>
          <w:highlight w:val="none"/>
          <w:u w:val="single"/>
        </w:rPr>
        <w:t xml:space="preserve">                    </w:t>
      </w:r>
    </w:p>
    <w:p w14:paraId="4ABEBBA2">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 xml:space="preserve">账号： </w:t>
      </w:r>
      <w:r>
        <w:rPr>
          <w:rFonts w:hint="eastAsia" w:ascii="宋体" w:hAnsi="宋体" w:cs="宋体"/>
          <w:color w:val="auto"/>
          <w:highlight w:val="none"/>
          <w:u w:val="single"/>
        </w:rPr>
        <w:t xml:space="preserve">                    </w:t>
      </w:r>
    </w:p>
    <w:p w14:paraId="123100A2">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3.服务费用支付前，乙方应向甲方提供正式发票。</w:t>
      </w:r>
    </w:p>
    <w:p w14:paraId="7CF204F7">
      <w:pPr>
        <w:snapToGrid w:val="0"/>
        <w:spacing w:line="360" w:lineRule="auto"/>
        <w:jc w:val="center"/>
        <w:outlineLvl w:val="2"/>
        <w:rPr>
          <w:rFonts w:hint="eastAsia" w:ascii="宋体" w:hAnsi="宋体" w:cs="宋体"/>
          <w:b/>
          <w:bCs/>
          <w:color w:val="auto"/>
          <w:sz w:val="24"/>
          <w:szCs w:val="24"/>
          <w:highlight w:val="none"/>
        </w:rPr>
      </w:pPr>
      <w:bookmarkStart w:id="1070" w:name="_Toc8739"/>
      <w:r>
        <w:rPr>
          <w:rFonts w:hint="eastAsia" w:ascii="宋体" w:hAnsi="宋体" w:cs="宋体"/>
          <w:b/>
          <w:bCs/>
          <w:color w:val="auto"/>
          <w:sz w:val="24"/>
          <w:szCs w:val="24"/>
          <w:highlight w:val="none"/>
        </w:rPr>
        <w:t>第四章 工作标准及服务人员配置</w:t>
      </w:r>
      <w:bookmarkEnd w:id="1070"/>
      <w:r>
        <w:rPr>
          <w:rFonts w:hint="eastAsia" w:ascii="宋体" w:hAnsi="宋体" w:cs="宋体"/>
          <w:b/>
          <w:bCs/>
          <w:color w:val="auto"/>
          <w:sz w:val="24"/>
          <w:szCs w:val="24"/>
          <w:highlight w:val="none"/>
        </w:rPr>
        <w:t xml:space="preserve"> </w:t>
      </w:r>
    </w:p>
    <w:p w14:paraId="531FA8FC">
      <w:pPr>
        <w:snapToGrid w:val="0"/>
        <w:spacing w:line="360" w:lineRule="auto"/>
        <w:ind w:firstLine="422" w:firstLineChars="200"/>
        <w:rPr>
          <w:rFonts w:hint="eastAsia" w:ascii="宋体" w:hAnsi="宋体" w:cs="宋体"/>
          <w:b/>
          <w:color w:val="auto"/>
          <w:szCs w:val="24"/>
          <w:highlight w:val="none"/>
        </w:rPr>
      </w:pPr>
      <w:r>
        <w:rPr>
          <w:rFonts w:hint="eastAsia" w:ascii="宋体" w:hAnsi="宋体" w:cs="宋体"/>
          <w:b/>
          <w:color w:val="auto"/>
          <w:szCs w:val="24"/>
          <w:highlight w:val="none"/>
        </w:rPr>
        <w:t>第十二条 工作标准</w:t>
      </w:r>
    </w:p>
    <w:p w14:paraId="119C222E">
      <w:pPr>
        <w:spacing w:line="360" w:lineRule="auto"/>
        <w:ind w:left="105" w:leftChars="50" w:right="105" w:rightChars="50" w:firstLine="315"/>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1.所有派驻到医院的安保人员必须全部政审合格并持保安证上岗，同时消控室现场值班人员必须持有消防监督管理部门认可的建（构）筑物消防员证上岗。</w:t>
      </w:r>
    </w:p>
    <w:p w14:paraId="2FA34862">
      <w:pPr>
        <w:spacing w:line="360" w:lineRule="auto"/>
        <w:ind w:left="105" w:leftChars="50" w:right="105" w:rightChars="50" w:firstLine="315"/>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2.保安员要求：男性，年龄18-55岁，身体健康，五官端正。</w:t>
      </w:r>
    </w:p>
    <w:p w14:paraId="4EB699A4">
      <w:pPr>
        <w:spacing w:line="360" w:lineRule="auto"/>
        <w:ind w:left="105" w:leftChars="50" w:right="105" w:rightChars="50" w:firstLine="315"/>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3.现场管理负责人若须离开项目地点，须提前向院方保卫科管理部门报备。</w:t>
      </w:r>
    </w:p>
    <w:p w14:paraId="6C1221B8">
      <w:pPr>
        <w:spacing w:line="360" w:lineRule="auto"/>
        <w:ind w:left="105" w:leftChars="50" w:right="105" w:rightChars="50" w:firstLine="315"/>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4.因保卫工作涉及到的器械设备由医院提供，如对讲机、头盔、防刺背心、盾牌、橡胶棍等按（物资配备清单）要求配备。</w:t>
      </w:r>
    </w:p>
    <w:p w14:paraId="266AD003">
      <w:pPr>
        <w:spacing w:line="360" w:lineRule="auto"/>
        <w:ind w:left="105" w:leftChars="50" w:right="105" w:rightChars="50" w:firstLine="315"/>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5.派驻安保人员严格落实24小时工作制，禁止拉班。</w:t>
      </w:r>
    </w:p>
    <w:p w14:paraId="54F816C2">
      <w:pPr>
        <w:spacing w:line="360" w:lineRule="auto"/>
        <w:ind w:left="105" w:leftChars="50" w:right="105" w:rightChars="50" w:firstLine="315"/>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6.根据院区的要求做好出入院区内的车辆和人员询问、登记、引导、安检等，指挥车辆按要求有序停放，看管好院区内的公物和财产，维护好院区内正常的医疗工作和生活秩序，维护院区的其它合法利益。</w:t>
      </w:r>
    </w:p>
    <w:p w14:paraId="459E6477">
      <w:pPr>
        <w:spacing w:line="360" w:lineRule="auto"/>
        <w:ind w:left="105" w:leftChars="50" w:right="105" w:rightChars="50" w:firstLine="315"/>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7.认真执行院区有关安全规则制度，能熟练操作火灾自动报警系统、视频监控安防系统、灭火器、室内外消火栓、熟知电源总开关位置和会使用应急电源。</w:t>
      </w:r>
    </w:p>
    <w:p w14:paraId="2A162E9E">
      <w:pPr>
        <w:spacing w:line="360" w:lineRule="auto"/>
        <w:ind w:left="105" w:leftChars="50" w:right="105" w:rightChars="50" w:firstLine="315"/>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8.定时或不定时对院区内及院区周围进行巡逻，及时发现并消除安全隐患，对不能及时整改的安全隐患要立即报告医院保卫部。</w:t>
      </w:r>
    </w:p>
    <w:p w14:paraId="2B0262E8">
      <w:pPr>
        <w:spacing w:line="360" w:lineRule="auto"/>
        <w:ind w:left="105" w:leftChars="50" w:right="105" w:rightChars="50" w:firstLine="315"/>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9.做好院区内配置的消防设施、设备、器材的检查、维护工作，发现问题及时报告医院办公室。</w:t>
      </w:r>
    </w:p>
    <w:p w14:paraId="3DD3F099">
      <w:pPr>
        <w:spacing w:line="360" w:lineRule="auto"/>
        <w:ind w:left="105" w:leftChars="50" w:right="105" w:rightChars="50" w:firstLine="315"/>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10.及时制止处理在院区内发生的治安及其它事件，必要时及时向公安机关报告，并协助进行处理。</w:t>
      </w:r>
    </w:p>
    <w:p w14:paraId="6BDD4256">
      <w:pPr>
        <w:spacing w:line="360" w:lineRule="auto"/>
        <w:ind w:left="105" w:leftChars="50" w:right="105" w:rightChars="50" w:firstLine="315"/>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11.统一保安服装、佩戴统一标识上岗，自觉履行岗位工作职责，做到不脱岗、溜岗，上班执勤期间不做与工作无关的事，有事须向院区负责人和保安公司负责人请假，征得同意后方可离开岗位。做到爱岗敬业，忠于职守，文明服务，优质服务。</w:t>
      </w:r>
    </w:p>
    <w:p w14:paraId="7267453D">
      <w:pPr>
        <w:spacing w:line="360" w:lineRule="auto"/>
        <w:ind w:left="105" w:leftChars="50" w:right="105" w:rightChars="50" w:firstLine="315"/>
        <w:rPr>
          <w:rFonts w:hint="eastAsia" w:ascii="宋体" w:hAnsi="宋体" w:cs="宋体"/>
          <w:b/>
          <w:color w:val="auto"/>
          <w:szCs w:val="24"/>
          <w:highlight w:val="none"/>
        </w:rPr>
      </w:pPr>
      <w:r>
        <w:rPr>
          <w:rFonts w:hint="eastAsia" w:ascii="宋体" w:hAnsi="宋体" w:eastAsia="宋体" w:cs="宋体"/>
          <w:color w:val="auto"/>
          <w:szCs w:val="24"/>
          <w:highlight w:val="none"/>
          <w:lang w:val="en-US" w:eastAsia="zh-CN"/>
        </w:rPr>
        <w:t>12.积极配合完成院方临时下达的指令性工作。</w:t>
      </w:r>
    </w:p>
    <w:p w14:paraId="6BB567D2">
      <w:pPr>
        <w:snapToGrid w:val="0"/>
        <w:spacing w:line="360" w:lineRule="auto"/>
        <w:ind w:firstLine="422" w:firstLineChars="200"/>
        <w:rPr>
          <w:rFonts w:hint="eastAsia" w:ascii="宋体" w:hAnsi="宋体" w:cs="宋体"/>
          <w:b/>
          <w:color w:val="auto"/>
          <w:szCs w:val="24"/>
          <w:highlight w:val="none"/>
        </w:rPr>
      </w:pPr>
      <w:r>
        <w:rPr>
          <w:rFonts w:hint="eastAsia" w:ascii="宋体" w:hAnsi="宋体" w:cs="宋体"/>
          <w:b/>
          <w:color w:val="auto"/>
          <w:szCs w:val="24"/>
          <w:highlight w:val="none"/>
        </w:rPr>
        <w:t>第十三条 服务人员配置方案</w:t>
      </w:r>
    </w:p>
    <w:tbl>
      <w:tblPr>
        <w:tblStyle w:val="5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600"/>
        <w:gridCol w:w="1276"/>
        <w:gridCol w:w="1134"/>
        <w:gridCol w:w="1276"/>
        <w:gridCol w:w="1417"/>
        <w:gridCol w:w="1519"/>
      </w:tblGrid>
      <w:tr w14:paraId="5EE2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76" w:type="dxa"/>
            <w:vAlign w:val="center"/>
          </w:tcPr>
          <w:p w14:paraId="5EB7AD77">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序号</w:t>
            </w:r>
          </w:p>
        </w:tc>
        <w:tc>
          <w:tcPr>
            <w:tcW w:w="1600" w:type="dxa"/>
            <w:vAlign w:val="center"/>
          </w:tcPr>
          <w:p w14:paraId="6DC6120A">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姓名</w:t>
            </w:r>
          </w:p>
        </w:tc>
        <w:tc>
          <w:tcPr>
            <w:tcW w:w="1276" w:type="dxa"/>
            <w:vAlign w:val="center"/>
          </w:tcPr>
          <w:p w14:paraId="56313E23">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性别</w:t>
            </w:r>
          </w:p>
        </w:tc>
        <w:tc>
          <w:tcPr>
            <w:tcW w:w="1134" w:type="dxa"/>
            <w:vAlign w:val="center"/>
          </w:tcPr>
          <w:p w14:paraId="18719EFA">
            <w:pPr>
              <w:spacing w:line="360" w:lineRule="auto"/>
              <w:ind w:left="-107" w:leftChars="-51"/>
              <w:jc w:val="center"/>
              <w:rPr>
                <w:rFonts w:hint="eastAsia" w:ascii="宋体" w:hAnsi="宋体" w:cs="宋体"/>
                <w:color w:val="auto"/>
                <w:szCs w:val="24"/>
                <w:highlight w:val="none"/>
              </w:rPr>
            </w:pPr>
            <w:r>
              <w:rPr>
                <w:rFonts w:hint="eastAsia" w:ascii="宋体" w:hAnsi="宋体" w:cs="宋体"/>
                <w:color w:val="auto"/>
                <w:szCs w:val="24"/>
                <w:highlight w:val="none"/>
              </w:rPr>
              <w:t>年龄</w:t>
            </w:r>
          </w:p>
        </w:tc>
        <w:tc>
          <w:tcPr>
            <w:tcW w:w="1276" w:type="dxa"/>
            <w:vAlign w:val="center"/>
          </w:tcPr>
          <w:p w14:paraId="445DF9FD">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岗位</w:t>
            </w:r>
          </w:p>
        </w:tc>
        <w:tc>
          <w:tcPr>
            <w:tcW w:w="1417" w:type="dxa"/>
            <w:vAlign w:val="center"/>
          </w:tcPr>
          <w:p w14:paraId="2D5FCE5A">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健康状况</w:t>
            </w:r>
          </w:p>
        </w:tc>
        <w:tc>
          <w:tcPr>
            <w:tcW w:w="1519" w:type="dxa"/>
            <w:vAlign w:val="center"/>
          </w:tcPr>
          <w:p w14:paraId="223C769B">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备注</w:t>
            </w:r>
          </w:p>
        </w:tc>
      </w:tr>
      <w:tr w14:paraId="6C092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6" w:type="dxa"/>
            <w:vAlign w:val="center"/>
          </w:tcPr>
          <w:p w14:paraId="46C0AF1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600" w:type="dxa"/>
            <w:vAlign w:val="center"/>
          </w:tcPr>
          <w:p w14:paraId="1F833C6F">
            <w:pPr>
              <w:spacing w:line="360" w:lineRule="auto"/>
              <w:jc w:val="center"/>
              <w:rPr>
                <w:rFonts w:hint="eastAsia" w:ascii="宋体" w:hAnsi="宋体" w:cs="宋体"/>
                <w:color w:val="auto"/>
                <w:sz w:val="24"/>
                <w:szCs w:val="24"/>
                <w:highlight w:val="none"/>
              </w:rPr>
            </w:pPr>
          </w:p>
        </w:tc>
        <w:tc>
          <w:tcPr>
            <w:tcW w:w="1276" w:type="dxa"/>
            <w:vAlign w:val="center"/>
          </w:tcPr>
          <w:p w14:paraId="0D347948">
            <w:pPr>
              <w:spacing w:line="360" w:lineRule="auto"/>
              <w:jc w:val="center"/>
              <w:rPr>
                <w:rFonts w:hint="eastAsia" w:ascii="宋体" w:hAnsi="宋体" w:cs="宋体"/>
                <w:color w:val="auto"/>
                <w:sz w:val="24"/>
                <w:szCs w:val="24"/>
                <w:highlight w:val="none"/>
              </w:rPr>
            </w:pPr>
          </w:p>
        </w:tc>
        <w:tc>
          <w:tcPr>
            <w:tcW w:w="1134" w:type="dxa"/>
            <w:vAlign w:val="center"/>
          </w:tcPr>
          <w:p w14:paraId="08FDFCDA">
            <w:pPr>
              <w:spacing w:line="360" w:lineRule="auto"/>
              <w:jc w:val="center"/>
              <w:rPr>
                <w:rFonts w:hint="eastAsia" w:ascii="宋体" w:hAnsi="宋体" w:cs="宋体"/>
                <w:color w:val="auto"/>
                <w:sz w:val="24"/>
                <w:szCs w:val="24"/>
                <w:highlight w:val="none"/>
              </w:rPr>
            </w:pPr>
          </w:p>
        </w:tc>
        <w:tc>
          <w:tcPr>
            <w:tcW w:w="1276" w:type="dxa"/>
            <w:vAlign w:val="center"/>
          </w:tcPr>
          <w:p w14:paraId="303CD488">
            <w:pPr>
              <w:spacing w:line="360" w:lineRule="auto"/>
              <w:jc w:val="center"/>
              <w:rPr>
                <w:rFonts w:hint="eastAsia" w:ascii="宋体" w:hAnsi="宋体" w:cs="宋体"/>
                <w:color w:val="auto"/>
                <w:sz w:val="24"/>
                <w:szCs w:val="24"/>
                <w:highlight w:val="none"/>
              </w:rPr>
            </w:pPr>
          </w:p>
        </w:tc>
        <w:tc>
          <w:tcPr>
            <w:tcW w:w="1417" w:type="dxa"/>
            <w:vAlign w:val="center"/>
          </w:tcPr>
          <w:p w14:paraId="572247D5">
            <w:pPr>
              <w:jc w:val="center"/>
              <w:rPr>
                <w:rFonts w:hint="eastAsia" w:ascii="宋体" w:hAnsi="宋体" w:cs="宋体"/>
                <w:color w:val="auto"/>
                <w:szCs w:val="21"/>
                <w:highlight w:val="none"/>
              </w:rPr>
            </w:pPr>
          </w:p>
        </w:tc>
        <w:tc>
          <w:tcPr>
            <w:tcW w:w="1519" w:type="dxa"/>
            <w:vAlign w:val="center"/>
          </w:tcPr>
          <w:p w14:paraId="2BC978DF">
            <w:pPr>
              <w:spacing w:line="360" w:lineRule="auto"/>
              <w:jc w:val="center"/>
              <w:rPr>
                <w:rFonts w:hint="eastAsia" w:ascii="宋体" w:hAnsi="宋体" w:cs="宋体"/>
                <w:color w:val="auto"/>
                <w:sz w:val="24"/>
                <w:szCs w:val="24"/>
                <w:highlight w:val="none"/>
              </w:rPr>
            </w:pPr>
          </w:p>
        </w:tc>
      </w:tr>
      <w:tr w14:paraId="51A1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6" w:type="dxa"/>
            <w:vAlign w:val="center"/>
          </w:tcPr>
          <w:p w14:paraId="16D6D54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600" w:type="dxa"/>
            <w:vAlign w:val="center"/>
          </w:tcPr>
          <w:p w14:paraId="4D02682B">
            <w:pPr>
              <w:spacing w:line="360" w:lineRule="auto"/>
              <w:jc w:val="center"/>
              <w:rPr>
                <w:rFonts w:hint="eastAsia" w:ascii="宋体" w:hAnsi="宋体" w:cs="宋体"/>
                <w:color w:val="auto"/>
                <w:sz w:val="24"/>
                <w:szCs w:val="24"/>
                <w:highlight w:val="none"/>
              </w:rPr>
            </w:pPr>
          </w:p>
        </w:tc>
        <w:tc>
          <w:tcPr>
            <w:tcW w:w="1276" w:type="dxa"/>
            <w:vAlign w:val="center"/>
          </w:tcPr>
          <w:p w14:paraId="4FE2FDA1">
            <w:pPr>
              <w:spacing w:line="360" w:lineRule="auto"/>
              <w:jc w:val="center"/>
              <w:rPr>
                <w:rFonts w:hint="eastAsia" w:ascii="宋体" w:hAnsi="宋体" w:cs="宋体"/>
                <w:color w:val="auto"/>
                <w:sz w:val="24"/>
                <w:szCs w:val="24"/>
                <w:highlight w:val="none"/>
              </w:rPr>
            </w:pPr>
          </w:p>
        </w:tc>
        <w:tc>
          <w:tcPr>
            <w:tcW w:w="1134" w:type="dxa"/>
            <w:vAlign w:val="center"/>
          </w:tcPr>
          <w:p w14:paraId="29E46E58">
            <w:pPr>
              <w:spacing w:line="360" w:lineRule="auto"/>
              <w:jc w:val="center"/>
              <w:rPr>
                <w:rFonts w:hint="eastAsia" w:ascii="宋体" w:hAnsi="宋体" w:cs="宋体"/>
                <w:color w:val="auto"/>
                <w:sz w:val="24"/>
                <w:szCs w:val="24"/>
                <w:highlight w:val="none"/>
              </w:rPr>
            </w:pPr>
          </w:p>
        </w:tc>
        <w:tc>
          <w:tcPr>
            <w:tcW w:w="1276" w:type="dxa"/>
            <w:vAlign w:val="center"/>
          </w:tcPr>
          <w:p w14:paraId="7B6C6924">
            <w:pPr>
              <w:spacing w:line="360" w:lineRule="auto"/>
              <w:jc w:val="center"/>
              <w:rPr>
                <w:rFonts w:hint="eastAsia" w:ascii="宋体" w:hAnsi="宋体" w:cs="宋体"/>
                <w:color w:val="auto"/>
                <w:sz w:val="24"/>
                <w:szCs w:val="24"/>
                <w:highlight w:val="none"/>
              </w:rPr>
            </w:pPr>
          </w:p>
        </w:tc>
        <w:tc>
          <w:tcPr>
            <w:tcW w:w="1417" w:type="dxa"/>
            <w:vAlign w:val="center"/>
          </w:tcPr>
          <w:p w14:paraId="0F8BAEC2">
            <w:pPr>
              <w:spacing w:line="360" w:lineRule="auto"/>
              <w:jc w:val="center"/>
              <w:rPr>
                <w:rFonts w:hint="eastAsia" w:ascii="宋体" w:hAnsi="宋体" w:cs="宋体"/>
                <w:color w:val="auto"/>
                <w:sz w:val="24"/>
                <w:szCs w:val="24"/>
                <w:highlight w:val="none"/>
              </w:rPr>
            </w:pPr>
          </w:p>
        </w:tc>
        <w:tc>
          <w:tcPr>
            <w:tcW w:w="1519" w:type="dxa"/>
            <w:vAlign w:val="center"/>
          </w:tcPr>
          <w:p w14:paraId="01524D17">
            <w:pPr>
              <w:spacing w:line="360" w:lineRule="auto"/>
              <w:jc w:val="center"/>
              <w:rPr>
                <w:rFonts w:hint="eastAsia" w:ascii="宋体" w:hAnsi="宋体" w:cs="宋体"/>
                <w:color w:val="auto"/>
                <w:sz w:val="24"/>
                <w:szCs w:val="24"/>
                <w:highlight w:val="none"/>
              </w:rPr>
            </w:pPr>
          </w:p>
        </w:tc>
      </w:tr>
      <w:tr w14:paraId="185F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6" w:type="dxa"/>
            <w:vAlign w:val="center"/>
          </w:tcPr>
          <w:p w14:paraId="78984C6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00" w:type="dxa"/>
            <w:vAlign w:val="center"/>
          </w:tcPr>
          <w:p w14:paraId="449807F1">
            <w:pPr>
              <w:spacing w:line="360" w:lineRule="auto"/>
              <w:jc w:val="center"/>
              <w:rPr>
                <w:rFonts w:hint="eastAsia" w:ascii="宋体" w:hAnsi="宋体" w:cs="宋体"/>
                <w:color w:val="auto"/>
                <w:sz w:val="24"/>
                <w:szCs w:val="24"/>
                <w:highlight w:val="none"/>
              </w:rPr>
            </w:pPr>
          </w:p>
        </w:tc>
        <w:tc>
          <w:tcPr>
            <w:tcW w:w="1276" w:type="dxa"/>
            <w:vAlign w:val="center"/>
          </w:tcPr>
          <w:p w14:paraId="3AD76030">
            <w:pPr>
              <w:spacing w:line="360" w:lineRule="auto"/>
              <w:jc w:val="center"/>
              <w:rPr>
                <w:rFonts w:hint="eastAsia" w:ascii="宋体" w:hAnsi="宋体" w:cs="宋体"/>
                <w:color w:val="auto"/>
                <w:sz w:val="24"/>
                <w:szCs w:val="24"/>
                <w:highlight w:val="none"/>
              </w:rPr>
            </w:pPr>
          </w:p>
        </w:tc>
        <w:tc>
          <w:tcPr>
            <w:tcW w:w="1134" w:type="dxa"/>
            <w:vAlign w:val="center"/>
          </w:tcPr>
          <w:p w14:paraId="1FD205AD">
            <w:pPr>
              <w:spacing w:line="360" w:lineRule="auto"/>
              <w:jc w:val="center"/>
              <w:rPr>
                <w:rFonts w:hint="eastAsia" w:ascii="宋体" w:hAnsi="宋体" w:cs="宋体"/>
                <w:color w:val="auto"/>
                <w:sz w:val="24"/>
                <w:szCs w:val="24"/>
                <w:highlight w:val="none"/>
              </w:rPr>
            </w:pPr>
          </w:p>
        </w:tc>
        <w:tc>
          <w:tcPr>
            <w:tcW w:w="1276" w:type="dxa"/>
            <w:vAlign w:val="center"/>
          </w:tcPr>
          <w:p w14:paraId="7BC4ECF2">
            <w:pPr>
              <w:spacing w:line="360" w:lineRule="auto"/>
              <w:jc w:val="center"/>
              <w:rPr>
                <w:rFonts w:hint="eastAsia" w:ascii="宋体" w:hAnsi="宋体" w:cs="宋体"/>
                <w:color w:val="auto"/>
                <w:sz w:val="24"/>
                <w:szCs w:val="24"/>
                <w:highlight w:val="none"/>
              </w:rPr>
            </w:pPr>
          </w:p>
        </w:tc>
        <w:tc>
          <w:tcPr>
            <w:tcW w:w="1417" w:type="dxa"/>
            <w:vAlign w:val="center"/>
          </w:tcPr>
          <w:p w14:paraId="550344EE">
            <w:pPr>
              <w:spacing w:line="360" w:lineRule="auto"/>
              <w:jc w:val="center"/>
              <w:rPr>
                <w:rFonts w:hint="eastAsia" w:ascii="宋体" w:hAnsi="宋体" w:cs="宋体"/>
                <w:color w:val="auto"/>
                <w:sz w:val="24"/>
                <w:szCs w:val="24"/>
                <w:highlight w:val="none"/>
              </w:rPr>
            </w:pPr>
          </w:p>
        </w:tc>
        <w:tc>
          <w:tcPr>
            <w:tcW w:w="1519" w:type="dxa"/>
            <w:vAlign w:val="center"/>
          </w:tcPr>
          <w:p w14:paraId="3CC34BD0">
            <w:pPr>
              <w:spacing w:line="360" w:lineRule="auto"/>
              <w:jc w:val="center"/>
              <w:rPr>
                <w:rFonts w:hint="eastAsia" w:ascii="宋体" w:hAnsi="宋体" w:cs="宋体"/>
                <w:color w:val="auto"/>
                <w:sz w:val="24"/>
                <w:szCs w:val="24"/>
                <w:highlight w:val="none"/>
              </w:rPr>
            </w:pPr>
          </w:p>
        </w:tc>
      </w:tr>
      <w:tr w14:paraId="7202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6" w:type="dxa"/>
            <w:vAlign w:val="center"/>
          </w:tcPr>
          <w:p w14:paraId="49FAFBC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00" w:type="dxa"/>
            <w:vAlign w:val="center"/>
          </w:tcPr>
          <w:p w14:paraId="0DEE4D37">
            <w:pPr>
              <w:spacing w:line="360" w:lineRule="auto"/>
              <w:jc w:val="center"/>
              <w:rPr>
                <w:rFonts w:hint="eastAsia" w:ascii="宋体" w:hAnsi="宋体" w:cs="宋体"/>
                <w:color w:val="auto"/>
                <w:sz w:val="24"/>
                <w:szCs w:val="24"/>
                <w:highlight w:val="none"/>
              </w:rPr>
            </w:pPr>
          </w:p>
        </w:tc>
        <w:tc>
          <w:tcPr>
            <w:tcW w:w="1276" w:type="dxa"/>
            <w:vAlign w:val="center"/>
          </w:tcPr>
          <w:p w14:paraId="419CE2C6">
            <w:pPr>
              <w:spacing w:line="360" w:lineRule="auto"/>
              <w:jc w:val="center"/>
              <w:rPr>
                <w:rFonts w:hint="eastAsia" w:ascii="宋体" w:hAnsi="宋体" w:cs="宋体"/>
                <w:color w:val="auto"/>
                <w:sz w:val="24"/>
                <w:szCs w:val="24"/>
                <w:highlight w:val="none"/>
              </w:rPr>
            </w:pPr>
          </w:p>
        </w:tc>
        <w:tc>
          <w:tcPr>
            <w:tcW w:w="1134" w:type="dxa"/>
            <w:vAlign w:val="center"/>
          </w:tcPr>
          <w:p w14:paraId="4328FB30">
            <w:pPr>
              <w:spacing w:line="360" w:lineRule="auto"/>
              <w:jc w:val="center"/>
              <w:rPr>
                <w:rFonts w:hint="eastAsia" w:ascii="宋体" w:hAnsi="宋体" w:cs="宋体"/>
                <w:color w:val="auto"/>
                <w:sz w:val="24"/>
                <w:szCs w:val="24"/>
                <w:highlight w:val="none"/>
              </w:rPr>
            </w:pPr>
          </w:p>
        </w:tc>
        <w:tc>
          <w:tcPr>
            <w:tcW w:w="1276" w:type="dxa"/>
            <w:vAlign w:val="center"/>
          </w:tcPr>
          <w:p w14:paraId="0F19EBB3">
            <w:pPr>
              <w:spacing w:line="360" w:lineRule="auto"/>
              <w:jc w:val="center"/>
              <w:rPr>
                <w:rFonts w:hint="eastAsia" w:ascii="宋体" w:hAnsi="宋体" w:cs="宋体"/>
                <w:color w:val="auto"/>
                <w:sz w:val="24"/>
                <w:szCs w:val="24"/>
                <w:highlight w:val="none"/>
              </w:rPr>
            </w:pPr>
          </w:p>
        </w:tc>
        <w:tc>
          <w:tcPr>
            <w:tcW w:w="1417" w:type="dxa"/>
            <w:vAlign w:val="center"/>
          </w:tcPr>
          <w:p w14:paraId="398E7C1C">
            <w:pPr>
              <w:spacing w:line="360" w:lineRule="auto"/>
              <w:jc w:val="center"/>
              <w:rPr>
                <w:rFonts w:hint="eastAsia" w:ascii="宋体" w:hAnsi="宋体" w:cs="宋体"/>
                <w:color w:val="auto"/>
                <w:sz w:val="24"/>
                <w:szCs w:val="24"/>
                <w:highlight w:val="none"/>
              </w:rPr>
            </w:pPr>
          </w:p>
        </w:tc>
        <w:tc>
          <w:tcPr>
            <w:tcW w:w="1519" w:type="dxa"/>
            <w:vAlign w:val="center"/>
          </w:tcPr>
          <w:p w14:paraId="52EC7C99">
            <w:pPr>
              <w:spacing w:line="360" w:lineRule="auto"/>
              <w:jc w:val="center"/>
              <w:rPr>
                <w:rFonts w:hint="eastAsia" w:ascii="宋体" w:hAnsi="宋体" w:cs="宋体"/>
                <w:color w:val="auto"/>
                <w:sz w:val="24"/>
                <w:szCs w:val="24"/>
                <w:highlight w:val="none"/>
              </w:rPr>
            </w:pPr>
          </w:p>
        </w:tc>
      </w:tr>
      <w:tr w14:paraId="1B23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6" w:type="dxa"/>
            <w:vAlign w:val="center"/>
          </w:tcPr>
          <w:p w14:paraId="3C2ADB1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600" w:type="dxa"/>
            <w:vAlign w:val="center"/>
          </w:tcPr>
          <w:p w14:paraId="1D2591DA">
            <w:pPr>
              <w:spacing w:line="360" w:lineRule="auto"/>
              <w:jc w:val="center"/>
              <w:rPr>
                <w:rFonts w:hint="eastAsia" w:ascii="宋体" w:hAnsi="宋体" w:cs="宋体"/>
                <w:color w:val="auto"/>
                <w:sz w:val="24"/>
                <w:szCs w:val="24"/>
                <w:highlight w:val="none"/>
              </w:rPr>
            </w:pPr>
          </w:p>
        </w:tc>
        <w:tc>
          <w:tcPr>
            <w:tcW w:w="1276" w:type="dxa"/>
            <w:vAlign w:val="center"/>
          </w:tcPr>
          <w:p w14:paraId="7815ACF9">
            <w:pPr>
              <w:spacing w:line="360" w:lineRule="auto"/>
              <w:jc w:val="center"/>
              <w:rPr>
                <w:rFonts w:hint="eastAsia" w:ascii="宋体" w:hAnsi="宋体" w:cs="宋体"/>
                <w:color w:val="auto"/>
                <w:sz w:val="24"/>
                <w:szCs w:val="24"/>
                <w:highlight w:val="none"/>
              </w:rPr>
            </w:pPr>
          </w:p>
        </w:tc>
        <w:tc>
          <w:tcPr>
            <w:tcW w:w="1134" w:type="dxa"/>
            <w:vAlign w:val="center"/>
          </w:tcPr>
          <w:p w14:paraId="4CD2399A">
            <w:pPr>
              <w:spacing w:line="360" w:lineRule="auto"/>
              <w:jc w:val="center"/>
              <w:rPr>
                <w:rFonts w:hint="eastAsia" w:ascii="宋体" w:hAnsi="宋体" w:cs="宋体"/>
                <w:color w:val="auto"/>
                <w:sz w:val="24"/>
                <w:szCs w:val="24"/>
                <w:highlight w:val="none"/>
              </w:rPr>
            </w:pPr>
          </w:p>
        </w:tc>
        <w:tc>
          <w:tcPr>
            <w:tcW w:w="1276" w:type="dxa"/>
            <w:vAlign w:val="center"/>
          </w:tcPr>
          <w:p w14:paraId="1207D3AC">
            <w:pPr>
              <w:spacing w:line="360" w:lineRule="auto"/>
              <w:jc w:val="center"/>
              <w:rPr>
                <w:rFonts w:hint="eastAsia" w:ascii="宋体" w:hAnsi="宋体" w:cs="宋体"/>
                <w:color w:val="auto"/>
                <w:sz w:val="24"/>
                <w:szCs w:val="24"/>
                <w:highlight w:val="none"/>
              </w:rPr>
            </w:pPr>
          </w:p>
        </w:tc>
        <w:tc>
          <w:tcPr>
            <w:tcW w:w="1417" w:type="dxa"/>
            <w:vAlign w:val="center"/>
          </w:tcPr>
          <w:p w14:paraId="54C5FB78">
            <w:pPr>
              <w:spacing w:line="360" w:lineRule="auto"/>
              <w:jc w:val="center"/>
              <w:rPr>
                <w:rFonts w:hint="eastAsia" w:ascii="宋体" w:hAnsi="宋体" w:cs="宋体"/>
                <w:color w:val="auto"/>
                <w:sz w:val="24"/>
                <w:szCs w:val="24"/>
                <w:highlight w:val="none"/>
              </w:rPr>
            </w:pPr>
          </w:p>
        </w:tc>
        <w:tc>
          <w:tcPr>
            <w:tcW w:w="1519" w:type="dxa"/>
            <w:vAlign w:val="center"/>
          </w:tcPr>
          <w:p w14:paraId="07D1A886">
            <w:pPr>
              <w:spacing w:line="360" w:lineRule="auto"/>
              <w:jc w:val="center"/>
              <w:rPr>
                <w:rFonts w:hint="eastAsia" w:ascii="宋体" w:hAnsi="宋体" w:cs="宋体"/>
                <w:color w:val="auto"/>
                <w:sz w:val="24"/>
                <w:szCs w:val="24"/>
                <w:highlight w:val="none"/>
              </w:rPr>
            </w:pPr>
          </w:p>
        </w:tc>
      </w:tr>
      <w:tr w14:paraId="4667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6" w:type="dxa"/>
            <w:vAlign w:val="center"/>
          </w:tcPr>
          <w:p w14:paraId="03FFFE4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600" w:type="dxa"/>
            <w:vAlign w:val="center"/>
          </w:tcPr>
          <w:p w14:paraId="1C71C14E">
            <w:pPr>
              <w:spacing w:line="360" w:lineRule="auto"/>
              <w:jc w:val="center"/>
              <w:rPr>
                <w:rFonts w:hint="eastAsia" w:ascii="宋体" w:hAnsi="宋体" w:cs="宋体"/>
                <w:color w:val="auto"/>
                <w:sz w:val="24"/>
                <w:szCs w:val="24"/>
                <w:highlight w:val="none"/>
              </w:rPr>
            </w:pPr>
          </w:p>
        </w:tc>
        <w:tc>
          <w:tcPr>
            <w:tcW w:w="1276" w:type="dxa"/>
            <w:vAlign w:val="center"/>
          </w:tcPr>
          <w:p w14:paraId="75B9450C">
            <w:pPr>
              <w:spacing w:line="360" w:lineRule="auto"/>
              <w:jc w:val="center"/>
              <w:rPr>
                <w:rFonts w:hint="eastAsia" w:ascii="宋体" w:hAnsi="宋体" w:cs="宋体"/>
                <w:color w:val="auto"/>
                <w:sz w:val="24"/>
                <w:szCs w:val="24"/>
                <w:highlight w:val="none"/>
              </w:rPr>
            </w:pPr>
          </w:p>
        </w:tc>
        <w:tc>
          <w:tcPr>
            <w:tcW w:w="1134" w:type="dxa"/>
            <w:vAlign w:val="center"/>
          </w:tcPr>
          <w:p w14:paraId="7D9F9647">
            <w:pPr>
              <w:spacing w:line="360" w:lineRule="auto"/>
              <w:jc w:val="center"/>
              <w:rPr>
                <w:rFonts w:hint="eastAsia" w:ascii="宋体" w:hAnsi="宋体" w:cs="宋体"/>
                <w:color w:val="auto"/>
                <w:sz w:val="24"/>
                <w:szCs w:val="24"/>
                <w:highlight w:val="none"/>
              </w:rPr>
            </w:pPr>
          </w:p>
        </w:tc>
        <w:tc>
          <w:tcPr>
            <w:tcW w:w="1276" w:type="dxa"/>
            <w:vAlign w:val="center"/>
          </w:tcPr>
          <w:p w14:paraId="334A88A3">
            <w:pPr>
              <w:spacing w:line="360" w:lineRule="auto"/>
              <w:jc w:val="center"/>
              <w:rPr>
                <w:rFonts w:hint="eastAsia" w:ascii="宋体" w:hAnsi="宋体" w:cs="宋体"/>
                <w:color w:val="auto"/>
                <w:sz w:val="24"/>
                <w:szCs w:val="24"/>
                <w:highlight w:val="none"/>
              </w:rPr>
            </w:pPr>
          </w:p>
        </w:tc>
        <w:tc>
          <w:tcPr>
            <w:tcW w:w="1417" w:type="dxa"/>
            <w:vAlign w:val="center"/>
          </w:tcPr>
          <w:p w14:paraId="4B4566D9">
            <w:pPr>
              <w:spacing w:line="360" w:lineRule="auto"/>
              <w:jc w:val="center"/>
              <w:rPr>
                <w:rFonts w:hint="eastAsia" w:ascii="宋体" w:hAnsi="宋体" w:cs="宋体"/>
                <w:color w:val="auto"/>
                <w:sz w:val="24"/>
                <w:szCs w:val="24"/>
                <w:highlight w:val="none"/>
              </w:rPr>
            </w:pPr>
          </w:p>
        </w:tc>
        <w:tc>
          <w:tcPr>
            <w:tcW w:w="1519" w:type="dxa"/>
            <w:vAlign w:val="center"/>
          </w:tcPr>
          <w:p w14:paraId="25113C51">
            <w:pPr>
              <w:spacing w:line="360" w:lineRule="auto"/>
              <w:jc w:val="center"/>
              <w:rPr>
                <w:rFonts w:hint="eastAsia" w:ascii="宋体" w:hAnsi="宋体" w:cs="宋体"/>
                <w:color w:val="auto"/>
                <w:sz w:val="24"/>
                <w:szCs w:val="24"/>
                <w:highlight w:val="none"/>
              </w:rPr>
            </w:pPr>
          </w:p>
        </w:tc>
      </w:tr>
    </w:tbl>
    <w:p w14:paraId="5A4260A2">
      <w:pPr>
        <w:widowControl/>
        <w:shd w:val="clear" w:color="auto" w:fill="FFFFFF"/>
        <w:spacing w:before="120" w:beforeLines="50"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注：（1）乙方拟派的人员须为专职人员，满足甲方的物业管理服务需求。</w:t>
      </w:r>
    </w:p>
    <w:p w14:paraId="2086AF1B">
      <w:pPr>
        <w:widowControl/>
        <w:shd w:val="clear" w:color="auto" w:fill="FFFFFF"/>
        <w:spacing w:line="360" w:lineRule="auto"/>
        <w:ind w:firstLine="843" w:firstLineChars="400"/>
        <w:jc w:val="left"/>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）本项目实际派驻服务人员必须与响应文件中承诺的拟派服务人员一致（若有拟派人员离职、病退等特殊情况，乙方应书面向甲方请示，经同意可替换满足岗位要求的其他人员）。</w:t>
      </w:r>
    </w:p>
    <w:p w14:paraId="33560A3A">
      <w:pPr>
        <w:snapToGrid w:val="0"/>
        <w:spacing w:line="360" w:lineRule="auto"/>
        <w:jc w:val="center"/>
        <w:outlineLvl w:val="2"/>
        <w:rPr>
          <w:rFonts w:hint="eastAsia" w:ascii="宋体" w:hAnsi="宋体" w:cs="宋体"/>
          <w:b/>
          <w:bCs/>
          <w:color w:val="auto"/>
          <w:sz w:val="24"/>
          <w:szCs w:val="24"/>
          <w:highlight w:val="none"/>
        </w:rPr>
      </w:pPr>
      <w:bookmarkStart w:id="1071" w:name="_Toc11967"/>
      <w:r>
        <w:rPr>
          <w:rFonts w:hint="eastAsia" w:ascii="宋体" w:hAnsi="宋体" w:cs="宋体"/>
          <w:b/>
          <w:bCs/>
          <w:color w:val="auto"/>
          <w:sz w:val="24"/>
          <w:szCs w:val="24"/>
          <w:highlight w:val="none"/>
        </w:rPr>
        <w:t>第五章 物业的使用与维护</w:t>
      </w:r>
      <w:bookmarkEnd w:id="1071"/>
    </w:p>
    <w:p w14:paraId="06D32ABD">
      <w:pPr>
        <w:snapToGrid w:val="0"/>
        <w:spacing w:line="360" w:lineRule="auto"/>
        <w:ind w:firstLine="422" w:firstLineChars="200"/>
        <w:rPr>
          <w:rFonts w:hint="eastAsia" w:ascii="宋体" w:hAnsi="宋体" w:cs="宋体"/>
          <w:color w:val="auto"/>
          <w:szCs w:val="24"/>
          <w:highlight w:val="none"/>
        </w:rPr>
      </w:pPr>
      <w:r>
        <w:rPr>
          <w:rFonts w:hint="eastAsia" w:ascii="宋体" w:hAnsi="宋体" w:cs="宋体"/>
          <w:b/>
          <w:color w:val="auto"/>
          <w:szCs w:val="24"/>
          <w:highlight w:val="none"/>
        </w:rPr>
        <w:t xml:space="preserve">第十五条 </w:t>
      </w:r>
      <w:r>
        <w:rPr>
          <w:rFonts w:hint="eastAsia" w:ascii="宋体" w:hAnsi="宋体" w:cs="宋体"/>
          <w:color w:val="auto"/>
          <w:szCs w:val="24"/>
          <w:highlight w:val="none"/>
        </w:rPr>
        <w:t>乙方应配合甲方制定本物业管理区域内公共秩序等方面的规章制度。乙方根据规章制度提供管理服务时，甲方给予必要配合。</w:t>
      </w:r>
    </w:p>
    <w:p w14:paraId="6E1B5C10">
      <w:pPr>
        <w:snapToGrid w:val="0"/>
        <w:spacing w:line="360" w:lineRule="auto"/>
        <w:ind w:firstLine="422" w:firstLineChars="200"/>
        <w:rPr>
          <w:rFonts w:hint="eastAsia" w:ascii="宋体" w:hAnsi="宋体" w:cs="宋体"/>
          <w:color w:val="auto"/>
          <w:szCs w:val="24"/>
          <w:highlight w:val="none"/>
        </w:rPr>
      </w:pPr>
      <w:r>
        <w:rPr>
          <w:rFonts w:hint="eastAsia" w:ascii="宋体" w:hAnsi="宋体" w:cs="宋体"/>
          <w:b/>
          <w:color w:val="auto"/>
          <w:szCs w:val="24"/>
          <w:highlight w:val="none"/>
        </w:rPr>
        <w:t xml:space="preserve">第十六条 </w:t>
      </w:r>
      <w:r>
        <w:rPr>
          <w:rFonts w:hint="eastAsia" w:ascii="宋体" w:hAnsi="宋体" w:cs="宋体"/>
          <w:color w:val="auto"/>
          <w:szCs w:val="24"/>
          <w:highlight w:val="none"/>
        </w:rPr>
        <w:t>乙方应及时向甲方报告本物业管理区域内有关物业管理的重大事项，及时处理甲方的投诉，接受甲方的监督。</w:t>
      </w:r>
    </w:p>
    <w:p w14:paraId="2AA7D5FD">
      <w:pPr>
        <w:snapToGrid w:val="0"/>
        <w:spacing w:line="360" w:lineRule="auto"/>
        <w:ind w:firstLine="422" w:firstLineChars="200"/>
        <w:rPr>
          <w:rFonts w:hint="eastAsia" w:ascii="宋体" w:hAnsi="宋体" w:cs="宋体"/>
          <w:color w:val="auto"/>
          <w:szCs w:val="24"/>
          <w:highlight w:val="none"/>
        </w:rPr>
      </w:pPr>
      <w:r>
        <w:rPr>
          <w:rFonts w:hint="eastAsia" w:ascii="宋体" w:hAnsi="宋体" w:cs="宋体"/>
          <w:b/>
          <w:color w:val="auto"/>
          <w:szCs w:val="24"/>
          <w:highlight w:val="none"/>
        </w:rPr>
        <w:t>第十七条</w:t>
      </w:r>
      <w:r>
        <w:rPr>
          <w:rFonts w:hint="eastAsia" w:ascii="宋体" w:hAnsi="宋体" w:cs="宋体"/>
          <w:color w:val="auto"/>
          <w:szCs w:val="24"/>
          <w:highlight w:val="none"/>
        </w:rPr>
        <w:t xml:space="preserve"> 甲方应于乙方正式投入服务之日前按物业管理的相关要求向乙方提供足够的能够直接投入使用的物业管理用房（包括办公用房、工具房、仓库等），具体位置、面积由甲方安排。</w:t>
      </w:r>
    </w:p>
    <w:p w14:paraId="03C90E46">
      <w:pPr>
        <w:snapToGrid w:val="0"/>
        <w:spacing w:line="360" w:lineRule="auto"/>
        <w:ind w:firstLine="422" w:firstLineChars="200"/>
        <w:rPr>
          <w:rFonts w:hint="eastAsia" w:ascii="宋体" w:hAnsi="宋体" w:cs="宋体"/>
          <w:color w:val="auto"/>
          <w:szCs w:val="24"/>
          <w:highlight w:val="none"/>
        </w:rPr>
      </w:pPr>
      <w:r>
        <w:rPr>
          <w:rFonts w:hint="eastAsia" w:ascii="宋体" w:hAnsi="宋体" w:cs="宋体"/>
          <w:b/>
          <w:color w:val="auto"/>
          <w:szCs w:val="24"/>
          <w:highlight w:val="none"/>
        </w:rPr>
        <w:t xml:space="preserve">第十八条 </w:t>
      </w:r>
      <w:r>
        <w:rPr>
          <w:rFonts w:hint="eastAsia" w:ascii="宋体" w:hAnsi="宋体" w:cs="宋体"/>
          <w:color w:val="auto"/>
          <w:szCs w:val="24"/>
          <w:highlight w:val="none"/>
        </w:rPr>
        <w:t>物业管理用房属甲方所有，乙方在本合同期限内无偿使用，但不得改变其用途。</w:t>
      </w:r>
    </w:p>
    <w:p w14:paraId="53355238">
      <w:pPr>
        <w:snapToGrid w:val="0"/>
        <w:spacing w:line="360" w:lineRule="auto"/>
        <w:jc w:val="center"/>
        <w:outlineLvl w:val="2"/>
        <w:rPr>
          <w:rFonts w:hint="eastAsia" w:ascii="宋体" w:hAnsi="宋体" w:cs="宋体"/>
          <w:b/>
          <w:bCs/>
          <w:color w:val="auto"/>
          <w:sz w:val="24"/>
          <w:szCs w:val="24"/>
          <w:highlight w:val="none"/>
        </w:rPr>
      </w:pPr>
      <w:bookmarkStart w:id="1072" w:name="_Toc16065"/>
      <w:r>
        <w:rPr>
          <w:rFonts w:hint="eastAsia" w:ascii="宋体" w:hAnsi="宋体" w:cs="宋体"/>
          <w:b/>
          <w:bCs/>
          <w:color w:val="auto"/>
          <w:sz w:val="24"/>
          <w:szCs w:val="24"/>
          <w:highlight w:val="none"/>
        </w:rPr>
        <w:t>第六章 不可抗力</w:t>
      </w:r>
      <w:bookmarkEnd w:id="1072"/>
    </w:p>
    <w:p w14:paraId="3FA0106D">
      <w:pPr>
        <w:snapToGrid w:val="0"/>
        <w:spacing w:line="360" w:lineRule="auto"/>
        <w:ind w:firstLine="422" w:firstLineChars="200"/>
        <w:textAlignment w:val="baseline"/>
        <w:rPr>
          <w:rFonts w:hint="eastAsia" w:ascii="宋体" w:hAnsi="宋体" w:cs="宋体"/>
          <w:color w:val="auto"/>
          <w:szCs w:val="24"/>
          <w:highlight w:val="none"/>
        </w:rPr>
      </w:pPr>
      <w:r>
        <w:rPr>
          <w:rFonts w:hint="eastAsia" w:ascii="宋体" w:hAnsi="宋体" w:cs="宋体"/>
          <w:b/>
          <w:color w:val="auto"/>
          <w:szCs w:val="24"/>
          <w:highlight w:val="none"/>
        </w:rPr>
        <w:t xml:space="preserve">第十九条 </w:t>
      </w:r>
      <w:r>
        <w:rPr>
          <w:rFonts w:hint="eastAsia" w:ascii="宋体" w:hAnsi="宋体" w:cs="宋体"/>
          <w:color w:val="auto"/>
          <w:szCs w:val="24"/>
          <w:highlight w:val="none"/>
        </w:rPr>
        <w:t>“不可抗力”指合同一方无法预见、无法避免、不能控制的、导致该方不能履行其在本合同项下义务的事件。不可抗力事件包括但不限于政府或公共机关的禁令或行为、动乱、战争、敌对行动、民众骚乱、罢工、其他劳动纠纷和停工、交通或其他公用事业的停顿或中断、流行病、火灾、水灾、地震、风暴、海潮或其他自然灾害。</w:t>
      </w:r>
    </w:p>
    <w:p w14:paraId="7AA2F684">
      <w:pPr>
        <w:snapToGrid w:val="0"/>
        <w:spacing w:line="360" w:lineRule="auto"/>
        <w:ind w:firstLine="422" w:firstLineChars="200"/>
        <w:textAlignment w:val="baseline"/>
        <w:rPr>
          <w:rFonts w:hint="eastAsia" w:ascii="宋体" w:hAnsi="宋体" w:cs="宋体"/>
          <w:color w:val="auto"/>
          <w:szCs w:val="24"/>
          <w:highlight w:val="none"/>
        </w:rPr>
      </w:pPr>
      <w:r>
        <w:rPr>
          <w:rFonts w:hint="eastAsia" w:ascii="宋体" w:hAnsi="宋体" w:cs="宋体"/>
          <w:b/>
          <w:color w:val="auto"/>
          <w:szCs w:val="24"/>
          <w:highlight w:val="none"/>
        </w:rPr>
        <w:t xml:space="preserve">第二十条 </w:t>
      </w:r>
      <w:r>
        <w:rPr>
          <w:rFonts w:hint="eastAsia" w:ascii="宋体" w:hAnsi="宋体" w:cs="宋体"/>
          <w:color w:val="auto"/>
          <w:szCs w:val="24"/>
          <w:highlight w:val="none"/>
        </w:rPr>
        <w:t>一方因遭受不可抗力而不能全部或部分履行其在本合同项下义务，应通知另一方不可抗力的存在，条件是遭受方应在不可抗力发生或终止后十五（15）日内，以书面形式向另一方发出该不可抗力的起始和终止的通知，并附上有关当局的证明或公开发布的消息，证明事实真相和所提供的材料的准确性。声称不可抗力的一方有举证责任证明不可抗力与未履行本合同规定的该方义务有直接关系。</w:t>
      </w:r>
    </w:p>
    <w:p w14:paraId="58D82CBF">
      <w:pPr>
        <w:snapToGrid w:val="0"/>
        <w:spacing w:line="360" w:lineRule="auto"/>
        <w:ind w:firstLine="422" w:firstLineChars="200"/>
        <w:rPr>
          <w:rFonts w:hint="eastAsia" w:ascii="宋体" w:hAnsi="宋体" w:cs="宋体"/>
          <w:color w:val="auto"/>
          <w:szCs w:val="24"/>
          <w:highlight w:val="none"/>
        </w:rPr>
      </w:pPr>
      <w:r>
        <w:rPr>
          <w:rFonts w:hint="eastAsia" w:ascii="宋体" w:hAnsi="宋体" w:cs="宋体"/>
          <w:b/>
          <w:color w:val="auto"/>
          <w:szCs w:val="24"/>
          <w:highlight w:val="none"/>
        </w:rPr>
        <w:t xml:space="preserve">第二十一条 </w:t>
      </w:r>
      <w:r>
        <w:rPr>
          <w:rFonts w:hint="eastAsia" w:ascii="宋体" w:hAnsi="宋体" w:cs="宋体"/>
          <w:color w:val="auto"/>
          <w:szCs w:val="24"/>
          <w:highlight w:val="none"/>
        </w:rPr>
        <w:t xml:space="preserve"> 如有不可抗力事件发生，任何一方无须因其未能或迟延履行义务而对另一方可能蒙受的任何损害、费用增加或损失承担责任，且该等未履行或迟延履行不应被视为对本合同的违约。本合同规定的一切其他义务及其履行时间不应受此影响。任何一方无权因为不可抗力或因不可抗力造成的延误或不履行义务而遭受的损失要求得到罚金或其他赔偿。</w:t>
      </w:r>
    </w:p>
    <w:p w14:paraId="783992E5">
      <w:pPr>
        <w:snapToGrid w:val="0"/>
        <w:spacing w:line="360" w:lineRule="auto"/>
        <w:jc w:val="center"/>
        <w:outlineLvl w:val="2"/>
        <w:rPr>
          <w:rFonts w:hint="eastAsia" w:ascii="宋体" w:hAnsi="宋体" w:cs="宋体"/>
          <w:b/>
          <w:bCs/>
          <w:color w:val="auto"/>
          <w:sz w:val="24"/>
          <w:szCs w:val="24"/>
          <w:highlight w:val="none"/>
        </w:rPr>
      </w:pPr>
      <w:bookmarkStart w:id="1073" w:name="_Toc27053"/>
      <w:r>
        <w:rPr>
          <w:rFonts w:hint="eastAsia" w:ascii="宋体" w:hAnsi="宋体" w:cs="宋体"/>
          <w:b/>
          <w:bCs/>
          <w:color w:val="auto"/>
          <w:sz w:val="24"/>
          <w:szCs w:val="24"/>
          <w:highlight w:val="none"/>
        </w:rPr>
        <w:t>第七章 违约责任</w:t>
      </w:r>
      <w:bookmarkEnd w:id="1073"/>
    </w:p>
    <w:p w14:paraId="53C55087">
      <w:pPr>
        <w:snapToGrid w:val="0"/>
        <w:spacing w:line="360" w:lineRule="auto"/>
        <w:ind w:firstLine="422" w:firstLineChars="200"/>
        <w:rPr>
          <w:rFonts w:hint="eastAsia" w:ascii="宋体" w:hAnsi="宋体" w:cs="宋体"/>
          <w:bCs/>
          <w:color w:val="auto"/>
          <w:szCs w:val="24"/>
          <w:highlight w:val="none"/>
        </w:rPr>
      </w:pPr>
      <w:r>
        <w:rPr>
          <w:rFonts w:hint="eastAsia" w:ascii="宋体" w:hAnsi="宋体" w:cs="宋体"/>
          <w:b/>
          <w:color w:val="auto"/>
          <w:szCs w:val="24"/>
          <w:highlight w:val="none"/>
        </w:rPr>
        <w:t>第二十二条</w:t>
      </w:r>
      <w:r>
        <w:rPr>
          <w:rFonts w:hint="eastAsia" w:ascii="宋体" w:hAnsi="宋体" w:cs="宋体"/>
          <w:bCs/>
          <w:color w:val="auto"/>
          <w:szCs w:val="24"/>
          <w:highlight w:val="none"/>
        </w:rPr>
        <w:t xml:space="preserve"> 乙方出现下列违约行为的，甲方有权解除合同，乙方应在甲方限期内无条件退场，不退还履约担保金，不支付当期费用及合同剩余费用，且乙方应向甲方支付合同总金额10%的违约金</w:t>
      </w:r>
      <w:r>
        <w:rPr>
          <w:rFonts w:hint="eastAsia" w:ascii="宋体" w:hAnsi="宋体" w:cs="宋体"/>
          <w:bCs/>
          <w:color w:val="auto"/>
          <w:szCs w:val="24"/>
          <w:highlight w:val="none"/>
          <w:lang w:eastAsia="zh-CN"/>
        </w:rPr>
        <w:t>，</w:t>
      </w:r>
      <w:r>
        <w:rPr>
          <w:rFonts w:hint="eastAsia" w:ascii="宋体" w:hAnsi="宋体" w:cs="宋体"/>
          <w:bCs/>
          <w:color w:val="auto"/>
          <w:szCs w:val="24"/>
          <w:highlight w:val="none"/>
        </w:rPr>
        <w:t>违约金不足以赔偿由此给甲方造成的损失的，乙方还应当按甲方的实际损失予以足额赔偿。针对乙方违约行为，甲方将上报行政监督管理部门，给予其市场不良行为记录。</w:t>
      </w:r>
    </w:p>
    <w:p w14:paraId="53AF3644">
      <w:pPr>
        <w:snapToGrid w:val="0"/>
        <w:spacing w:line="360" w:lineRule="auto"/>
        <w:ind w:firstLine="420" w:firstLineChars="200"/>
        <w:rPr>
          <w:rFonts w:hint="eastAsia" w:ascii="宋体" w:hAnsi="宋体" w:cs="宋体"/>
          <w:bCs/>
          <w:color w:val="auto"/>
          <w:szCs w:val="24"/>
          <w:highlight w:val="none"/>
        </w:rPr>
      </w:pPr>
      <w:r>
        <w:rPr>
          <w:rFonts w:ascii="宋体" w:hAnsi="宋体" w:cs="宋体"/>
          <w:bCs/>
          <w:color w:val="auto"/>
          <w:szCs w:val="24"/>
          <w:highlight w:val="none"/>
        </w:rPr>
        <w:t>1</w:t>
      </w:r>
      <w:r>
        <w:rPr>
          <w:rFonts w:hint="eastAsia" w:ascii="宋体" w:hAnsi="宋体" w:cs="宋体"/>
          <w:bCs/>
          <w:color w:val="auto"/>
          <w:szCs w:val="24"/>
          <w:highlight w:val="none"/>
        </w:rPr>
        <w:t>.乙方因自身原因不能提供约定服务内容的，甲方有权要求乙方在一定期限内整改。</w:t>
      </w:r>
    </w:p>
    <w:p w14:paraId="03C1A5C6">
      <w:pPr>
        <w:snapToGrid w:val="0"/>
        <w:spacing w:line="360" w:lineRule="auto"/>
        <w:ind w:firstLine="420" w:firstLineChars="200"/>
        <w:rPr>
          <w:rFonts w:hint="eastAsia" w:ascii="宋体" w:hAnsi="宋体" w:cs="宋体"/>
          <w:bCs/>
          <w:color w:val="auto"/>
          <w:szCs w:val="24"/>
          <w:highlight w:val="none"/>
        </w:rPr>
      </w:pPr>
      <w:r>
        <w:rPr>
          <w:rFonts w:ascii="宋体" w:hAnsi="宋体" w:cs="宋体"/>
          <w:bCs/>
          <w:color w:val="auto"/>
          <w:szCs w:val="24"/>
          <w:highlight w:val="none"/>
        </w:rPr>
        <w:t>2</w:t>
      </w:r>
      <w:r>
        <w:rPr>
          <w:rFonts w:hint="eastAsia" w:ascii="宋体" w:hAnsi="宋体" w:cs="宋体"/>
          <w:bCs/>
          <w:color w:val="auto"/>
          <w:szCs w:val="24"/>
          <w:highlight w:val="none"/>
        </w:rPr>
        <w:t>.乙方无故未按要求提供服务，或乙方提供的服务不能满足甲方要求的，甲方有权要求乙方在一定期限内整改。</w:t>
      </w:r>
    </w:p>
    <w:p w14:paraId="370152F4">
      <w:pPr>
        <w:snapToGrid w:val="0"/>
        <w:spacing w:line="360" w:lineRule="auto"/>
        <w:ind w:firstLine="420" w:firstLineChars="200"/>
        <w:rPr>
          <w:rFonts w:hint="eastAsia" w:ascii="宋体" w:hAnsi="宋体" w:cs="宋体"/>
          <w:b/>
          <w:color w:val="auto"/>
          <w:szCs w:val="24"/>
          <w:highlight w:val="none"/>
        </w:rPr>
      </w:pPr>
      <w:r>
        <w:rPr>
          <w:rFonts w:ascii="宋体" w:hAnsi="宋体" w:cs="宋体"/>
          <w:bCs/>
          <w:color w:val="auto"/>
          <w:szCs w:val="24"/>
          <w:highlight w:val="none"/>
        </w:rPr>
        <w:t>3</w:t>
      </w:r>
      <w:r>
        <w:rPr>
          <w:rFonts w:hint="eastAsia" w:ascii="宋体" w:hAnsi="宋体" w:cs="宋体"/>
          <w:bCs/>
          <w:color w:val="auto"/>
          <w:szCs w:val="24"/>
          <w:highlight w:val="none"/>
        </w:rPr>
        <w:t>.乙方的服务团队人员，未按照甲方的合理要求完成相关工作的，甲方有权要求乙方在一定期限内更换。</w:t>
      </w:r>
    </w:p>
    <w:p w14:paraId="48D8330E">
      <w:pPr>
        <w:snapToGrid w:val="0"/>
        <w:spacing w:line="360" w:lineRule="auto"/>
        <w:ind w:firstLine="422" w:firstLineChars="200"/>
        <w:rPr>
          <w:rFonts w:hint="eastAsia" w:ascii="宋体" w:hAnsi="宋体" w:cs="宋体"/>
          <w:color w:val="auto"/>
          <w:spacing w:val="8"/>
          <w:szCs w:val="24"/>
          <w:highlight w:val="none"/>
        </w:rPr>
      </w:pPr>
      <w:r>
        <w:rPr>
          <w:rFonts w:hint="eastAsia" w:ascii="宋体" w:hAnsi="宋体" w:cs="宋体"/>
          <w:b/>
          <w:color w:val="auto"/>
          <w:szCs w:val="24"/>
          <w:highlight w:val="none"/>
        </w:rPr>
        <w:t xml:space="preserve">第二十三条 </w:t>
      </w:r>
      <w:r>
        <w:rPr>
          <w:rFonts w:hint="eastAsia" w:ascii="宋体" w:hAnsi="宋体" w:cs="宋体"/>
          <w:color w:val="auto"/>
          <w:szCs w:val="24"/>
          <w:highlight w:val="none"/>
        </w:rPr>
        <w:t>甲</w:t>
      </w:r>
      <w:r>
        <w:rPr>
          <w:rFonts w:hint="eastAsia" w:ascii="宋体" w:hAnsi="宋体" w:cs="宋体"/>
          <w:color w:val="auto"/>
          <w:spacing w:val="8"/>
          <w:szCs w:val="24"/>
          <w:highlight w:val="none"/>
        </w:rPr>
        <w:t>方违反本合同的约定，未能按时足额支付物业服务费用或相关费用的，每逾期1日，应按未支付费用为基数以每日万分之三的标准向乙方支付违约金。</w:t>
      </w:r>
    </w:p>
    <w:p w14:paraId="292B86D0">
      <w:pPr>
        <w:snapToGrid w:val="0"/>
        <w:spacing w:line="360" w:lineRule="auto"/>
        <w:ind w:firstLine="422" w:firstLineChars="200"/>
        <w:rPr>
          <w:rFonts w:hint="eastAsia" w:ascii="宋体" w:hAnsi="宋体" w:cs="宋体"/>
          <w:color w:val="auto"/>
          <w:szCs w:val="24"/>
          <w:highlight w:val="none"/>
        </w:rPr>
      </w:pPr>
      <w:r>
        <w:rPr>
          <w:rFonts w:hint="eastAsia" w:ascii="宋体" w:hAnsi="宋体" w:cs="宋体"/>
          <w:b/>
          <w:color w:val="auto"/>
          <w:szCs w:val="24"/>
          <w:highlight w:val="none"/>
        </w:rPr>
        <w:t xml:space="preserve">第二十四条 </w:t>
      </w:r>
      <w:r>
        <w:rPr>
          <w:rFonts w:hint="eastAsia" w:ascii="宋体" w:hAnsi="宋体" w:cs="宋体"/>
          <w:color w:val="auto"/>
          <w:szCs w:val="24"/>
          <w:highlight w:val="none"/>
        </w:rPr>
        <w:t>乙方应严格履行本合同的规定，不得擅自解除合同或停止履约，如因乙方擅自解除合同或停止履约，乙方应向甲方赔偿当年未履约部分的固定服务费用10%的违约金，违约金不足以赔偿由此给甲方造成的损失的，乙方还应当按甲方的实际损失予以足额赔偿。</w:t>
      </w:r>
    </w:p>
    <w:p w14:paraId="05DFB488">
      <w:pPr>
        <w:snapToGrid w:val="0"/>
        <w:spacing w:line="360" w:lineRule="auto"/>
        <w:ind w:firstLine="422" w:firstLineChars="200"/>
        <w:rPr>
          <w:rFonts w:hint="eastAsia" w:ascii="宋体" w:hAnsi="宋体" w:cs="宋体"/>
          <w:b/>
          <w:color w:val="auto"/>
          <w:szCs w:val="24"/>
          <w:highlight w:val="none"/>
        </w:rPr>
      </w:pPr>
      <w:r>
        <w:rPr>
          <w:rFonts w:hint="eastAsia" w:ascii="宋体" w:hAnsi="宋体" w:cs="宋体"/>
          <w:b/>
          <w:color w:val="auto"/>
          <w:szCs w:val="24"/>
          <w:highlight w:val="none"/>
        </w:rPr>
        <w:t>第二十五条  以下情况乙方不承担责任</w:t>
      </w:r>
    </w:p>
    <w:p w14:paraId="721D662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1.因不可抗力或紧急避险导致物业服务中断、人身财产损失的。</w:t>
      </w:r>
    </w:p>
    <w:p w14:paraId="6CE4A81A">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2.乙方已履行本合同约定义务，但因物业本身固有瑕疵或其它不可归责于乙方的原因造成损失的。</w:t>
      </w:r>
    </w:p>
    <w:p w14:paraId="1B11E7A8">
      <w:pPr>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3.因非乙方责任出现供水、供电、供气、供热、通讯、有线电视及其他共用设施设备运行障碍造成损失的。</w:t>
      </w:r>
    </w:p>
    <w:p w14:paraId="18F0D566">
      <w:pPr>
        <w:snapToGrid w:val="0"/>
        <w:spacing w:line="360" w:lineRule="auto"/>
        <w:jc w:val="center"/>
        <w:outlineLvl w:val="2"/>
        <w:rPr>
          <w:rFonts w:hint="eastAsia" w:ascii="宋体" w:hAnsi="宋体" w:cs="宋体"/>
          <w:b/>
          <w:bCs/>
          <w:color w:val="auto"/>
          <w:sz w:val="24"/>
          <w:szCs w:val="24"/>
          <w:highlight w:val="none"/>
        </w:rPr>
      </w:pPr>
      <w:bookmarkStart w:id="1074" w:name="_Toc8897"/>
      <w:r>
        <w:rPr>
          <w:rFonts w:hint="eastAsia" w:ascii="宋体" w:hAnsi="宋体" w:cs="宋体"/>
          <w:b/>
          <w:bCs/>
          <w:color w:val="auto"/>
          <w:sz w:val="24"/>
          <w:szCs w:val="24"/>
          <w:highlight w:val="none"/>
        </w:rPr>
        <w:t>第八章 附则</w:t>
      </w:r>
      <w:bookmarkEnd w:id="1074"/>
    </w:p>
    <w:p w14:paraId="6A377AD3">
      <w:pPr>
        <w:snapToGrid w:val="0"/>
        <w:spacing w:line="360" w:lineRule="auto"/>
        <w:ind w:firstLine="422" w:firstLineChars="200"/>
        <w:rPr>
          <w:rFonts w:hint="eastAsia" w:ascii="宋体" w:hAnsi="宋体" w:cs="宋体"/>
          <w:b/>
          <w:color w:val="auto"/>
          <w:szCs w:val="24"/>
          <w:highlight w:val="none"/>
        </w:rPr>
      </w:pPr>
      <w:r>
        <w:rPr>
          <w:rFonts w:hint="eastAsia" w:ascii="宋体" w:hAnsi="宋体" w:cs="宋体"/>
          <w:b/>
          <w:color w:val="auto"/>
          <w:szCs w:val="24"/>
          <w:highlight w:val="none"/>
        </w:rPr>
        <w:t>第二十六条  本项目联系方式</w:t>
      </w:r>
    </w:p>
    <w:p w14:paraId="6D6FE982">
      <w:pPr>
        <w:shd w:val="clear" w:color="auto" w:fill="FFFFFF"/>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除非本合同另有规定，履行本合同需要对方知悉、协助的事项必须采用书面形式通知，并且必须发到以下接收通知的地址及联系人。任何有关地址及传真或其它信息的变更仅在向另一方发出通知后方为有效。</w:t>
      </w:r>
    </w:p>
    <w:p w14:paraId="795E1FE7">
      <w:pPr>
        <w:shd w:val="clear" w:color="auto" w:fill="FFFFFF"/>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甲方联系人及电话：</w:t>
      </w:r>
      <w:r>
        <w:rPr>
          <w:rFonts w:hint="eastAsia" w:ascii="宋体" w:hAnsi="宋体" w:cs="宋体"/>
          <w:color w:val="auto"/>
          <w:szCs w:val="24"/>
          <w:highlight w:val="none"/>
          <w:u w:val="single"/>
        </w:rPr>
        <w:t xml:space="preserve"> </w:t>
      </w:r>
      <w:r>
        <w:rPr>
          <w:rFonts w:ascii="宋体" w:hAnsi="宋体" w:cs="宋体"/>
          <w:color w:val="auto"/>
          <w:szCs w:val="24"/>
          <w:highlight w:val="none"/>
          <w:u w:val="single"/>
        </w:rPr>
        <w:t xml:space="preserve">           </w:t>
      </w:r>
      <w:r>
        <w:rPr>
          <w:rFonts w:hint="eastAsia" w:ascii="宋体" w:hAnsi="宋体" w:cs="宋体"/>
          <w:color w:val="auto"/>
          <w:szCs w:val="24"/>
          <w:highlight w:val="none"/>
        </w:rPr>
        <w:t xml:space="preserve"> </w:t>
      </w:r>
    </w:p>
    <w:p w14:paraId="2AFACE8A">
      <w:pPr>
        <w:shd w:val="clear" w:color="auto" w:fill="FFFFFF"/>
        <w:snapToGrid w:val="0"/>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乙方联系人及电话：</w:t>
      </w:r>
      <w:r>
        <w:rPr>
          <w:rFonts w:hint="eastAsia" w:ascii="宋体" w:hAnsi="宋体" w:cs="宋体"/>
          <w:color w:val="auto"/>
          <w:szCs w:val="24"/>
          <w:highlight w:val="none"/>
          <w:u w:val="single"/>
        </w:rPr>
        <w:t xml:space="preserve"> </w:t>
      </w:r>
      <w:r>
        <w:rPr>
          <w:rFonts w:ascii="宋体" w:hAnsi="宋体" w:cs="宋体"/>
          <w:color w:val="auto"/>
          <w:szCs w:val="24"/>
          <w:highlight w:val="none"/>
          <w:u w:val="single"/>
        </w:rPr>
        <w:t xml:space="preserve">           </w:t>
      </w:r>
      <w:r>
        <w:rPr>
          <w:rFonts w:hint="eastAsia" w:ascii="宋体" w:hAnsi="宋体" w:cs="宋体"/>
          <w:color w:val="auto"/>
          <w:szCs w:val="24"/>
          <w:highlight w:val="none"/>
        </w:rPr>
        <w:t xml:space="preserve"> </w:t>
      </w:r>
    </w:p>
    <w:p w14:paraId="72D25414">
      <w:pPr>
        <w:snapToGrid w:val="0"/>
        <w:spacing w:line="360" w:lineRule="auto"/>
        <w:ind w:firstLine="422" w:firstLineChars="200"/>
        <w:rPr>
          <w:rFonts w:hint="eastAsia" w:ascii="宋体" w:hAnsi="宋体" w:cs="宋体"/>
          <w:color w:val="auto"/>
          <w:szCs w:val="24"/>
          <w:highlight w:val="none"/>
        </w:rPr>
      </w:pPr>
      <w:r>
        <w:rPr>
          <w:rFonts w:hint="eastAsia" w:ascii="宋体" w:hAnsi="宋体" w:cs="宋体"/>
          <w:b/>
          <w:color w:val="auto"/>
          <w:szCs w:val="24"/>
          <w:highlight w:val="none"/>
        </w:rPr>
        <w:t xml:space="preserve">第二十七条 </w:t>
      </w:r>
      <w:r>
        <w:rPr>
          <w:rFonts w:hint="eastAsia" w:ascii="宋体" w:hAnsi="宋体" w:cs="宋体"/>
          <w:color w:val="auto"/>
          <w:szCs w:val="24"/>
          <w:highlight w:val="none"/>
        </w:rPr>
        <w:t xml:space="preserve">本合同的附件为本合同不可分割的组成部分，与本合同具有同等法律效力。 </w:t>
      </w:r>
    </w:p>
    <w:p w14:paraId="09F07C34">
      <w:pPr>
        <w:snapToGrid w:val="0"/>
        <w:spacing w:line="360" w:lineRule="auto"/>
        <w:ind w:firstLine="422" w:firstLineChars="200"/>
        <w:rPr>
          <w:rFonts w:hint="eastAsia" w:ascii="宋体" w:hAnsi="宋体" w:cs="宋体"/>
          <w:color w:val="auto"/>
          <w:szCs w:val="24"/>
          <w:highlight w:val="none"/>
        </w:rPr>
      </w:pPr>
      <w:r>
        <w:rPr>
          <w:rFonts w:hint="eastAsia" w:ascii="宋体" w:hAnsi="宋体" w:cs="宋体"/>
          <w:b/>
          <w:color w:val="auto"/>
          <w:szCs w:val="24"/>
          <w:highlight w:val="none"/>
        </w:rPr>
        <w:t>第二十八条</w:t>
      </w:r>
      <w:r>
        <w:rPr>
          <w:rFonts w:hint="eastAsia" w:ascii="宋体" w:hAnsi="宋体" w:cs="宋体"/>
          <w:color w:val="auto"/>
          <w:szCs w:val="24"/>
          <w:highlight w:val="none"/>
        </w:rPr>
        <w:t xml:space="preserve"> 本合同未尽事宜，双方另行以书面形式签订补充协议。对双方在本合同签订之后的补充协议，以双方确定时间在后的文件为准。</w:t>
      </w:r>
    </w:p>
    <w:p w14:paraId="69D990F5">
      <w:pPr>
        <w:snapToGrid w:val="0"/>
        <w:spacing w:line="360" w:lineRule="auto"/>
        <w:ind w:firstLine="422" w:firstLineChars="200"/>
        <w:rPr>
          <w:rFonts w:hint="eastAsia" w:ascii="宋体" w:hAnsi="宋体" w:cs="宋体"/>
          <w:color w:val="auto"/>
          <w:szCs w:val="24"/>
          <w:highlight w:val="none"/>
        </w:rPr>
      </w:pPr>
      <w:r>
        <w:rPr>
          <w:rFonts w:hint="eastAsia" w:ascii="宋体" w:hAnsi="宋体" w:cs="宋体"/>
          <w:b/>
          <w:color w:val="auto"/>
          <w:szCs w:val="24"/>
          <w:highlight w:val="none"/>
        </w:rPr>
        <w:t>第二十九条</w:t>
      </w:r>
      <w:r>
        <w:rPr>
          <w:rFonts w:hint="eastAsia" w:ascii="宋体" w:hAnsi="宋体" w:cs="宋体"/>
          <w:color w:val="auto"/>
          <w:szCs w:val="24"/>
          <w:highlight w:val="none"/>
        </w:rPr>
        <w:t xml:space="preserve"> 本合同在履行中发生争议，由双方协商解决。协商不成，则由合同履行地人民法院管辖。</w:t>
      </w:r>
    </w:p>
    <w:p w14:paraId="5A9AFE70">
      <w:pPr>
        <w:widowControl/>
        <w:shd w:val="clear" w:color="auto" w:fill="FFFFFF"/>
        <w:snapToGrid w:val="0"/>
        <w:spacing w:line="360" w:lineRule="auto"/>
        <w:ind w:firstLine="422" w:firstLineChars="200"/>
        <w:rPr>
          <w:rFonts w:hint="eastAsia" w:ascii="宋体" w:hAnsi="宋体" w:cs="宋体"/>
          <w:color w:val="auto"/>
          <w:highlight w:val="none"/>
        </w:rPr>
      </w:pPr>
      <w:r>
        <w:rPr>
          <w:rFonts w:hint="eastAsia" w:ascii="宋体" w:hAnsi="宋体" w:cs="宋体"/>
          <w:b/>
          <w:color w:val="auto"/>
          <w:szCs w:val="24"/>
          <w:highlight w:val="none"/>
        </w:rPr>
        <w:t xml:space="preserve">第三十条 </w:t>
      </w:r>
      <w:r>
        <w:rPr>
          <w:rFonts w:hint="eastAsia" w:ascii="宋体" w:hAnsi="宋体" w:cs="宋体"/>
          <w:bCs/>
          <w:color w:val="auto"/>
          <w:szCs w:val="24"/>
          <w:highlight w:val="none"/>
        </w:rPr>
        <w:t>本合同经双方法定代表人或授权代表签章并加盖各自单位公章或合同专用章之日起生效；</w:t>
      </w: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份，甲乙双方各执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份，具有同等法律效力</w:t>
      </w:r>
      <w:r>
        <w:rPr>
          <w:rFonts w:hint="eastAsia" w:ascii="宋体" w:hAnsi="宋体" w:cs="宋体"/>
          <w:color w:val="auto"/>
          <w:szCs w:val="24"/>
          <w:highlight w:val="none"/>
        </w:rPr>
        <w:t>。</w:t>
      </w:r>
    </w:p>
    <w:p w14:paraId="071FFD10">
      <w:pPr>
        <w:widowControl/>
        <w:jc w:val="left"/>
        <w:rPr>
          <w:rFonts w:hint="eastAsia" w:ascii="宋体" w:hAnsi="宋体" w:cs="宋体"/>
          <w:color w:val="auto"/>
          <w:highlight w:val="none"/>
        </w:rPr>
      </w:pPr>
      <w:r>
        <w:rPr>
          <w:rFonts w:ascii="宋体" w:hAnsi="宋体" w:cs="宋体"/>
          <w:color w:val="auto"/>
          <w:highlight w:val="none"/>
        </w:rPr>
        <w:br w:type="page"/>
      </w:r>
    </w:p>
    <w:p w14:paraId="713BF147">
      <w:pPr>
        <w:spacing w:after="120" w:afterLines="50"/>
        <w:rPr>
          <w:rFonts w:hint="eastAsia" w:ascii="宋体" w:hAnsi="宋体" w:cs="宋体"/>
          <w:color w:val="auto"/>
          <w:highlight w:val="none"/>
        </w:rPr>
      </w:pPr>
      <w:r>
        <w:rPr>
          <w:rFonts w:hint="eastAsia" w:ascii="宋体" w:hAnsi="宋体" w:cs="宋体"/>
          <w:color w:val="auto"/>
          <w:highlight w:val="none"/>
        </w:rPr>
        <w:t>（此页无正文）</w:t>
      </w:r>
    </w:p>
    <w:tbl>
      <w:tblPr>
        <w:tblStyle w:val="53"/>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36"/>
        <w:gridCol w:w="2596"/>
        <w:gridCol w:w="2130"/>
        <w:gridCol w:w="2278"/>
      </w:tblGrid>
      <w:tr w14:paraId="211D99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bottom w:val="single" w:color="auto" w:sz="2" w:space="0"/>
              <w:right w:val="single" w:color="auto" w:sz="2" w:space="0"/>
            </w:tcBorders>
            <w:vAlign w:val="center"/>
          </w:tcPr>
          <w:p w14:paraId="7362C1A8">
            <w:pPr>
              <w:adjustRightInd w:val="0"/>
              <w:snapToGrid w:val="0"/>
              <w:spacing w:before="120" w:beforeLines="50" w:line="360" w:lineRule="auto"/>
              <w:ind w:firstLine="840" w:firstLineChars="400"/>
              <w:rPr>
                <w:rFonts w:hint="eastAsia" w:ascii="宋体" w:hAnsi="宋体"/>
                <w:color w:val="auto"/>
                <w:szCs w:val="21"/>
                <w:highlight w:val="none"/>
              </w:rPr>
            </w:pPr>
            <w:r>
              <w:rPr>
                <w:rFonts w:ascii="宋体" w:hAnsi="宋体"/>
                <w:color w:val="auto"/>
                <w:szCs w:val="21"/>
                <w:highlight w:val="none"/>
              </w:rPr>
              <w:t>甲方</w:t>
            </w:r>
          </w:p>
        </w:tc>
        <w:tc>
          <w:tcPr>
            <w:tcW w:w="2438" w:type="pct"/>
            <w:gridSpan w:val="2"/>
            <w:tcBorders>
              <w:left w:val="single" w:color="auto" w:sz="2" w:space="0"/>
              <w:bottom w:val="single" w:color="auto" w:sz="2" w:space="0"/>
            </w:tcBorders>
            <w:vAlign w:val="center"/>
          </w:tcPr>
          <w:p w14:paraId="667E877B">
            <w:pPr>
              <w:adjustRightInd w:val="0"/>
              <w:snapToGrid w:val="0"/>
              <w:spacing w:before="120" w:beforeLines="50" w:line="360" w:lineRule="auto"/>
              <w:ind w:firstLine="840" w:firstLineChars="400"/>
              <w:rPr>
                <w:rFonts w:hint="eastAsia" w:ascii="宋体" w:hAnsi="宋体"/>
                <w:color w:val="auto"/>
                <w:szCs w:val="21"/>
                <w:highlight w:val="none"/>
              </w:rPr>
            </w:pPr>
            <w:r>
              <w:rPr>
                <w:rFonts w:ascii="宋体" w:hAnsi="宋体"/>
                <w:color w:val="auto"/>
                <w:szCs w:val="21"/>
                <w:highlight w:val="none"/>
              </w:rPr>
              <w:t>乙方</w:t>
            </w:r>
          </w:p>
        </w:tc>
      </w:tr>
      <w:tr w14:paraId="39BA7A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bottom w:val="single" w:color="auto" w:sz="2" w:space="0"/>
              <w:right w:val="single" w:color="auto" w:sz="2" w:space="0"/>
            </w:tcBorders>
            <w:vAlign w:val="center"/>
          </w:tcPr>
          <w:p w14:paraId="10B35856">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单位名称</w:t>
            </w:r>
          </w:p>
          <w:p w14:paraId="7423223F">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2B845521">
            <w:pPr>
              <w:adjustRightInd w:val="0"/>
              <w:snapToGrid w:val="0"/>
              <w:spacing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40B17DF">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单位名称</w:t>
            </w:r>
          </w:p>
          <w:p w14:paraId="23823A30">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（公章或合同章）</w:t>
            </w:r>
          </w:p>
        </w:tc>
        <w:tc>
          <w:tcPr>
            <w:tcW w:w="1260" w:type="pct"/>
            <w:tcBorders>
              <w:top w:val="single" w:color="auto" w:sz="2" w:space="0"/>
              <w:left w:val="single" w:color="auto" w:sz="2" w:space="0"/>
              <w:bottom w:val="single" w:color="auto" w:sz="2" w:space="0"/>
            </w:tcBorders>
            <w:vAlign w:val="center"/>
          </w:tcPr>
          <w:p w14:paraId="304981C3">
            <w:pPr>
              <w:adjustRightInd w:val="0"/>
              <w:snapToGrid w:val="0"/>
              <w:spacing w:line="360" w:lineRule="auto"/>
              <w:jc w:val="center"/>
              <w:rPr>
                <w:rFonts w:hint="eastAsia" w:ascii="宋体" w:hAnsi="宋体"/>
                <w:color w:val="auto"/>
                <w:spacing w:val="20"/>
                <w:szCs w:val="21"/>
                <w:highlight w:val="none"/>
              </w:rPr>
            </w:pPr>
          </w:p>
        </w:tc>
      </w:tr>
      <w:tr w14:paraId="76AE4C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right w:val="single" w:color="auto" w:sz="2" w:space="0"/>
            </w:tcBorders>
            <w:vAlign w:val="center"/>
          </w:tcPr>
          <w:p w14:paraId="6B25B392">
            <w:pPr>
              <w:adjustRightInd w:val="0"/>
              <w:snapToGrid w:val="0"/>
              <w:spacing w:line="360" w:lineRule="auto"/>
              <w:jc w:val="center"/>
              <w:rPr>
                <w:rFonts w:hint="eastAsia" w:ascii="宋体" w:hAnsi="宋体"/>
                <w:color w:val="auto"/>
                <w:szCs w:val="21"/>
                <w:highlight w:val="none"/>
              </w:rPr>
            </w:pPr>
            <w:r>
              <w:rPr>
                <w:rFonts w:ascii="宋体" w:hAnsi="宋体"/>
                <w:color w:val="auto"/>
                <w:szCs w:val="21"/>
                <w:highlight w:val="none"/>
              </w:rPr>
              <w:t>法定代表人</w:t>
            </w:r>
            <w:r>
              <w:rPr>
                <w:rFonts w:hint="eastAsia" w:ascii="宋体" w:hAnsi="宋体"/>
                <w:color w:val="auto"/>
                <w:szCs w:val="21"/>
                <w:highlight w:val="none"/>
              </w:rPr>
              <w:t>或</w:t>
            </w:r>
            <w:r>
              <w:rPr>
                <w:rFonts w:ascii="宋体" w:hAnsi="宋体"/>
                <w:color w:val="auto"/>
                <w:szCs w:val="21"/>
                <w:highlight w:val="none"/>
              </w:rPr>
              <w:t>委托代理人</w:t>
            </w:r>
          </w:p>
          <w:p w14:paraId="19EB436D">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（签章或签字）</w:t>
            </w:r>
          </w:p>
        </w:tc>
        <w:tc>
          <w:tcPr>
            <w:tcW w:w="1436" w:type="pct"/>
            <w:vMerge w:val="restart"/>
            <w:tcBorders>
              <w:top w:val="single" w:color="auto" w:sz="2" w:space="0"/>
              <w:left w:val="single" w:color="auto" w:sz="2" w:space="0"/>
              <w:right w:val="single" w:color="auto" w:sz="2" w:space="0"/>
            </w:tcBorders>
            <w:vAlign w:val="center"/>
          </w:tcPr>
          <w:p w14:paraId="1C7DBCC5">
            <w:pPr>
              <w:adjustRightInd w:val="0"/>
              <w:snapToGrid w:val="0"/>
              <w:spacing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088BE011">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法定代表人</w:t>
            </w:r>
            <w:r>
              <w:rPr>
                <w:rFonts w:hint="eastAsia" w:ascii="宋体" w:hAnsi="宋体"/>
                <w:color w:val="auto"/>
                <w:szCs w:val="21"/>
                <w:highlight w:val="none"/>
              </w:rPr>
              <w:t>或</w:t>
            </w:r>
            <w:r>
              <w:rPr>
                <w:rFonts w:ascii="宋体" w:hAnsi="宋体"/>
                <w:color w:val="auto"/>
                <w:szCs w:val="21"/>
                <w:highlight w:val="none"/>
              </w:rPr>
              <w:t>委托</w:t>
            </w:r>
          </w:p>
          <w:p w14:paraId="381438FE">
            <w:pPr>
              <w:adjustRightInd w:val="0"/>
              <w:snapToGrid w:val="0"/>
              <w:spacing w:line="360" w:lineRule="auto"/>
              <w:jc w:val="center"/>
              <w:rPr>
                <w:rFonts w:hint="eastAsia" w:ascii="宋体" w:hAnsi="宋体"/>
                <w:color w:val="auto"/>
                <w:szCs w:val="21"/>
                <w:highlight w:val="none"/>
              </w:rPr>
            </w:pPr>
            <w:r>
              <w:rPr>
                <w:rFonts w:ascii="宋体" w:hAnsi="宋体"/>
                <w:color w:val="auto"/>
                <w:szCs w:val="21"/>
                <w:highlight w:val="none"/>
              </w:rPr>
              <w:t>代理人</w:t>
            </w:r>
          </w:p>
          <w:p w14:paraId="5DBDE721">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（签章或签字）</w:t>
            </w:r>
          </w:p>
        </w:tc>
        <w:tc>
          <w:tcPr>
            <w:tcW w:w="1260" w:type="pct"/>
            <w:tcBorders>
              <w:top w:val="single" w:color="auto" w:sz="2" w:space="0"/>
              <w:left w:val="single" w:color="auto" w:sz="2" w:space="0"/>
              <w:bottom w:val="single" w:color="auto" w:sz="2" w:space="0"/>
            </w:tcBorders>
            <w:vAlign w:val="center"/>
          </w:tcPr>
          <w:p w14:paraId="577F1545">
            <w:pPr>
              <w:adjustRightInd w:val="0"/>
              <w:snapToGrid w:val="0"/>
              <w:spacing w:line="360" w:lineRule="auto"/>
              <w:jc w:val="center"/>
              <w:rPr>
                <w:rFonts w:hint="eastAsia" w:ascii="宋体" w:hAnsi="宋体"/>
                <w:color w:val="auto"/>
                <w:szCs w:val="21"/>
                <w:highlight w:val="none"/>
              </w:rPr>
            </w:pPr>
          </w:p>
        </w:tc>
      </w:tr>
      <w:tr w14:paraId="6F6747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vMerge w:val="continue"/>
            <w:tcBorders>
              <w:bottom w:val="single" w:color="auto" w:sz="2" w:space="0"/>
              <w:right w:val="single" w:color="auto" w:sz="2" w:space="0"/>
            </w:tcBorders>
            <w:vAlign w:val="center"/>
          </w:tcPr>
          <w:p w14:paraId="48843350">
            <w:pPr>
              <w:adjustRightInd w:val="0"/>
              <w:snapToGrid w:val="0"/>
              <w:spacing w:line="360" w:lineRule="auto"/>
              <w:jc w:val="center"/>
              <w:rPr>
                <w:rFonts w:hint="eastAsia" w:ascii="宋体" w:hAnsi="宋体"/>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05254F5A">
            <w:pPr>
              <w:adjustRightInd w:val="0"/>
              <w:snapToGrid w:val="0"/>
              <w:spacing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E4F115B">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拥有者性别</w:t>
            </w:r>
          </w:p>
        </w:tc>
        <w:tc>
          <w:tcPr>
            <w:tcW w:w="1260" w:type="pct"/>
            <w:tcBorders>
              <w:top w:val="single" w:color="auto" w:sz="2" w:space="0"/>
              <w:left w:val="single" w:color="auto" w:sz="2" w:space="0"/>
              <w:bottom w:val="single" w:color="auto" w:sz="2" w:space="0"/>
            </w:tcBorders>
            <w:vAlign w:val="center"/>
          </w:tcPr>
          <w:p w14:paraId="6A5852A3">
            <w:pPr>
              <w:adjustRightInd w:val="0"/>
              <w:snapToGrid w:val="0"/>
              <w:spacing w:line="360" w:lineRule="auto"/>
              <w:jc w:val="center"/>
              <w:rPr>
                <w:rFonts w:hint="eastAsia" w:ascii="宋体" w:hAnsi="宋体"/>
                <w:color w:val="auto"/>
                <w:spacing w:val="20"/>
                <w:szCs w:val="21"/>
                <w:highlight w:val="none"/>
              </w:rPr>
            </w:pPr>
          </w:p>
        </w:tc>
      </w:tr>
      <w:tr w14:paraId="2A6D73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1E56719">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27A0EEF2">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39197C">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住  所</w:t>
            </w:r>
          </w:p>
        </w:tc>
        <w:tc>
          <w:tcPr>
            <w:tcW w:w="1260" w:type="pct"/>
            <w:tcBorders>
              <w:top w:val="single" w:color="auto" w:sz="2" w:space="0"/>
              <w:left w:val="single" w:color="auto" w:sz="2" w:space="0"/>
              <w:bottom w:val="single" w:color="auto" w:sz="2" w:space="0"/>
            </w:tcBorders>
            <w:vAlign w:val="center"/>
          </w:tcPr>
          <w:p w14:paraId="44212300">
            <w:pPr>
              <w:adjustRightInd w:val="0"/>
              <w:snapToGrid w:val="0"/>
              <w:spacing w:line="360" w:lineRule="auto"/>
              <w:jc w:val="center"/>
              <w:rPr>
                <w:rFonts w:hint="eastAsia" w:ascii="宋体" w:hAnsi="宋体"/>
                <w:color w:val="auto"/>
                <w:spacing w:val="20"/>
                <w:szCs w:val="21"/>
                <w:highlight w:val="none"/>
              </w:rPr>
            </w:pPr>
          </w:p>
        </w:tc>
      </w:tr>
      <w:tr w14:paraId="73AACD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0EA2423">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6A200DC4">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CFE49ED">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联 系 人</w:t>
            </w:r>
          </w:p>
        </w:tc>
        <w:tc>
          <w:tcPr>
            <w:tcW w:w="1260" w:type="pct"/>
            <w:tcBorders>
              <w:top w:val="single" w:color="auto" w:sz="2" w:space="0"/>
              <w:left w:val="single" w:color="auto" w:sz="2" w:space="0"/>
              <w:bottom w:val="single" w:color="auto" w:sz="2" w:space="0"/>
            </w:tcBorders>
            <w:vAlign w:val="center"/>
          </w:tcPr>
          <w:p w14:paraId="5F69FDC8">
            <w:pPr>
              <w:adjustRightInd w:val="0"/>
              <w:snapToGrid w:val="0"/>
              <w:spacing w:line="360" w:lineRule="auto"/>
              <w:jc w:val="center"/>
              <w:rPr>
                <w:rFonts w:hint="eastAsia" w:ascii="宋体" w:hAnsi="宋体"/>
                <w:color w:val="auto"/>
                <w:spacing w:val="20"/>
                <w:szCs w:val="21"/>
                <w:highlight w:val="none"/>
              </w:rPr>
            </w:pPr>
          </w:p>
        </w:tc>
      </w:tr>
      <w:tr w14:paraId="1E04A8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BD543CD">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920A7E6">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F11E64">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联系电话</w:t>
            </w:r>
          </w:p>
        </w:tc>
        <w:tc>
          <w:tcPr>
            <w:tcW w:w="1260" w:type="pct"/>
            <w:tcBorders>
              <w:top w:val="single" w:color="auto" w:sz="2" w:space="0"/>
              <w:left w:val="single" w:color="auto" w:sz="2" w:space="0"/>
              <w:bottom w:val="single" w:color="auto" w:sz="2" w:space="0"/>
            </w:tcBorders>
            <w:vAlign w:val="center"/>
          </w:tcPr>
          <w:p w14:paraId="649CAF84">
            <w:pPr>
              <w:adjustRightInd w:val="0"/>
              <w:snapToGrid w:val="0"/>
              <w:spacing w:line="360" w:lineRule="auto"/>
              <w:jc w:val="center"/>
              <w:rPr>
                <w:rFonts w:hint="eastAsia" w:ascii="宋体" w:hAnsi="宋体"/>
                <w:color w:val="auto"/>
                <w:spacing w:val="20"/>
                <w:szCs w:val="21"/>
                <w:highlight w:val="none"/>
              </w:rPr>
            </w:pPr>
          </w:p>
        </w:tc>
      </w:tr>
      <w:tr w14:paraId="7AE421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2CDFB380">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9EC23F3">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76D41A0">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通信地址</w:t>
            </w:r>
          </w:p>
        </w:tc>
        <w:tc>
          <w:tcPr>
            <w:tcW w:w="1260" w:type="pct"/>
            <w:tcBorders>
              <w:top w:val="single" w:color="auto" w:sz="2" w:space="0"/>
              <w:left w:val="single" w:color="auto" w:sz="2" w:space="0"/>
              <w:bottom w:val="single" w:color="auto" w:sz="2" w:space="0"/>
            </w:tcBorders>
            <w:vAlign w:val="center"/>
          </w:tcPr>
          <w:p w14:paraId="103ADBB7">
            <w:pPr>
              <w:adjustRightInd w:val="0"/>
              <w:snapToGrid w:val="0"/>
              <w:spacing w:line="360" w:lineRule="auto"/>
              <w:jc w:val="center"/>
              <w:rPr>
                <w:rFonts w:hint="eastAsia" w:ascii="宋体" w:hAnsi="宋体"/>
                <w:color w:val="auto"/>
                <w:spacing w:val="20"/>
                <w:szCs w:val="21"/>
                <w:highlight w:val="none"/>
              </w:rPr>
            </w:pPr>
          </w:p>
        </w:tc>
      </w:tr>
      <w:tr w14:paraId="5C7B4C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6DD7EFC">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E99CE6C">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968A2F6">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邮政编码</w:t>
            </w:r>
          </w:p>
        </w:tc>
        <w:tc>
          <w:tcPr>
            <w:tcW w:w="1260" w:type="pct"/>
            <w:tcBorders>
              <w:top w:val="single" w:color="auto" w:sz="2" w:space="0"/>
              <w:left w:val="single" w:color="auto" w:sz="2" w:space="0"/>
              <w:bottom w:val="single" w:color="auto" w:sz="2" w:space="0"/>
            </w:tcBorders>
            <w:vAlign w:val="center"/>
          </w:tcPr>
          <w:p w14:paraId="3EA334BC">
            <w:pPr>
              <w:adjustRightInd w:val="0"/>
              <w:snapToGrid w:val="0"/>
              <w:spacing w:line="360" w:lineRule="auto"/>
              <w:jc w:val="center"/>
              <w:rPr>
                <w:rFonts w:hint="eastAsia" w:ascii="宋体" w:hAnsi="宋体"/>
                <w:color w:val="auto"/>
                <w:spacing w:val="20"/>
                <w:szCs w:val="21"/>
                <w:highlight w:val="none"/>
              </w:rPr>
            </w:pPr>
          </w:p>
        </w:tc>
      </w:tr>
      <w:tr w14:paraId="1C6266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B6A256F">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0CCB3CEA">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41D004D">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电子邮箱</w:t>
            </w:r>
          </w:p>
        </w:tc>
        <w:tc>
          <w:tcPr>
            <w:tcW w:w="1260" w:type="pct"/>
            <w:tcBorders>
              <w:top w:val="single" w:color="auto" w:sz="2" w:space="0"/>
              <w:left w:val="single" w:color="auto" w:sz="2" w:space="0"/>
              <w:bottom w:val="single" w:color="auto" w:sz="2" w:space="0"/>
            </w:tcBorders>
            <w:vAlign w:val="center"/>
          </w:tcPr>
          <w:p w14:paraId="630C14BD">
            <w:pPr>
              <w:adjustRightInd w:val="0"/>
              <w:snapToGrid w:val="0"/>
              <w:spacing w:line="360" w:lineRule="auto"/>
              <w:jc w:val="center"/>
              <w:rPr>
                <w:rFonts w:hint="eastAsia" w:ascii="宋体" w:hAnsi="宋体"/>
                <w:color w:val="auto"/>
                <w:spacing w:val="20"/>
                <w:szCs w:val="21"/>
                <w:highlight w:val="none"/>
              </w:rPr>
            </w:pPr>
          </w:p>
        </w:tc>
      </w:tr>
      <w:tr w14:paraId="039C4B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19ED93B">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56235F9">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905B00E">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统一社会信用代码</w:t>
            </w:r>
          </w:p>
        </w:tc>
        <w:tc>
          <w:tcPr>
            <w:tcW w:w="1260" w:type="pct"/>
            <w:tcBorders>
              <w:top w:val="single" w:color="auto" w:sz="2" w:space="0"/>
              <w:left w:val="single" w:color="auto" w:sz="2" w:space="0"/>
              <w:bottom w:val="single" w:color="auto" w:sz="2" w:space="0"/>
            </w:tcBorders>
            <w:vAlign w:val="center"/>
          </w:tcPr>
          <w:p w14:paraId="3C816DD8">
            <w:pPr>
              <w:adjustRightInd w:val="0"/>
              <w:snapToGrid w:val="0"/>
              <w:spacing w:line="360" w:lineRule="auto"/>
              <w:jc w:val="center"/>
              <w:rPr>
                <w:rFonts w:hint="eastAsia" w:ascii="宋体" w:hAnsi="宋体"/>
                <w:color w:val="auto"/>
                <w:spacing w:val="20"/>
                <w:szCs w:val="21"/>
                <w:highlight w:val="none"/>
              </w:rPr>
            </w:pPr>
          </w:p>
        </w:tc>
      </w:tr>
      <w:tr w14:paraId="7C05BE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80250DA">
            <w:pPr>
              <w:adjustRightInd w:val="0"/>
              <w:snapToGrid w:val="0"/>
              <w:spacing w:before="120" w:beforeLines="50" w:line="360" w:lineRule="auto"/>
              <w:jc w:val="center"/>
              <w:rPr>
                <w:rFonts w:hint="eastAsia" w:ascii="宋体" w:hAnsi="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30A837B">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4D9E255">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开户名称</w:t>
            </w:r>
          </w:p>
        </w:tc>
        <w:tc>
          <w:tcPr>
            <w:tcW w:w="1260" w:type="pct"/>
            <w:tcBorders>
              <w:top w:val="single" w:color="auto" w:sz="2" w:space="0"/>
              <w:left w:val="single" w:color="auto" w:sz="2" w:space="0"/>
              <w:bottom w:val="single" w:color="auto" w:sz="2" w:space="0"/>
            </w:tcBorders>
            <w:vAlign w:val="center"/>
          </w:tcPr>
          <w:p w14:paraId="61E2A74F">
            <w:pPr>
              <w:adjustRightInd w:val="0"/>
              <w:snapToGrid w:val="0"/>
              <w:spacing w:line="360" w:lineRule="auto"/>
              <w:jc w:val="center"/>
              <w:rPr>
                <w:rFonts w:hint="eastAsia" w:ascii="宋体" w:hAnsi="宋体"/>
                <w:color w:val="auto"/>
                <w:spacing w:val="20"/>
                <w:szCs w:val="21"/>
                <w:highlight w:val="none"/>
              </w:rPr>
            </w:pPr>
          </w:p>
        </w:tc>
      </w:tr>
      <w:tr w14:paraId="29C7471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89B652B">
            <w:pPr>
              <w:adjustRightInd w:val="0"/>
              <w:snapToGrid w:val="0"/>
              <w:spacing w:before="120" w:beforeLines="50" w:line="360" w:lineRule="auto"/>
              <w:jc w:val="center"/>
              <w:rPr>
                <w:rFonts w:hint="eastAsia" w:ascii="宋体" w:hAnsi="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F39AEE8">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D0D1BC5">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开户银行</w:t>
            </w:r>
          </w:p>
        </w:tc>
        <w:tc>
          <w:tcPr>
            <w:tcW w:w="1260" w:type="pct"/>
            <w:tcBorders>
              <w:top w:val="single" w:color="auto" w:sz="2" w:space="0"/>
              <w:left w:val="single" w:color="auto" w:sz="2" w:space="0"/>
              <w:bottom w:val="single" w:color="auto" w:sz="2" w:space="0"/>
            </w:tcBorders>
            <w:vAlign w:val="center"/>
          </w:tcPr>
          <w:p w14:paraId="1BEACDF3">
            <w:pPr>
              <w:adjustRightInd w:val="0"/>
              <w:snapToGrid w:val="0"/>
              <w:spacing w:line="360" w:lineRule="auto"/>
              <w:jc w:val="center"/>
              <w:rPr>
                <w:rFonts w:hint="eastAsia" w:ascii="宋体" w:hAnsi="宋体"/>
                <w:color w:val="auto"/>
                <w:spacing w:val="20"/>
                <w:szCs w:val="21"/>
                <w:highlight w:val="none"/>
              </w:rPr>
            </w:pPr>
          </w:p>
        </w:tc>
      </w:tr>
      <w:tr w14:paraId="5585CE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22897453">
            <w:pPr>
              <w:adjustRightInd w:val="0"/>
              <w:snapToGrid w:val="0"/>
              <w:spacing w:before="120" w:beforeLines="50" w:line="360" w:lineRule="auto"/>
              <w:jc w:val="center"/>
              <w:rPr>
                <w:rFonts w:hint="eastAsia" w:ascii="宋体" w:hAnsi="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7F6E1FD">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B77CDCE">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银行账号</w:t>
            </w:r>
          </w:p>
        </w:tc>
        <w:tc>
          <w:tcPr>
            <w:tcW w:w="1260" w:type="pct"/>
            <w:tcBorders>
              <w:top w:val="single" w:color="auto" w:sz="2" w:space="0"/>
              <w:left w:val="single" w:color="auto" w:sz="2" w:space="0"/>
              <w:bottom w:val="single" w:color="auto" w:sz="2" w:space="0"/>
            </w:tcBorders>
            <w:vAlign w:val="center"/>
          </w:tcPr>
          <w:p w14:paraId="71909460">
            <w:pPr>
              <w:adjustRightInd w:val="0"/>
              <w:snapToGrid w:val="0"/>
              <w:spacing w:line="360" w:lineRule="auto"/>
              <w:jc w:val="center"/>
              <w:rPr>
                <w:rFonts w:hint="eastAsia" w:ascii="宋体" w:hAnsi="宋体"/>
                <w:color w:val="auto"/>
                <w:spacing w:val="20"/>
                <w:szCs w:val="21"/>
                <w:highlight w:val="none"/>
              </w:rPr>
            </w:pPr>
          </w:p>
        </w:tc>
      </w:tr>
      <w:tr w14:paraId="0AC650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tcBorders>
            <w:vAlign w:val="center"/>
          </w:tcPr>
          <w:p w14:paraId="1E6B58E8">
            <w:pPr>
              <w:pStyle w:val="22"/>
              <w:adjustRightInd w:val="0"/>
              <w:snapToGrid w:val="0"/>
              <w:spacing w:before="120" w:beforeLines="50" w:line="360" w:lineRule="auto"/>
              <w:ind w:hanging="420"/>
              <w:jc w:val="center"/>
              <w:rPr>
                <w:rFonts w:hint="eastAsia" w:ascii="宋体" w:hAnsi="宋体"/>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3E29410E">
      <w:pPr>
        <w:spacing w:after="120" w:afterLines="50" w:line="360" w:lineRule="auto"/>
        <w:jc w:val="center"/>
        <w:rPr>
          <w:color w:val="auto"/>
          <w:sz w:val="24"/>
          <w:szCs w:val="24"/>
          <w:highlight w:val="none"/>
        </w:rPr>
      </w:pPr>
    </w:p>
    <w:p w14:paraId="100EAB21">
      <w:pPr>
        <w:rPr>
          <w:color w:val="auto"/>
          <w:sz w:val="24"/>
          <w:szCs w:val="24"/>
          <w:highlight w:val="none"/>
        </w:rPr>
      </w:pPr>
    </w:p>
    <w:p w14:paraId="2672FC03">
      <w:pPr>
        <w:snapToGrid w:val="0"/>
        <w:ind w:firstLine="420" w:firstLineChars="200"/>
        <w:rPr>
          <w:rFonts w:hint="eastAsia" w:ascii="宋体" w:hAnsi="宋体" w:cs="宋体"/>
          <w:b/>
          <w:bCs/>
          <w:color w:val="auto"/>
          <w:kern w:val="44"/>
          <w:szCs w:val="21"/>
          <w:highlight w:val="none"/>
        </w:rPr>
      </w:pPr>
      <w:r>
        <w:rPr>
          <w:rFonts w:hint="eastAsia" w:ascii="宋体" w:hAnsi="宋体" w:cs="宋体"/>
          <w:color w:val="auto"/>
          <w:szCs w:val="21"/>
          <w:highlight w:val="none"/>
        </w:rPr>
        <w:br w:type="page"/>
      </w:r>
      <w:bookmarkEnd w:id="1063"/>
      <w:bookmarkEnd w:id="1064"/>
      <w:bookmarkStart w:id="1075" w:name="_Toc132362638"/>
      <w:bookmarkStart w:id="1076" w:name="_Toc37603115"/>
      <w:bookmarkStart w:id="1077" w:name="_Toc42205043"/>
    </w:p>
    <w:bookmarkEnd w:id="1075"/>
    <w:p w14:paraId="243AC9F2">
      <w:pPr>
        <w:spacing w:line="360" w:lineRule="auto"/>
        <w:jc w:val="center"/>
        <w:outlineLvl w:val="0"/>
        <w:rPr>
          <w:rFonts w:hint="eastAsia" w:asciiTheme="minorEastAsia" w:hAnsiTheme="minorEastAsia" w:eastAsiaTheme="minorEastAsia"/>
          <w:b/>
          <w:bCs/>
          <w:color w:val="auto"/>
          <w:sz w:val="32"/>
          <w:szCs w:val="32"/>
          <w:highlight w:val="none"/>
        </w:rPr>
      </w:pPr>
      <w:bookmarkStart w:id="1078" w:name="_Toc153670642"/>
      <w:bookmarkStart w:id="1079" w:name="_Toc10735"/>
      <w:r>
        <w:rPr>
          <w:rFonts w:hint="eastAsia" w:asciiTheme="minorEastAsia" w:hAnsiTheme="minorEastAsia" w:eastAsiaTheme="minorEastAsia"/>
          <w:b/>
          <w:bCs/>
          <w:color w:val="auto"/>
          <w:sz w:val="32"/>
          <w:szCs w:val="32"/>
          <w:highlight w:val="none"/>
        </w:rPr>
        <w:t xml:space="preserve">第四章 </w:t>
      </w:r>
      <w:bookmarkEnd w:id="1065"/>
      <w:r>
        <w:rPr>
          <w:rFonts w:hint="eastAsia" w:asciiTheme="minorEastAsia" w:hAnsiTheme="minorEastAsia" w:eastAsiaTheme="minorEastAsia"/>
          <w:b/>
          <w:bCs/>
          <w:color w:val="auto"/>
          <w:sz w:val="32"/>
          <w:szCs w:val="32"/>
          <w:highlight w:val="none"/>
        </w:rPr>
        <w:t>响应文件格式</w:t>
      </w:r>
      <w:bookmarkEnd w:id="1076"/>
      <w:bookmarkEnd w:id="1077"/>
      <w:bookmarkEnd w:id="1078"/>
      <w:bookmarkEnd w:id="1079"/>
    </w:p>
    <w:p w14:paraId="281DB403">
      <w:pPr>
        <w:pStyle w:val="28"/>
        <w:spacing w:line="360" w:lineRule="auto"/>
        <w:jc w:val="center"/>
        <w:rPr>
          <w:rFonts w:hint="eastAsia" w:ascii="Times New Roman"/>
          <w:b/>
          <w:color w:val="auto"/>
          <w:sz w:val="36"/>
          <w:szCs w:val="36"/>
          <w:highlight w:val="none"/>
          <w:lang w:val="en-US" w:eastAsia="zh-CN"/>
        </w:rPr>
      </w:pPr>
      <w:bookmarkStart w:id="1080" w:name="_Hlk521082080"/>
      <w:bookmarkStart w:id="1081" w:name="_Toc381796416"/>
      <w:bookmarkStart w:id="1082" w:name="_Toc292983027"/>
      <w:bookmarkStart w:id="1083" w:name="_Toc37603116"/>
      <w:bookmarkStart w:id="1084" w:name="_Toc292983029"/>
      <w:bookmarkStart w:id="1085" w:name="_Toc186354393"/>
      <w:bookmarkStart w:id="1086" w:name="_Toc42205044"/>
      <w:bookmarkStart w:id="1087" w:name="_Toc381796417"/>
      <w:bookmarkStart w:id="1088" w:name="_Toc84356306"/>
      <w:bookmarkStart w:id="1089" w:name="_Toc265766858"/>
      <w:bookmarkStart w:id="1090" w:name="_Toc14337"/>
    </w:p>
    <w:p w14:paraId="12BFDB9D">
      <w:pPr>
        <w:pStyle w:val="28"/>
        <w:spacing w:line="360" w:lineRule="auto"/>
        <w:jc w:val="center"/>
        <w:rPr>
          <w:rFonts w:hint="eastAsia" w:asciiTheme="minorEastAsia" w:hAnsiTheme="minorEastAsia" w:eastAsiaTheme="minorEastAsia"/>
          <w:color w:val="auto"/>
          <w:sz w:val="24"/>
          <w:szCs w:val="24"/>
          <w:highlight w:val="none"/>
        </w:rPr>
      </w:pPr>
      <w:r>
        <w:rPr>
          <w:rFonts w:hint="eastAsia" w:ascii="Times New Roman"/>
          <w:b/>
          <w:color w:val="auto"/>
          <w:sz w:val="36"/>
          <w:szCs w:val="36"/>
          <w:highlight w:val="none"/>
          <w:lang w:val="en-US" w:eastAsia="zh-CN"/>
        </w:rPr>
        <w:t>宜良县中医医院保安、保洁服务项目采购</w:t>
      </w:r>
    </w:p>
    <w:p w14:paraId="6558BFC5">
      <w:pPr>
        <w:spacing w:line="360" w:lineRule="auto"/>
        <w:jc w:val="center"/>
        <w:rPr>
          <w:rFonts w:hint="eastAsia" w:asciiTheme="minorEastAsia" w:hAnsiTheme="minorEastAsia" w:eastAsiaTheme="minorEastAsia"/>
          <w:color w:val="auto"/>
          <w:sz w:val="24"/>
          <w:szCs w:val="24"/>
          <w:highlight w:val="none"/>
        </w:rPr>
      </w:pPr>
    </w:p>
    <w:p w14:paraId="18C1C914">
      <w:pPr>
        <w:spacing w:line="360" w:lineRule="auto"/>
        <w:jc w:val="center"/>
        <w:rPr>
          <w:rFonts w:hint="eastAsia" w:asciiTheme="minorEastAsia" w:hAnsiTheme="minorEastAsia" w:eastAsiaTheme="minorEastAsia"/>
          <w:color w:val="auto"/>
          <w:sz w:val="24"/>
          <w:szCs w:val="24"/>
          <w:highlight w:val="none"/>
        </w:rPr>
      </w:pPr>
    </w:p>
    <w:p w14:paraId="4C3A5D89">
      <w:pPr>
        <w:spacing w:line="360" w:lineRule="auto"/>
        <w:jc w:val="center"/>
        <w:rPr>
          <w:rFonts w:hint="eastAsia" w:asciiTheme="minorEastAsia" w:hAnsiTheme="minorEastAsia" w:eastAsiaTheme="minorEastAsia"/>
          <w:color w:val="auto"/>
          <w:sz w:val="24"/>
          <w:szCs w:val="24"/>
          <w:highlight w:val="none"/>
        </w:rPr>
      </w:pPr>
    </w:p>
    <w:p w14:paraId="4128D1AF">
      <w:pPr>
        <w:spacing w:line="360" w:lineRule="auto"/>
        <w:jc w:val="center"/>
        <w:rPr>
          <w:rFonts w:hint="eastAsia" w:asciiTheme="minorEastAsia" w:hAnsiTheme="minorEastAsia" w:eastAsiaTheme="minorEastAsia"/>
          <w:color w:val="auto"/>
          <w:sz w:val="24"/>
          <w:szCs w:val="24"/>
          <w:highlight w:val="none"/>
        </w:rPr>
      </w:pPr>
    </w:p>
    <w:p w14:paraId="5D4BB5F1">
      <w:pPr>
        <w:spacing w:line="360" w:lineRule="auto"/>
        <w:jc w:val="center"/>
        <w:rPr>
          <w:rFonts w:hint="eastAsia" w:asciiTheme="minorEastAsia" w:hAnsiTheme="minorEastAsia" w:eastAsiaTheme="minorEastAsia"/>
          <w:color w:val="auto"/>
          <w:sz w:val="24"/>
          <w:szCs w:val="24"/>
          <w:highlight w:val="none"/>
        </w:rPr>
      </w:pPr>
    </w:p>
    <w:p w14:paraId="3C8FC8CD">
      <w:pPr>
        <w:spacing w:line="360" w:lineRule="auto"/>
        <w:jc w:val="center"/>
        <w:rPr>
          <w:rFonts w:hint="eastAsia" w:asciiTheme="minorEastAsia" w:hAnsiTheme="minorEastAsia" w:eastAsiaTheme="minorEastAsia"/>
          <w:color w:val="auto"/>
          <w:sz w:val="24"/>
          <w:szCs w:val="24"/>
          <w:highlight w:val="none"/>
        </w:rPr>
      </w:pPr>
    </w:p>
    <w:p w14:paraId="5AA6BD72">
      <w:pPr>
        <w:spacing w:line="360" w:lineRule="auto"/>
        <w:jc w:val="both"/>
        <w:rPr>
          <w:rFonts w:hint="eastAsia" w:asciiTheme="minorEastAsia" w:hAnsiTheme="minorEastAsia" w:eastAsiaTheme="minorEastAsia"/>
          <w:color w:val="auto"/>
          <w:sz w:val="24"/>
          <w:szCs w:val="24"/>
          <w:highlight w:val="none"/>
        </w:rPr>
      </w:pPr>
    </w:p>
    <w:p w14:paraId="49BE91F5">
      <w:pPr>
        <w:spacing w:line="360" w:lineRule="auto"/>
        <w:jc w:val="center"/>
        <w:rPr>
          <w:rFonts w:hint="eastAsia" w:asciiTheme="minorEastAsia" w:hAnsiTheme="minorEastAsia" w:eastAsiaTheme="minorEastAsia"/>
          <w:color w:val="auto"/>
          <w:sz w:val="24"/>
          <w:szCs w:val="24"/>
          <w:highlight w:val="none"/>
        </w:rPr>
      </w:pPr>
    </w:p>
    <w:p w14:paraId="2EF25226">
      <w:pPr>
        <w:pStyle w:val="28"/>
        <w:jc w:val="center"/>
        <w:rPr>
          <w:rFonts w:hint="eastAsia" w:asciiTheme="minorEastAsia" w:hAnsiTheme="minorEastAsia" w:eastAsiaTheme="minorEastAsia"/>
          <w:b/>
          <w:bCs/>
          <w:color w:val="auto"/>
          <w:sz w:val="72"/>
          <w:szCs w:val="72"/>
          <w:highlight w:val="none"/>
        </w:rPr>
      </w:pPr>
      <w:r>
        <w:rPr>
          <w:rFonts w:hint="eastAsia" w:asciiTheme="minorEastAsia" w:hAnsiTheme="minorEastAsia" w:eastAsiaTheme="minorEastAsia"/>
          <w:b/>
          <w:bCs/>
          <w:color w:val="auto"/>
          <w:sz w:val="72"/>
          <w:szCs w:val="72"/>
          <w:highlight w:val="none"/>
        </w:rPr>
        <w:t>响 应 文 件</w:t>
      </w:r>
    </w:p>
    <w:p w14:paraId="21465618">
      <w:pPr>
        <w:spacing w:before="120" w:beforeLines="50" w:line="360" w:lineRule="auto"/>
        <w:jc w:val="center"/>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项目编号：</w:t>
      </w:r>
    </w:p>
    <w:p w14:paraId="2261ABD7">
      <w:pPr>
        <w:spacing w:line="360" w:lineRule="auto"/>
        <w:jc w:val="center"/>
        <w:rPr>
          <w:rFonts w:hint="eastAsia" w:asciiTheme="minorEastAsia" w:hAnsiTheme="minorEastAsia" w:eastAsiaTheme="minorEastAsia"/>
          <w:color w:val="auto"/>
          <w:sz w:val="24"/>
          <w:highlight w:val="none"/>
        </w:rPr>
      </w:pPr>
    </w:p>
    <w:p w14:paraId="180A17C5">
      <w:pPr>
        <w:spacing w:line="360" w:lineRule="auto"/>
        <w:jc w:val="center"/>
        <w:rPr>
          <w:rFonts w:hint="eastAsia" w:asciiTheme="minorEastAsia" w:hAnsiTheme="minorEastAsia" w:eastAsiaTheme="minorEastAsia"/>
          <w:color w:val="auto"/>
          <w:sz w:val="24"/>
          <w:highlight w:val="none"/>
        </w:rPr>
      </w:pPr>
    </w:p>
    <w:p w14:paraId="563EB10A">
      <w:pPr>
        <w:spacing w:line="360" w:lineRule="auto"/>
        <w:jc w:val="center"/>
        <w:rPr>
          <w:rFonts w:hint="eastAsia" w:asciiTheme="minorEastAsia" w:hAnsiTheme="minorEastAsia" w:eastAsiaTheme="minorEastAsia"/>
          <w:color w:val="auto"/>
          <w:sz w:val="24"/>
          <w:highlight w:val="none"/>
        </w:rPr>
      </w:pPr>
    </w:p>
    <w:p w14:paraId="3E1AA99F">
      <w:pPr>
        <w:spacing w:line="360" w:lineRule="auto"/>
        <w:jc w:val="center"/>
        <w:rPr>
          <w:rFonts w:hint="eastAsia" w:asciiTheme="minorEastAsia" w:hAnsiTheme="minorEastAsia" w:eastAsiaTheme="minorEastAsia"/>
          <w:color w:val="auto"/>
          <w:sz w:val="24"/>
          <w:highlight w:val="none"/>
        </w:rPr>
      </w:pPr>
    </w:p>
    <w:p w14:paraId="1FE9FC33">
      <w:pPr>
        <w:spacing w:line="360" w:lineRule="auto"/>
        <w:jc w:val="center"/>
        <w:rPr>
          <w:rFonts w:hint="eastAsia" w:asciiTheme="minorEastAsia" w:hAnsiTheme="minorEastAsia" w:eastAsiaTheme="minorEastAsia"/>
          <w:color w:val="auto"/>
          <w:sz w:val="24"/>
          <w:highlight w:val="none"/>
        </w:rPr>
      </w:pPr>
    </w:p>
    <w:p w14:paraId="6E7CF648">
      <w:pPr>
        <w:spacing w:line="360" w:lineRule="auto"/>
        <w:jc w:val="center"/>
        <w:rPr>
          <w:rFonts w:hint="eastAsia" w:asciiTheme="minorEastAsia" w:hAnsiTheme="minorEastAsia" w:eastAsiaTheme="minorEastAsia"/>
          <w:color w:val="auto"/>
          <w:sz w:val="24"/>
          <w:highlight w:val="none"/>
        </w:rPr>
      </w:pPr>
    </w:p>
    <w:p w14:paraId="4B012C7B">
      <w:pPr>
        <w:spacing w:line="360" w:lineRule="auto"/>
        <w:jc w:val="center"/>
        <w:rPr>
          <w:rFonts w:hint="eastAsia" w:asciiTheme="minorEastAsia" w:hAnsiTheme="minorEastAsia" w:eastAsiaTheme="minorEastAsia"/>
          <w:color w:val="auto"/>
          <w:sz w:val="24"/>
          <w:highlight w:val="none"/>
        </w:rPr>
      </w:pPr>
    </w:p>
    <w:p w14:paraId="00A4A6BC">
      <w:pPr>
        <w:spacing w:line="360" w:lineRule="auto"/>
        <w:jc w:val="center"/>
        <w:rPr>
          <w:rFonts w:hint="eastAsia" w:asciiTheme="minorEastAsia" w:hAnsiTheme="minorEastAsia" w:eastAsiaTheme="minorEastAsia"/>
          <w:color w:val="auto"/>
          <w:sz w:val="24"/>
          <w:highlight w:val="none"/>
        </w:rPr>
      </w:pPr>
    </w:p>
    <w:p w14:paraId="07143C22">
      <w:pPr>
        <w:spacing w:line="360" w:lineRule="auto"/>
        <w:rPr>
          <w:rFonts w:hint="eastAsia" w:asciiTheme="minorEastAsia" w:hAnsiTheme="minorEastAsia" w:eastAsiaTheme="minorEastAsia"/>
          <w:color w:val="auto"/>
          <w:sz w:val="24"/>
          <w:highlight w:val="none"/>
        </w:rPr>
      </w:pPr>
    </w:p>
    <w:p w14:paraId="2E53A8D6">
      <w:pPr>
        <w:spacing w:line="360" w:lineRule="auto"/>
        <w:ind w:firstLine="993" w:firstLineChars="309"/>
        <w:jc w:val="left"/>
        <w:rPr>
          <w:rFonts w:hint="eastAsia"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供应商</w:t>
      </w:r>
      <w:r>
        <w:rPr>
          <w:rFonts w:asciiTheme="minorEastAsia" w:hAnsiTheme="minorEastAsia" w:eastAsiaTheme="minorEastAsia"/>
          <w:b/>
          <w:bCs/>
          <w:color w:val="auto"/>
          <w:sz w:val="32"/>
          <w:szCs w:val="32"/>
          <w:highlight w:val="none"/>
        </w:rPr>
        <w:t>（</w:t>
      </w:r>
      <w:r>
        <w:rPr>
          <w:rFonts w:hint="eastAsia" w:asciiTheme="minorEastAsia" w:hAnsiTheme="minorEastAsia" w:eastAsiaTheme="minorEastAsia"/>
          <w:b/>
          <w:bCs/>
          <w:color w:val="auto"/>
          <w:sz w:val="32"/>
          <w:szCs w:val="32"/>
          <w:highlight w:val="none"/>
        </w:rPr>
        <w:t>电子签章</w:t>
      </w:r>
      <w:r>
        <w:rPr>
          <w:rFonts w:asciiTheme="minorEastAsia" w:hAnsiTheme="minorEastAsia" w:eastAsiaTheme="minorEastAsia"/>
          <w:b/>
          <w:bCs/>
          <w:color w:val="auto"/>
          <w:sz w:val="32"/>
          <w:szCs w:val="32"/>
          <w:highlight w:val="none"/>
        </w:rPr>
        <w:t>）：</w:t>
      </w:r>
      <w:r>
        <w:rPr>
          <w:rFonts w:asciiTheme="minorEastAsia" w:hAnsiTheme="minorEastAsia" w:eastAsiaTheme="minorEastAsia"/>
          <w:b/>
          <w:bCs/>
          <w:color w:val="auto"/>
          <w:sz w:val="32"/>
          <w:szCs w:val="32"/>
          <w:highlight w:val="none"/>
          <w:u w:val="single"/>
        </w:rPr>
        <w:t xml:space="preserve">               </w:t>
      </w:r>
      <w:r>
        <w:rPr>
          <w:rFonts w:hint="eastAsia" w:asciiTheme="minorEastAsia" w:hAnsiTheme="minorEastAsia" w:eastAsiaTheme="minorEastAsia"/>
          <w:b/>
          <w:bCs/>
          <w:color w:val="auto"/>
          <w:sz w:val="32"/>
          <w:szCs w:val="32"/>
          <w:highlight w:val="none"/>
          <w:u w:val="single"/>
        </w:rPr>
        <w:t xml:space="preserve">    </w:t>
      </w:r>
      <w:r>
        <w:rPr>
          <w:rFonts w:asciiTheme="minorEastAsia" w:hAnsiTheme="minorEastAsia" w:eastAsiaTheme="minorEastAsia"/>
          <w:b/>
          <w:bCs/>
          <w:color w:val="auto"/>
          <w:sz w:val="32"/>
          <w:szCs w:val="32"/>
          <w:highlight w:val="none"/>
          <w:u w:val="single"/>
        </w:rPr>
        <w:t xml:space="preserve"> </w:t>
      </w:r>
    </w:p>
    <w:p w14:paraId="5A80F454">
      <w:pPr>
        <w:spacing w:line="360" w:lineRule="auto"/>
        <w:ind w:firstLine="957" w:firstLineChars="298"/>
        <w:jc w:val="left"/>
        <w:rPr>
          <w:rFonts w:hint="eastAsia" w:asciiTheme="minorEastAsia" w:hAnsiTheme="minorEastAsia" w:eastAsiaTheme="minorEastAsia"/>
          <w:b/>
          <w:bCs/>
          <w:color w:val="auto"/>
          <w:sz w:val="32"/>
          <w:szCs w:val="32"/>
          <w:highlight w:val="none"/>
        </w:rPr>
      </w:pPr>
      <w:r>
        <w:rPr>
          <w:rFonts w:asciiTheme="minorEastAsia" w:hAnsiTheme="minorEastAsia" w:eastAsiaTheme="minorEastAsia"/>
          <w:b/>
          <w:bCs/>
          <w:color w:val="auto"/>
          <w:sz w:val="32"/>
          <w:szCs w:val="32"/>
          <w:highlight w:val="none"/>
        </w:rPr>
        <w:t>法定代表人</w:t>
      </w:r>
      <w:r>
        <w:rPr>
          <w:rFonts w:hint="eastAsia" w:asciiTheme="minorEastAsia" w:hAnsiTheme="minorEastAsia" w:eastAsiaTheme="minorEastAsia"/>
          <w:b/>
          <w:bCs/>
          <w:color w:val="auto"/>
          <w:sz w:val="32"/>
          <w:szCs w:val="32"/>
          <w:highlight w:val="none"/>
        </w:rPr>
        <w:t>（电子签章）</w:t>
      </w:r>
      <w:r>
        <w:rPr>
          <w:rFonts w:asciiTheme="minorEastAsia" w:hAnsiTheme="minorEastAsia" w:eastAsiaTheme="minorEastAsia"/>
          <w:b/>
          <w:bCs/>
          <w:color w:val="auto"/>
          <w:sz w:val="32"/>
          <w:szCs w:val="32"/>
          <w:highlight w:val="none"/>
        </w:rPr>
        <w:t>：</w:t>
      </w:r>
      <w:r>
        <w:rPr>
          <w:rFonts w:asciiTheme="minorEastAsia" w:hAnsiTheme="minorEastAsia" w:eastAsiaTheme="minorEastAsia"/>
          <w:b/>
          <w:bCs/>
          <w:color w:val="auto"/>
          <w:sz w:val="32"/>
          <w:szCs w:val="32"/>
          <w:highlight w:val="none"/>
          <w:u w:val="single"/>
        </w:rPr>
        <w:t xml:space="preserve">    </w:t>
      </w:r>
      <w:r>
        <w:rPr>
          <w:rFonts w:hint="eastAsia" w:asciiTheme="minorEastAsia" w:hAnsiTheme="minorEastAsia" w:eastAsiaTheme="minorEastAsia"/>
          <w:b/>
          <w:bCs/>
          <w:color w:val="auto"/>
          <w:sz w:val="32"/>
          <w:szCs w:val="32"/>
          <w:highlight w:val="none"/>
          <w:u w:val="single"/>
        </w:rPr>
        <w:t xml:space="preserve"> </w:t>
      </w:r>
      <w:r>
        <w:rPr>
          <w:rFonts w:asciiTheme="minorEastAsia" w:hAnsiTheme="minorEastAsia" w:eastAsiaTheme="minorEastAsia"/>
          <w:b/>
          <w:bCs/>
          <w:color w:val="auto"/>
          <w:sz w:val="32"/>
          <w:szCs w:val="32"/>
          <w:highlight w:val="none"/>
          <w:u w:val="single"/>
        </w:rPr>
        <w:t xml:space="preserve">     </w:t>
      </w:r>
      <w:r>
        <w:rPr>
          <w:rFonts w:hint="eastAsia" w:asciiTheme="minorEastAsia" w:hAnsiTheme="minorEastAsia" w:eastAsiaTheme="minorEastAsia"/>
          <w:b/>
          <w:bCs/>
          <w:color w:val="auto"/>
          <w:sz w:val="32"/>
          <w:szCs w:val="32"/>
          <w:highlight w:val="none"/>
          <w:u w:val="single"/>
        </w:rPr>
        <w:t xml:space="preserve">      </w:t>
      </w:r>
    </w:p>
    <w:p w14:paraId="202A2B82">
      <w:pPr>
        <w:spacing w:line="360" w:lineRule="auto"/>
        <w:ind w:firstLine="2731" w:firstLineChars="850"/>
        <w:jc w:val="left"/>
        <w:rPr>
          <w:rFonts w:hint="eastAsia" w:asciiTheme="minorEastAsia" w:hAnsiTheme="minorEastAsia" w:eastAsiaTheme="minorEastAsia"/>
          <w:b/>
          <w:bCs/>
          <w:color w:val="auto"/>
          <w:sz w:val="32"/>
          <w:szCs w:val="32"/>
          <w:highlight w:val="none"/>
        </w:rPr>
      </w:pPr>
      <w:r>
        <w:rPr>
          <w:rFonts w:asciiTheme="minorEastAsia" w:hAnsiTheme="minorEastAsia" w:eastAsiaTheme="minorEastAsia"/>
          <w:b/>
          <w:bCs/>
          <w:color w:val="auto"/>
          <w:sz w:val="32"/>
          <w:szCs w:val="32"/>
          <w:highlight w:val="none"/>
          <w:u w:val="single"/>
        </w:rPr>
        <w:t xml:space="preserve">        </w:t>
      </w:r>
      <w:r>
        <w:rPr>
          <w:rFonts w:asciiTheme="minorEastAsia" w:hAnsiTheme="minorEastAsia" w:eastAsiaTheme="minorEastAsia"/>
          <w:b/>
          <w:bCs/>
          <w:color w:val="auto"/>
          <w:sz w:val="32"/>
          <w:szCs w:val="32"/>
          <w:highlight w:val="none"/>
        </w:rPr>
        <w:t>年</w:t>
      </w:r>
      <w:r>
        <w:rPr>
          <w:rFonts w:asciiTheme="minorEastAsia" w:hAnsiTheme="minorEastAsia" w:eastAsiaTheme="minorEastAsia"/>
          <w:b/>
          <w:bCs/>
          <w:color w:val="auto"/>
          <w:sz w:val="32"/>
          <w:szCs w:val="32"/>
          <w:highlight w:val="none"/>
          <w:u w:val="single"/>
        </w:rPr>
        <w:t xml:space="preserve">     </w:t>
      </w:r>
      <w:r>
        <w:rPr>
          <w:rFonts w:asciiTheme="minorEastAsia" w:hAnsiTheme="minorEastAsia" w:eastAsiaTheme="minorEastAsia"/>
          <w:b/>
          <w:bCs/>
          <w:color w:val="auto"/>
          <w:sz w:val="32"/>
          <w:szCs w:val="32"/>
          <w:highlight w:val="none"/>
        </w:rPr>
        <w:t>月</w:t>
      </w:r>
      <w:r>
        <w:rPr>
          <w:rFonts w:asciiTheme="minorEastAsia" w:hAnsiTheme="minorEastAsia" w:eastAsiaTheme="minorEastAsia"/>
          <w:b/>
          <w:bCs/>
          <w:color w:val="auto"/>
          <w:sz w:val="32"/>
          <w:szCs w:val="32"/>
          <w:highlight w:val="none"/>
          <w:u w:val="single"/>
        </w:rPr>
        <w:t xml:space="preserve">     </w:t>
      </w:r>
      <w:r>
        <w:rPr>
          <w:rFonts w:asciiTheme="minorEastAsia" w:hAnsiTheme="minorEastAsia" w:eastAsiaTheme="minorEastAsia"/>
          <w:b/>
          <w:bCs/>
          <w:color w:val="auto"/>
          <w:sz w:val="32"/>
          <w:szCs w:val="32"/>
          <w:highlight w:val="none"/>
        </w:rPr>
        <w:t>日</w:t>
      </w:r>
      <w:bookmarkEnd w:id="1080"/>
      <w:bookmarkEnd w:id="1081"/>
      <w:bookmarkEnd w:id="1082"/>
      <w:r>
        <w:rPr>
          <w:rFonts w:asciiTheme="minorEastAsia" w:hAnsiTheme="minorEastAsia" w:eastAsiaTheme="minorEastAsia"/>
          <w:b/>
          <w:color w:val="auto"/>
          <w:kern w:val="0"/>
          <w:sz w:val="32"/>
          <w:szCs w:val="32"/>
          <w:highlight w:val="none"/>
        </w:rPr>
        <w:br w:type="page"/>
      </w:r>
    </w:p>
    <w:p w14:paraId="2BEC5A20">
      <w:pPr>
        <w:spacing w:line="360" w:lineRule="auto"/>
        <w:jc w:val="center"/>
        <w:outlineLvl w:val="2"/>
        <w:rPr>
          <w:rFonts w:hint="eastAsia" w:asciiTheme="minorEastAsia" w:hAnsiTheme="minorEastAsia" w:eastAsiaTheme="minorEastAsia"/>
          <w:b/>
          <w:color w:val="auto"/>
          <w:sz w:val="28"/>
          <w:szCs w:val="28"/>
          <w:highlight w:val="none"/>
        </w:rPr>
      </w:pPr>
      <w:bookmarkStart w:id="1091" w:name="_Toc7510"/>
      <w:bookmarkStart w:id="1092" w:name="_Toc128658855"/>
      <w:r>
        <w:rPr>
          <w:rFonts w:hint="eastAsia" w:asciiTheme="minorEastAsia" w:hAnsiTheme="minorEastAsia" w:eastAsiaTheme="minorEastAsia"/>
          <w:b/>
          <w:color w:val="auto"/>
          <w:sz w:val="28"/>
          <w:szCs w:val="28"/>
          <w:highlight w:val="none"/>
        </w:rPr>
        <w:t>谈判一览表</w:t>
      </w:r>
      <w:bookmarkEnd w:id="1091"/>
    </w:p>
    <w:tbl>
      <w:tblPr>
        <w:tblStyle w:val="5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371"/>
      </w:tblGrid>
      <w:tr w14:paraId="3C2D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jc w:val="center"/>
        </w:trPr>
        <w:tc>
          <w:tcPr>
            <w:tcW w:w="1980" w:type="dxa"/>
            <w:vAlign w:val="center"/>
          </w:tcPr>
          <w:p w14:paraId="254A4E1A">
            <w:pPr>
              <w:spacing w:before="120" w:after="120" w:line="360" w:lineRule="auto"/>
              <w:jc w:val="center"/>
              <w:rPr>
                <w:rFonts w:hint="eastAsia" w:ascii="宋体" w:hAnsi="宋体"/>
                <w:color w:val="auto"/>
                <w:szCs w:val="21"/>
                <w:highlight w:val="none"/>
              </w:rPr>
            </w:pPr>
            <w:r>
              <w:rPr>
                <w:rFonts w:hint="eastAsia" w:ascii="宋体" w:hAnsi="宋体"/>
                <w:color w:val="auto"/>
                <w:szCs w:val="21"/>
                <w:highlight w:val="none"/>
              </w:rPr>
              <w:t>供应商名称</w:t>
            </w:r>
          </w:p>
        </w:tc>
        <w:tc>
          <w:tcPr>
            <w:tcW w:w="7371" w:type="dxa"/>
            <w:vAlign w:val="center"/>
          </w:tcPr>
          <w:p w14:paraId="2EA2F212">
            <w:pPr>
              <w:spacing w:before="120" w:after="120" w:line="360" w:lineRule="auto"/>
              <w:jc w:val="center"/>
              <w:rPr>
                <w:rFonts w:hint="eastAsia" w:ascii="宋体" w:hAnsi="宋体"/>
                <w:color w:val="auto"/>
                <w:szCs w:val="21"/>
                <w:highlight w:val="none"/>
              </w:rPr>
            </w:pPr>
          </w:p>
        </w:tc>
      </w:tr>
      <w:tr w14:paraId="4B5D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80" w:type="dxa"/>
            <w:vMerge w:val="restart"/>
            <w:vAlign w:val="center"/>
          </w:tcPr>
          <w:p w14:paraId="33C7BF94">
            <w:pPr>
              <w:spacing w:before="120" w:after="120" w:line="360" w:lineRule="auto"/>
              <w:jc w:val="center"/>
              <w:rPr>
                <w:rFonts w:hint="eastAsia" w:ascii="宋体" w:hAnsi="宋体"/>
                <w:color w:val="auto"/>
                <w:szCs w:val="21"/>
                <w:highlight w:val="none"/>
              </w:rPr>
            </w:pPr>
            <w:r>
              <w:rPr>
                <w:rFonts w:hint="eastAsia" w:ascii="宋体" w:hAnsi="宋体"/>
                <w:color w:val="auto"/>
                <w:szCs w:val="21"/>
                <w:highlight w:val="none"/>
              </w:rPr>
              <w:t>谈判报价</w:t>
            </w:r>
          </w:p>
        </w:tc>
        <w:tc>
          <w:tcPr>
            <w:tcW w:w="7371" w:type="dxa"/>
            <w:vAlign w:val="center"/>
          </w:tcPr>
          <w:p w14:paraId="110D6EBB">
            <w:pPr>
              <w:spacing w:before="120" w:after="120" w:line="360" w:lineRule="auto"/>
              <w:rPr>
                <w:rFonts w:hint="eastAsia" w:ascii="宋体" w:hAnsi="宋体"/>
                <w:color w:val="auto"/>
                <w:szCs w:val="21"/>
                <w:highlight w:val="none"/>
              </w:rPr>
            </w:pPr>
            <w:r>
              <w:rPr>
                <w:rFonts w:hint="eastAsia" w:ascii="宋体" w:hAnsi="宋体"/>
                <w:color w:val="auto"/>
                <w:szCs w:val="21"/>
                <w:highlight w:val="none"/>
              </w:rPr>
              <w:t>小写：</w:t>
            </w:r>
          </w:p>
        </w:tc>
      </w:tr>
      <w:tr w14:paraId="079A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980" w:type="dxa"/>
            <w:vMerge w:val="continue"/>
            <w:vAlign w:val="center"/>
          </w:tcPr>
          <w:p w14:paraId="62D76F8F">
            <w:pPr>
              <w:spacing w:before="120" w:after="120" w:line="360" w:lineRule="auto"/>
              <w:jc w:val="center"/>
              <w:rPr>
                <w:rFonts w:hint="eastAsia" w:ascii="宋体" w:hAnsi="宋体"/>
                <w:color w:val="auto"/>
                <w:szCs w:val="21"/>
                <w:highlight w:val="none"/>
              </w:rPr>
            </w:pPr>
          </w:p>
        </w:tc>
        <w:tc>
          <w:tcPr>
            <w:tcW w:w="7371" w:type="dxa"/>
            <w:vAlign w:val="center"/>
          </w:tcPr>
          <w:p w14:paraId="7DDFA3C7">
            <w:pPr>
              <w:spacing w:before="120" w:after="120" w:line="360" w:lineRule="auto"/>
              <w:rPr>
                <w:rFonts w:hint="eastAsia" w:ascii="宋体" w:hAnsi="宋体"/>
                <w:color w:val="auto"/>
                <w:szCs w:val="21"/>
                <w:highlight w:val="none"/>
              </w:rPr>
            </w:pPr>
            <w:r>
              <w:rPr>
                <w:rFonts w:hint="eastAsia" w:ascii="宋体" w:hAnsi="宋体"/>
                <w:color w:val="auto"/>
                <w:szCs w:val="21"/>
                <w:highlight w:val="none"/>
              </w:rPr>
              <w:t>大写：</w:t>
            </w:r>
          </w:p>
        </w:tc>
      </w:tr>
      <w:tr w14:paraId="015A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980" w:type="dxa"/>
            <w:vAlign w:val="center"/>
          </w:tcPr>
          <w:p w14:paraId="5F63DA81">
            <w:pPr>
              <w:spacing w:before="120" w:after="120" w:line="360" w:lineRule="auto"/>
              <w:jc w:val="center"/>
              <w:rPr>
                <w:rFonts w:hint="eastAsia" w:ascii="宋体" w:hAnsi="宋体"/>
                <w:color w:val="auto"/>
                <w:szCs w:val="21"/>
                <w:highlight w:val="none"/>
              </w:rPr>
            </w:pPr>
            <w:r>
              <w:rPr>
                <w:rFonts w:hint="eastAsia" w:ascii="宋体" w:hAnsi="宋体"/>
                <w:color w:val="auto"/>
                <w:szCs w:val="21"/>
                <w:highlight w:val="none"/>
              </w:rPr>
              <w:t>合同履行期限</w:t>
            </w:r>
          </w:p>
        </w:tc>
        <w:tc>
          <w:tcPr>
            <w:tcW w:w="7371" w:type="dxa"/>
            <w:vAlign w:val="center"/>
          </w:tcPr>
          <w:p w14:paraId="14C2699F">
            <w:pPr>
              <w:spacing w:before="120" w:after="120" w:line="360" w:lineRule="auto"/>
              <w:rPr>
                <w:rFonts w:hint="eastAsia" w:ascii="宋体" w:hAnsi="宋体"/>
                <w:color w:val="auto"/>
                <w:szCs w:val="21"/>
                <w:highlight w:val="none"/>
              </w:rPr>
            </w:pPr>
            <w:r>
              <w:rPr>
                <w:rFonts w:hint="eastAsia" w:ascii="宋体" w:hAnsi="宋体"/>
                <w:color w:val="auto"/>
                <w:szCs w:val="21"/>
                <w:highlight w:val="none"/>
              </w:rPr>
              <w:t xml:space="preserve">                                   </w:t>
            </w:r>
          </w:p>
        </w:tc>
      </w:tr>
      <w:tr w14:paraId="2D31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980" w:type="dxa"/>
            <w:vAlign w:val="center"/>
          </w:tcPr>
          <w:p w14:paraId="10DE9732">
            <w:pPr>
              <w:spacing w:before="120" w:after="120" w:line="360" w:lineRule="auto"/>
              <w:jc w:val="center"/>
              <w:rPr>
                <w:rFonts w:hint="eastAsia" w:ascii="宋体" w:hAnsi="宋体"/>
                <w:color w:val="auto"/>
                <w:szCs w:val="21"/>
                <w:highlight w:val="none"/>
              </w:rPr>
            </w:pPr>
            <w:r>
              <w:rPr>
                <w:rFonts w:hint="eastAsia" w:ascii="宋体" w:hAnsi="宋体"/>
                <w:color w:val="auto"/>
                <w:szCs w:val="21"/>
                <w:highlight w:val="none"/>
              </w:rPr>
              <w:t>质量标准</w:t>
            </w:r>
          </w:p>
        </w:tc>
        <w:tc>
          <w:tcPr>
            <w:tcW w:w="7371" w:type="dxa"/>
            <w:vAlign w:val="center"/>
          </w:tcPr>
          <w:p w14:paraId="465B073F">
            <w:pPr>
              <w:spacing w:before="120" w:after="120" w:line="360" w:lineRule="auto"/>
              <w:rPr>
                <w:rFonts w:hint="eastAsia" w:ascii="宋体" w:hAnsi="宋体"/>
                <w:color w:val="auto"/>
                <w:szCs w:val="21"/>
                <w:highlight w:val="none"/>
              </w:rPr>
            </w:pPr>
          </w:p>
        </w:tc>
      </w:tr>
      <w:tr w14:paraId="24C1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9351" w:type="dxa"/>
            <w:gridSpan w:val="2"/>
            <w:vAlign w:val="center"/>
          </w:tcPr>
          <w:p w14:paraId="6BEE019F">
            <w:pPr>
              <w:spacing w:before="120" w:after="120" w:line="360" w:lineRule="auto"/>
              <w:rPr>
                <w:rFonts w:hint="eastAsia" w:ascii="宋体" w:hAnsi="宋体"/>
                <w:color w:val="auto"/>
                <w:szCs w:val="21"/>
                <w:highlight w:val="none"/>
              </w:rPr>
            </w:pPr>
            <w:r>
              <w:rPr>
                <w:rFonts w:hint="eastAsia" w:ascii="宋体" w:hAnsi="宋体"/>
                <w:color w:val="auto"/>
                <w:szCs w:val="21"/>
                <w:highlight w:val="none"/>
              </w:rPr>
              <w:t>供应商（签章）：</w:t>
            </w:r>
          </w:p>
        </w:tc>
      </w:tr>
      <w:tr w14:paraId="5DF0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9351" w:type="dxa"/>
            <w:gridSpan w:val="2"/>
            <w:vAlign w:val="bottom"/>
          </w:tcPr>
          <w:p w14:paraId="1F21EC47">
            <w:pPr>
              <w:spacing w:before="120" w:after="120" w:line="360" w:lineRule="auto"/>
              <w:ind w:right="480"/>
              <w:rPr>
                <w:rFonts w:hint="eastAsia" w:ascii="宋体" w:hAnsi="宋体"/>
                <w:color w:val="auto"/>
                <w:szCs w:val="21"/>
                <w:highlight w:val="none"/>
              </w:rPr>
            </w:pPr>
            <w:r>
              <w:rPr>
                <w:rFonts w:hint="eastAsia" w:ascii="宋体" w:hAnsi="宋体"/>
                <w:color w:val="auto"/>
                <w:szCs w:val="21"/>
                <w:highlight w:val="none"/>
              </w:rPr>
              <w:t>法定代表人或授权代理人（签章）：</w:t>
            </w:r>
          </w:p>
          <w:p w14:paraId="7372227A">
            <w:pPr>
              <w:spacing w:before="120" w:after="120" w:line="360" w:lineRule="auto"/>
              <w:jc w:val="right"/>
              <w:rPr>
                <w:rFonts w:hint="eastAsia" w:ascii="宋体" w:hAnsi="宋体"/>
                <w:color w:val="auto"/>
                <w:szCs w:val="21"/>
                <w:highlight w:val="none"/>
              </w:rPr>
            </w:pPr>
          </w:p>
          <w:p w14:paraId="7CA1957B">
            <w:pPr>
              <w:spacing w:before="120" w:after="120" w:line="360" w:lineRule="auto"/>
              <w:jc w:val="right"/>
              <w:rPr>
                <w:rFonts w:hint="eastAsia" w:ascii="宋体" w:hAnsi="宋体"/>
                <w:color w:val="auto"/>
                <w:szCs w:val="21"/>
                <w:highlight w:val="none"/>
              </w:rPr>
            </w:pPr>
            <w:r>
              <w:rPr>
                <w:rFonts w:hint="eastAsia" w:ascii="宋体" w:hAnsi="宋体"/>
                <w:color w:val="auto"/>
                <w:szCs w:val="21"/>
                <w:highlight w:val="none"/>
              </w:rPr>
              <w:t>日 期：    年    月    日</w:t>
            </w:r>
          </w:p>
        </w:tc>
      </w:tr>
    </w:tbl>
    <w:p w14:paraId="0A0B7166">
      <w:pPr>
        <w:spacing w:line="360" w:lineRule="auto"/>
        <w:jc w:val="center"/>
        <w:outlineLvl w:val="1"/>
        <w:rPr>
          <w:rFonts w:hint="eastAsia" w:asciiTheme="minorEastAsia" w:hAnsiTheme="minorEastAsia" w:eastAsiaTheme="minorEastAsia"/>
          <w:b/>
          <w:color w:val="auto"/>
          <w:sz w:val="30"/>
          <w:szCs w:val="30"/>
          <w:highlight w:val="none"/>
        </w:rPr>
        <w:sectPr>
          <w:pgSz w:w="11906" w:h="16838"/>
          <w:pgMar w:top="1157" w:right="1474" w:bottom="1157" w:left="1474" w:header="510" w:footer="850" w:gutter="0"/>
          <w:cols w:space="0" w:num="1"/>
          <w:rtlGutter w:val="0"/>
          <w:docGrid w:linePitch="312" w:charSpace="0"/>
        </w:sectPr>
      </w:pPr>
    </w:p>
    <w:p w14:paraId="69DDBB67">
      <w:pPr>
        <w:spacing w:line="360" w:lineRule="auto"/>
        <w:jc w:val="center"/>
        <w:outlineLvl w:val="1"/>
        <w:rPr>
          <w:rFonts w:hint="eastAsia" w:asciiTheme="minorEastAsia" w:hAnsiTheme="minorEastAsia" w:eastAsiaTheme="minorEastAsia"/>
          <w:b/>
          <w:color w:val="auto"/>
          <w:sz w:val="30"/>
          <w:szCs w:val="30"/>
          <w:highlight w:val="none"/>
        </w:rPr>
      </w:pPr>
      <w:bookmarkStart w:id="1093" w:name="_Toc1981"/>
      <w:bookmarkStart w:id="1094" w:name="_Toc153670643"/>
      <w:r>
        <w:rPr>
          <w:rFonts w:hint="eastAsia" w:asciiTheme="minorEastAsia" w:hAnsiTheme="minorEastAsia" w:eastAsiaTheme="minorEastAsia"/>
          <w:b/>
          <w:color w:val="auto"/>
          <w:sz w:val="30"/>
          <w:szCs w:val="30"/>
          <w:highlight w:val="none"/>
        </w:rPr>
        <w:t>一、资格文件</w:t>
      </w:r>
      <w:bookmarkEnd w:id="1092"/>
      <w:bookmarkEnd w:id="1093"/>
      <w:bookmarkEnd w:id="1094"/>
    </w:p>
    <w:p w14:paraId="7A6B540D">
      <w:pPr>
        <w:spacing w:line="360" w:lineRule="auto"/>
        <w:jc w:val="center"/>
        <w:outlineLvl w:val="2"/>
        <w:rPr>
          <w:rFonts w:hint="eastAsia" w:asciiTheme="minorEastAsia" w:hAnsiTheme="minorEastAsia" w:eastAsiaTheme="minorEastAsia"/>
          <w:b/>
          <w:color w:val="auto"/>
          <w:sz w:val="28"/>
          <w:szCs w:val="28"/>
          <w:highlight w:val="none"/>
        </w:rPr>
      </w:pPr>
      <w:bookmarkStart w:id="1095" w:name="_Toc42205046"/>
      <w:bookmarkStart w:id="1096" w:name="_Toc45976960"/>
      <w:bookmarkStart w:id="1097" w:name="_Toc116584064"/>
      <w:bookmarkStart w:id="1098" w:name="_Toc69678483"/>
      <w:bookmarkStart w:id="1099" w:name="_Toc3350"/>
      <w:bookmarkStart w:id="1100" w:name="_Toc110405198"/>
      <w:bookmarkStart w:id="1101" w:name="_Toc98865068"/>
      <w:bookmarkStart w:id="1102" w:name="_Toc109809379"/>
      <w:bookmarkStart w:id="1103" w:name="_Toc75783586"/>
      <w:bookmarkStart w:id="1104" w:name="_Toc81331001"/>
      <w:bookmarkStart w:id="1105" w:name="_Toc53412271"/>
      <w:bookmarkStart w:id="1106" w:name="_Toc7266"/>
      <w:bookmarkStart w:id="1107" w:name="_Toc292983033"/>
      <w:bookmarkStart w:id="1108" w:name="_Toc265766862"/>
      <w:r>
        <w:rPr>
          <w:rFonts w:hint="eastAsia" w:asciiTheme="minorEastAsia" w:hAnsiTheme="minorEastAsia" w:eastAsiaTheme="minorEastAsia"/>
          <w:b/>
          <w:color w:val="auto"/>
          <w:sz w:val="28"/>
          <w:szCs w:val="28"/>
          <w:highlight w:val="none"/>
        </w:rPr>
        <w:t>（一）</w:t>
      </w:r>
      <w:bookmarkEnd w:id="1095"/>
      <w:bookmarkEnd w:id="1096"/>
      <w:bookmarkEnd w:id="1097"/>
      <w:bookmarkEnd w:id="1098"/>
      <w:bookmarkEnd w:id="1099"/>
      <w:bookmarkEnd w:id="1100"/>
      <w:bookmarkEnd w:id="1101"/>
      <w:bookmarkEnd w:id="1102"/>
      <w:bookmarkEnd w:id="1103"/>
      <w:bookmarkEnd w:id="1104"/>
      <w:bookmarkEnd w:id="1105"/>
      <w:r>
        <w:rPr>
          <w:rFonts w:hint="eastAsia" w:asciiTheme="minorEastAsia" w:hAnsiTheme="minorEastAsia" w:eastAsiaTheme="minorEastAsia"/>
          <w:b/>
          <w:color w:val="auto"/>
          <w:sz w:val="28"/>
          <w:szCs w:val="28"/>
          <w:highlight w:val="none"/>
        </w:rPr>
        <w:t>具有独立承担民事责任的能力</w:t>
      </w:r>
      <w:bookmarkEnd w:id="1106"/>
    </w:p>
    <w:p w14:paraId="02847DAC">
      <w:pPr>
        <w:wordWrap w:val="0"/>
        <w:topLinePunct/>
        <w:spacing w:before="120" w:beforeLines="50" w:line="360" w:lineRule="auto"/>
        <w:ind w:firstLine="42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注：提供有效的营业执照或事业单位法人证书或其他类似的法定证明文件的原件扫描件。</w:t>
      </w:r>
    </w:p>
    <w:p w14:paraId="2FD5E835">
      <w:pPr>
        <w:wordWrap w:val="0"/>
        <w:topLinePunct/>
        <w:spacing w:before="120" w:beforeLines="50" w:line="360" w:lineRule="auto"/>
        <w:ind w:firstLine="420"/>
        <w:jc w:val="left"/>
        <w:rPr>
          <w:rFonts w:hint="eastAsia" w:asciiTheme="minorEastAsia" w:hAnsiTheme="minorEastAsia" w:eastAsiaTheme="minorEastAsia"/>
          <w:color w:val="auto"/>
          <w:highlight w:val="none"/>
        </w:rPr>
      </w:pPr>
    </w:p>
    <w:p w14:paraId="0308669C">
      <w:pPr>
        <w:wordWrap w:val="0"/>
        <w:topLinePunct/>
        <w:spacing w:before="120" w:beforeLines="50" w:line="360" w:lineRule="auto"/>
        <w:jc w:val="left"/>
        <w:rPr>
          <w:rFonts w:hint="eastAsia" w:asciiTheme="minorEastAsia" w:hAnsiTheme="minorEastAsia" w:eastAsiaTheme="minorEastAsia"/>
          <w:color w:val="auto"/>
          <w:highlight w:val="none"/>
        </w:rPr>
        <w:sectPr>
          <w:footerReference r:id="rId10" w:type="default"/>
          <w:pgSz w:w="11906" w:h="16838"/>
          <w:pgMar w:top="1157" w:right="1474" w:bottom="1157" w:left="1474" w:header="510" w:footer="850" w:gutter="0"/>
          <w:cols w:space="0" w:num="1"/>
          <w:rtlGutter w:val="0"/>
          <w:docGrid w:linePitch="312" w:charSpace="0"/>
        </w:sectPr>
      </w:pPr>
    </w:p>
    <w:bookmarkEnd w:id="1107"/>
    <w:bookmarkEnd w:id="1108"/>
    <w:p w14:paraId="181E6960">
      <w:pPr>
        <w:spacing w:line="360" w:lineRule="auto"/>
        <w:jc w:val="center"/>
        <w:outlineLvl w:val="2"/>
        <w:rPr>
          <w:rFonts w:hint="eastAsia" w:asciiTheme="minorEastAsia" w:hAnsiTheme="minorEastAsia" w:eastAsiaTheme="minorEastAsia"/>
          <w:b/>
          <w:color w:val="auto"/>
          <w:sz w:val="28"/>
          <w:szCs w:val="28"/>
          <w:highlight w:val="none"/>
        </w:rPr>
      </w:pPr>
      <w:bookmarkStart w:id="1109" w:name="_Toc45976961"/>
      <w:bookmarkStart w:id="1110" w:name="_Toc42205047"/>
      <w:bookmarkStart w:id="1111" w:name="_Toc81331002"/>
      <w:bookmarkStart w:id="1112" w:name="_Toc53412272"/>
      <w:bookmarkStart w:id="1113" w:name="_Toc110405199"/>
      <w:bookmarkStart w:id="1114" w:name="_Toc75783587"/>
      <w:bookmarkStart w:id="1115" w:name="_Toc69678484"/>
      <w:bookmarkStart w:id="1116" w:name="_Toc116584065"/>
      <w:bookmarkStart w:id="1117" w:name="_Toc109809380"/>
      <w:bookmarkStart w:id="1118" w:name="_Toc11887"/>
      <w:bookmarkStart w:id="1119" w:name="_Toc98865069"/>
      <w:bookmarkStart w:id="1120" w:name="_Toc15828"/>
      <w:r>
        <w:rPr>
          <w:rFonts w:hint="eastAsia" w:asciiTheme="minorEastAsia" w:hAnsiTheme="minorEastAsia" w:eastAsiaTheme="minorEastAsia"/>
          <w:b/>
          <w:color w:val="auto"/>
          <w:sz w:val="28"/>
          <w:szCs w:val="28"/>
          <w:highlight w:val="none"/>
        </w:rPr>
        <w:t>（二）</w:t>
      </w:r>
      <w:bookmarkEnd w:id="1109"/>
      <w:bookmarkEnd w:id="1110"/>
      <w:bookmarkEnd w:id="1111"/>
      <w:bookmarkEnd w:id="1112"/>
      <w:bookmarkEnd w:id="1113"/>
      <w:bookmarkEnd w:id="1114"/>
      <w:bookmarkEnd w:id="1115"/>
      <w:bookmarkEnd w:id="1116"/>
      <w:bookmarkEnd w:id="1117"/>
      <w:bookmarkEnd w:id="1118"/>
      <w:bookmarkEnd w:id="1119"/>
      <w:r>
        <w:rPr>
          <w:rFonts w:hint="eastAsia" w:asciiTheme="minorEastAsia" w:hAnsiTheme="minorEastAsia" w:eastAsiaTheme="minorEastAsia"/>
          <w:b/>
          <w:color w:val="auto"/>
          <w:sz w:val="28"/>
          <w:szCs w:val="28"/>
          <w:highlight w:val="none"/>
        </w:rPr>
        <w:t>具有良好的商业信誉和健全的财务会计制度</w:t>
      </w:r>
      <w:bookmarkEnd w:id="1120"/>
    </w:p>
    <w:p w14:paraId="61BD40E5">
      <w:pPr>
        <w:widowControl/>
        <w:spacing w:line="360" w:lineRule="auto"/>
        <w:ind w:firstLine="420" w:firstLineChars="200"/>
        <w:jc w:val="left"/>
        <w:rPr>
          <w:rFonts w:hint="eastAsia" w:asciiTheme="minorEastAsia" w:hAnsiTheme="minorEastAsia" w:eastAsiaTheme="minorEastAsia"/>
          <w:b/>
          <w:color w:val="auto"/>
          <w:sz w:val="28"/>
          <w:szCs w:val="28"/>
          <w:highlight w:val="none"/>
        </w:rPr>
      </w:pPr>
      <w:bookmarkStart w:id="1121" w:name="_Toc522397136"/>
      <w:bookmarkStart w:id="1122" w:name="_Toc42205048"/>
      <w:bookmarkStart w:id="1123" w:name="_Toc116584066"/>
      <w:bookmarkStart w:id="1124" w:name="_Toc75783588"/>
      <w:bookmarkStart w:id="1125" w:name="_Toc98865070"/>
      <w:bookmarkStart w:id="1126" w:name="_Toc110405200"/>
      <w:bookmarkStart w:id="1127" w:name="_Toc109809381"/>
      <w:bookmarkStart w:id="1128" w:name="_Toc69678485"/>
      <w:bookmarkStart w:id="1129" w:name="_Toc81331003"/>
      <w:bookmarkStart w:id="1130" w:name="_Toc53412273"/>
      <w:bookmarkStart w:id="1131" w:name="_Toc21738"/>
      <w:bookmarkStart w:id="1132" w:name="_Toc45976962"/>
      <w:bookmarkStart w:id="1133" w:name="_Toc517710844"/>
      <w:bookmarkStart w:id="1134" w:name="_Toc518141928"/>
      <w:bookmarkStart w:id="1135" w:name="_Toc494495988"/>
      <w:r>
        <w:rPr>
          <w:rFonts w:hint="eastAsia" w:ascii="宋体" w:hAnsi="宋体"/>
          <w:color w:val="auto"/>
          <w:highlight w:val="none"/>
        </w:rPr>
        <w:t>注：</w:t>
      </w:r>
      <w:r>
        <w:rPr>
          <w:rFonts w:hint="eastAsia" w:asciiTheme="minorEastAsia" w:hAnsiTheme="minorEastAsia" w:eastAsiaTheme="minorEastAsia"/>
          <w:color w:val="auto"/>
          <w:szCs w:val="21"/>
          <w:highlight w:val="none"/>
        </w:rPr>
        <w:t>提供2023年度经审计的财务会计报表及审计报告的原件扫描件（未经审计的，提供公司内部自行编制</w:t>
      </w:r>
      <w:r>
        <w:rPr>
          <w:rFonts w:hint="eastAsia" w:asciiTheme="minorEastAsia" w:hAnsiTheme="minorEastAsia" w:eastAsiaTheme="minorEastAsia"/>
          <w:b/>
          <w:bCs/>
          <w:color w:val="auto"/>
          <w:szCs w:val="21"/>
          <w:highlight w:val="none"/>
        </w:rPr>
        <w:t>并加盖公章</w:t>
      </w:r>
      <w:r>
        <w:rPr>
          <w:rFonts w:hint="eastAsia" w:asciiTheme="minorEastAsia" w:hAnsiTheme="minorEastAsia" w:eastAsiaTheme="minorEastAsia"/>
          <w:color w:val="auto"/>
          <w:szCs w:val="21"/>
          <w:highlight w:val="none"/>
        </w:rPr>
        <w:t>的财务会计报表的原件扫描件）；若为新成立的公司，提供银行开具的资信证明文件或资金证明文件的原件扫描件；若为自然人参与谈判，则提供自本项目竞争性谈判公告发布之日起开具的银行存款证明的原件扫描件。</w:t>
      </w:r>
    </w:p>
    <w:p w14:paraId="346F73CC">
      <w:pPr>
        <w:widowControl/>
        <w:jc w:val="left"/>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color w:val="auto"/>
          <w:szCs w:val="21"/>
          <w:highlight w:val="none"/>
        </w:rPr>
        <w:t xml:space="preserve"> </w:t>
      </w:r>
    </w:p>
    <w:p w14:paraId="29D86995">
      <w:pPr>
        <w:spacing w:line="360" w:lineRule="auto"/>
        <w:jc w:val="center"/>
        <w:outlineLvl w:val="2"/>
        <w:rPr>
          <w:rFonts w:hint="eastAsia" w:asciiTheme="minorEastAsia" w:hAnsiTheme="minorEastAsia" w:eastAsiaTheme="minorEastAsia"/>
          <w:b/>
          <w:color w:val="auto"/>
          <w:sz w:val="28"/>
          <w:szCs w:val="28"/>
          <w:highlight w:val="none"/>
        </w:rPr>
        <w:sectPr>
          <w:headerReference r:id="rId11" w:type="first"/>
          <w:footerReference r:id="rId12" w:type="first"/>
          <w:pgSz w:w="11906" w:h="16838"/>
          <w:pgMar w:top="1157" w:right="1474" w:bottom="1157" w:left="1474" w:header="510" w:footer="850" w:gutter="0"/>
          <w:cols w:space="0" w:num="1"/>
          <w:rtlGutter w:val="0"/>
          <w:docGrid w:linePitch="312" w:charSpace="0"/>
        </w:sectPr>
      </w:pPr>
    </w:p>
    <w:p w14:paraId="2C7AE35D">
      <w:pPr>
        <w:spacing w:line="360" w:lineRule="auto"/>
        <w:jc w:val="center"/>
        <w:outlineLvl w:val="2"/>
        <w:rPr>
          <w:rFonts w:hint="eastAsia" w:asciiTheme="minorEastAsia" w:hAnsiTheme="minorEastAsia" w:eastAsiaTheme="minorEastAsia"/>
          <w:b/>
          <w:color w:val="auto"/>
          <w:sz w:val="28"/>
          <w:szCs w:val="28"/>
          <w:highlight w:val="none"/>
        </w:rPr>
      </w:pPr>
      <w:bookmarkStart w:id="1136" w:name="_Toc27273"/>
      <w:r>
        <w:rPr>
          <w:rFonts w:hint="eastAsia" w:asciiTheme="minorEastAsia" w:hAnsiTheme="minorEastAsia" w:eastAsiaTheme="minorEastAsia"/>
          <w:b/>
          <w:color w:val="auto"/>
          <w:sz w:val="28"/>
          <w:szCs w:val="28"/>
          <w:highlight w:val="none"/>
        </w:rPr>
        <w:t>（三）具有履行合同所必需的设备和专业技术能力</w:t>
      </w:r>
      <w:bookmarkEnd w:id="1121"/>
      <w:bookmarkEnd w:id="1122"/>
      <w:bookmarkEnd w:id="1123"/>
      <w:bookmarkEnd w:id="1124"/>
      <w:bookmarkEnd w:id="1125"/>
      <w:bookmarkEnd w:id="1126"/>
      <w:bookmarkEnd w:id="1127"/>
      <w:bookmarkEnd w:id="1128"/>
      <w:bookmarkEnd w:id="1129"/>
      <w:bookmarkEnd w:id="1130"/>
      <w:bookmarkEnd w:id="1131"/>
      <w:bookmarkEnd w:id="1132"/>
      <w:bookmarkEnd w:id="1136"/>
    </w:p>
    <w:p w14:paraId="01713A7C">
      <w:pPr>
        <w:spacing w:line="360" w:lineRule="auto"/>
        <w:jc w:val="center"/>
        <w:rPr>
          <w:rFonts w:hint="eastAsia" w:asciiTheme="minorEastAsia" w:hAnsiTheme="minorEastAsia" w:eastAsiaTheme="minorEastAsia"/>
          <w:color w:val="auto"/>
          <w:highlight w:val="none"/>
        </w:rPr>
      </w:pPr>
      <w:bookmarkStart w:id="1137" w:name="_Hlk6220935"/>
      <w:r>
        <w:rPr>
          <w:rFonts w:hint="eastAsia" w:asciiTheme="minorEastAsia" w:hAnsiTheme="minorEastAsia" w:eastAsiaTheme="minorEastAsia"/>
          <w:color w:val="auto"/>
          <w:highlight w:val="none"/>
        </w:rPr>
        <w:t>注：附书面承诺，内容自拟。</w:t>
      </w:r>
    </w:p>
    <w:bookmarkEnd w:id="1137"/>
    <w:p w14:paraId="6FDD5666">
      <w:pPr>
        <w:widowControl/>
        <w:ind w:firstLine="5903" w:firstLineChars="2100"/>
        <w:jc w:val="left"/>
        <w:rPr>
          <w:rFonts w:hint="eastAsia" w:asciiTheme="minorEastAsia" w:hAnsiTheme="minorEastAsia" w:eastAsiaTheme="minorEastAsia"/>
          <w:b/>
          <w:color w:val="auto"/>
          <w:sz w:val="28"/>
          <w:szCs w:val="28"/>
          <w:highlight w:val="none"/>
        </w:rPr>
      </w:pPr>
      <w:bookmarkStart w:id="1138" w:name="_Toc42205049"/>
      <w:bookmarkStart w:id="1139" w:name="_Toc81331004"/>
      <w:bookmarkStart w:id="1140" w:name="_Toc69678486"/>
      <w:bookmarkStart w:id="1141" w:name="_Toc522397137"/>
      <w:bookmarkStart w:id="1142" w:name="_Toc109809382"/>
      <w:bookmarkStart w:id="1143" w:name="_Toc53412274"/>
      <w:bookmarkStart w:id="1144" w:name="_Toc8980"/>
      <w:bookmarkStart w:id="1145" w:name="_Toc45976963"/>
      <w:bookmarkStart w:id="1146" w:name="_Toc110405201"/>
      <w:bookmarkStart w:id="1147" w:name="_Toc98865071"/>
      <w:bookmarkStart w:id="1148" w:name="_Toc116584067"/>
      <w:bookmarkStart w:id="1149" w:name="_Toc75783589"/>
    </w:p>
    <w:p w14:paraId="19487F78">
      <w:pPr>
        <w:widowControl/>
        <w:spacing w:line="360" w:lineRule="auto"/>
        <w:ind w:firstLine="4410" w:firstLineChars="2100"/>
        <w:jc w:val="left"/>
        <w:rPr>
          <w:rFonts w:hint="eastAsia" w:ascii="宋体" w:hAnsi="宋体" w:cs="宋体"/>
          <w:color w:val="auto"/>
          <w:szCs w:val="21"/>
          <w:highlight w:val="none"/>
        </w:rPr>
      </w:pPr>
    </w:p>
    <w:p w14:paraId="0D4ED9B7">
      <w:pPr>
        <w:widowControl/>
        <w:spacing w:line="360" w:lineRule="auto"/>
        <w:ind w:firstLine="4410" w:firstLineChars="2100"/>
        <w:jc w:val="left"/>
        <w:rPr>
          <w:rFonts w:hint="eastAsia" w:ascii="宋体" w:hAnsi="宋体" w:cs="宋体"/>
          <w:color w:val="auto"/>
          <w:szCs w:val="21"/>
          <w:highlight w:val="none"/>
        </w:rPr>
      </w:pPr>
    </w:p>
    <w:p w14:paraId="25030106">
      <w:pPr>
        <w:widowControl/>
        <w:spacing w:line="360" w:lineRule="auto"/>
        <w:ind w:firstLine="4410" w:firstLineChars="2100"/>
        <w:jc w:val="left"/>
        <w:rPr>
          <w:rFonts w:hint="eastAsia" w:ascii="宋体" w:hAnsi="宋体" w:cs="宋体"/>
          <w:color w:val="auto"/>
          <w:szCs w:val="21"/>
          <w:highlight w:val="none"/>
        </w:rPr>
      </w:pPr>
    </w:p>
    <w:p w14:paraId="7F4AF7DA">
      <w:pPr>
        <w:widowControl/>
        <w:spacing w:line="360" w:lineRule="auto"/>
        <w:ind w:firstLine="4410" w:firstLineChars="2100"/>
        <w:jc w:val="left"/>
        <w:rPr>
          <w:rFonts w:hint="eastAsia" w:ascii="宋体" w:hAnsi="宋体" w:cs="宋体"/>
          <w:color w:val="auto"/>
          <w:szCs w:val="21"/>
          <w:highlight w:val="none"/>
        </w:rPr>
      </w:pPr>
    </w:p>
    <w:p w14:paraId="7A135AA1">
      <w:pPr>
        <w:widowControl/>
        <w:spacing w:line="360" w:lineRule="auto"/>
        <w:ind w:firstLine="4410" w:firstLineChars="2100"/>
        <w:jc w:val="left"/>
        <w:rPr>
          <w:rFonts w:hint="eastAsia" w:ascii="宋体" w:hAnsi="宋体" w:cs="宋体"/>
          <w:color w:val="auto"/>
          <w:szCs w:val="21"/>
          <w:highlight w:val="none"/>
        </w:rPr>
      </w:pPr>
    </w:p>
    <w:p w14:paraId="5388DD2E">
      <w:pPr>
        <w:widowControl/>
        <w:spacing w:line="360" w:lineRule="auto"/>
        <w:ind w:firstLine="4410" w:firstLineChars="2100"/>
        <w:jc w:val="left"/>
        <w:rPr>
          <w:rFonts w:hint="eastAsia" w:ascii="宋体" w:hAnsi="宋体" w:cs="宋体"/>
          <w:color w:val="auto"/>
          <w:szCs w:val="21"/>
          <w:highlight w:val="none"/>
        </w:rPr>
      </w:pPr>
    </w:p>
    <w:p w14:paraId="449A0FF1">
      <w:pPr>
        <w:widowControl/>
        <w:spacing w:line="360" w:lineRule="auto"/>
        <w:ind w:firstLine="4410" w:firstLineChars="2100"/>
        <w:jc w:val="left"/>
        <w:rPr>
          <w:rFonts w:hint="eastAsia" w:ascii="宋体" w:hAnsi="宋体" w:cs="宋体"/>
          <w:color w:val="auto"/>
          <w:szCs w:val="21"/>
          <w:highlight w:val="none"/>
        </w:rPr>
      </w:pPr>
    </w:p>
    <w:p w14:paraId="65626F68">
      <w:pPr>
        <w:widowControl/>
        <w:spacing w:line="360" w:lineRule="auto"/>
        <w:ind w:firstLine="4410" w:firstLineChars="2100"/>
        <w:jc w:val="left"/>
        <w:rPr>
          <w:rFonts w:hint="eastAsia" w:ascii="宋体" w:hAnsi="宋体" w:cs="宋体"/>
          <w:color w:val="auto"/>
          <w:szCs w:val="21"/>
          <w:highlight w:val="none"/>
        </w:rPr>
      </w:pPr>
    </w:p>
    <w:p w14:paraId="0C58E757">
      <w:pPr>
        <w:widowControl/>
        <w:spacing w:line="360" w:lineRule="auto"/>
        <w:ind w:firstLine="4410" w:firstLineChars="2100"/>
        <w:jc w:val="left"/>
        <w:rPr>
          <w:rFonts w:hint="eastAsia" w:ascii="宋体" w:hAnsi="宋体" w:cs="宋体"/>
          <w:color w:val="auto"/>
          <w:szCs w:val="21"/>
          <w:highlight w:val="none"/>
        </w:rPr>
      </w:pPr>
    </w:p>
    <w:p w14:paraId="49AFA010">
      <w:pPr>
        <w:widowControl/>
        <w:spacing w:line="360" w:lineRule="auto"/>
        <w:ind w:firstLine="4410" w:firstLineChars="2100"/>
        <w:jc w:val="left"/>
        <w:rPr>
          <w:rFonts w:hint="eastAsia" w:ascii="宋体" w:hAnsi="宋体" w:cs="宋体"/>
          <w:color w:val="auto"/>
          <w:szCs w:val="21"/>
          <w:highlight w:val="none"/>
        </w:rPr>
      </w:pPr>
    </w:p>
    <w:p w14:paraId="719C6D23">
      <w:pPr>
        <w:widowControl/>
        <w:spacing w:line="360" w:lineRule="auto"/>
        <w:ind w:firstLine="4410" w:firstLineChars="2100"/>
        <w:jc w:val="left"/>
        <w:rPr>
          <w:rFonts w:hint="eastAsia" w:ascii="宋体" w:hAnsi="宋体" w:cs="宋体"/>
          <w:color w:val="auto"/>
          <w:szCs w:val="21"/>
          <w:highlight w:val="none"/>
          <w:u w:val="singl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（电子签章）</w:t>
      </w:r>
    </w:p>
    <w:p w14:paraId="1913C410">
      <w:pPr>
        <w:tabs>
          <w:tab w:val="left" w:pos="3990"/>
          <w:tab w:val="right" w:pos="9386"/>
        </w:tabs>
        <w:spacing w:line="360" w:lineRule="auto"/>
        <w:ind w:right="252" w:rightChars="120" w:firstLine="4410" w:firstLineChars="21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（电子签章）</w:t>
      </w:r>
    </w:p>
    <w:p w14:paraId="26556677">
      <w:pPr>
        <w:spacing w:line="360" w:lineRule="auto"/>
        <w:ind w:firstLine="4410" w:firstLineChars="2100"/>
        <w:jc w:val="left"/>
        <w:rPr>
          <w:color w:val="auto"/>
          <w:sz w:val="28"/>
          <w:szCs w:val="24"/>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548B61A">
      <w:pPr>
        <w:widowControl/>
        <w:jc w:val="left"/>
        <w:rPr>
          <w:rFonts w:hint="eastAsia" w:asciiTheme="minorEastAsia" w:hAnsiTheme="minorEastAsia" w:eastAsiaTheme="minorEastAsia"/>
          <w:b/>
          <w:color w:val="auto"/>
          <w:sz w:val="28"/>
          <w:szCs w:val="28"/>
          <w:highlight w:val="none"/>
        </w:rPr>
      </w:pPr>
    </w:p>
    <w:p w14:paraId="19AF0F77">
      <w:pPr>
        <w:spacing w:line="360" w:lineRule="auto"/>
        <w:jc w:val="center"/>
        <w:outlineLvl w:val="2"/>
        <w:rPr>
          <w:rFonts w:hint="eastAsia" w:asciiTheme="minorEastAsia" w:hAnsiTheme="minorEastAsia" w:eastAsiaTheme="minorEastAsia"/>
          <w:b/>
          <w:color w:val="auto"/>
          <w:sz w:val="28"/>
          <w:szCs w:val="28"/>
          <w:highlight w:val="none"/>
        </w:rPr>
        <w:sectPr>
          <w:pgSz w:w="11906" w:h="16838"/>
          <w:pgMar w:top="1157" w:right="1474" w:bottom="1157" w:left="1474" w:header="510" w:footer="850" w:gutter="0"/>
          <w:cols w:space="0" w:num="1"/>
          <w:rtlGutter w:val="0"/>
          <w:docGrid w:linePitch="312" w:charSpace="0"/>
        </w:sectPr>
      </w:pPr>
    </w:p>
    <w:p w14:paraId="3A60D22D">
      <w:pPr>
        <w:spacing w:line="360" w:lineRule="auto"/>
        <w:jc w:val="center"/>
        <w:outlineLvl w:val="2"/>
        <w:rPr>
          <w:rFonts w:hint="eastAsia" w:asciiTheme="minorEastAsia" w:hAnsiTheme="minorEastAsia" w:eastAsiaTheme="minorEastAsia"/>
          <w:b/>
          <w:color w:val="auto"/>
          <w:sz w:val="28"/>
          <w:szCs w:val="28"/>
          <w:highlight w:val="none"/>
        </w:rPr>
      </w:pPr>
      <w:bookmarkStart w:id="1150" w:name="_Toc25533"/>
      <w:r>
        <w:rPr>
          <w:rFonts w:hint="eastAsia" w:asciiTheme="minorEastAsia" w:hAnsiTheme="minorEastAsia" w:eastAsiaTheme="minorEastAsia"/>
          <w:b/>
          <w:color w:val="auto"/>
          <w:sz w:val="28"/>
          <w:szCs w:val="28"/>
          <w:highlight w:val="none"/>
        </w:rPr>
        <w:t>（四）有依法缴纳税收和社会保障资金的良好记录</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2F6BDA19">
      <w:pPr>
        <w:spacing w:line="360" w:lineRule="auto"/>
        <w:ind w:firstLine="420" w:firstLineChars="200"/>
        <w:jc w:val="left"/>
        <w:rPr>
          <w:rFonts w:hint="eastAsia" w:ascii="宋体" w:hAnsi="宋体"/>
          <w:color w:val="auto"/>
          <w:szCs w:val="21"/>
          <w:highlight w:val="none"/>
        </w:rPr>
      </w:pPr>
      <w:bookmarkStart w:id="1151" w:name="_Toc522397138"/>
      <w:bookmarkStart w:id="1152" w:name="_Toc69678487"/>
      <w:bookmarkStart w:id="1153" w:name="_Toc45976964"/>
      <w:bookmarkStart w:id="1154" w:name="_Toc81331005"/>
      <w:bookmarkStart w:id="1155" w:name="_Toc42205050"/>
      <w:bookmarkStart w:id="1156" w:name="_Toc75783590"/>
      <w:bookmarkStart w:id="1157" w:name="_Toc53412275"/>
      <w:r>
        <w:rPr>
          <w:rFonts w:hint="eastAsia" w:ascii="宋体" w:hAnsi="宋体" w:cs="宋体"/>
          <w:color w:val="auto"/>
          <w:highlight w:val="none"/>
        </w:rPr>
        <w:t>注：</w:t>
      </w:r>
      <w:r>
        <w:rPr>
          <w:rFonts w:hint="eastAsia" w:ascii="宋体" w:hAnsi="宋体"/>
          <w:color w:val="auto"/>
          <w:szCs w:val="21"/>
          <w:highlight w:val="none"/>
        </w:rPr>
        <w:t>（1）提供202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01</w:t>
      </w:r>
      <w:r>
        <w:rPr>
          <w:rFonts w:ascii="宋体" w:hAnsi="宋体"/>
          <w:color w:val="auto"/>
          <w:szCs w:val="21"/>
          <w:highlight w:val="none"/>
        </w:rPr>
        <w:t>月</w:t>
      </w:r>
      <w:r>
        <w:rPr>
          <w:rFonts w:hint="eastAsia" w:ascii="宋体" w:hAnsi="宋体"/>
          <w:color w:val="auto"/>
          <w:szCs w:val="21"/>
          <w:highlight w:val="none"/>
        </w:rPr>
        <w:t>至</w:t>
      </w:r>
      <w:r>
        <w:rPr>
          <w:rFonts w:hint="eastAsia" w:ascii="宋体" w:hAnsi="宋体" w:cs="宋体"/>
          <w:color w:val="auto"/>
          <w:szCs w:val="21"/>
          <w:highlight w:val="none"/>
        </w:rPr>
        <w:t>响应文件提</w:t>
      </w:r>
      <w:r>
        <w:rPr>
          <w:rFonts w:hint="eastAsia" w:asciiTheme="minorEastAsia" w:hAnsiTheme="minorEastAsia" w:eastAsiaTheme="minorEastAsia"/>
          <w:color w:val="auto"/>
          <w:szCs w:val="21"/>
          <w:highlight w:val="none"/>
        </w:rPr>
        <w:t>交</w:t>
      </w:r>
      <w:r>
        <w:rPr>
          <w:rFonts w:hint="eastAsia" w:ascii="宋体" w:hAnsi="宋体"/>
          <w:color w:val="auto"/>
          <w:szCs w:val="21"/>
          <w:highlight w:val="none"/>
        </w:rPr>
        <w:t>截止之日任意</w:t>
      </w:r>
      <w:r>
        <w:rPr>
          <w:rFonts w:ascii="宋体" w:hAnsi="宋体"/>
          <w:color w:val="auto"/>
          <w:szCs w:val="21"/>
          <w:highlight w:val="none"/>
        </w:rPr>
        <w:t>3</w:t>
      </w:r>
      <w:r>
        <w:rPr>
          <w:rFonts w:hint="eastAsia" w:ascii="宋体" w:hAnsi="宋体"/>
          <w:color w:val="auto"/>
          <w:szCs w:val="21"/>
          <w:highlight w:val="none"/>
        </w:rPr>
        <w:t>个月的税务局税收通用缴款书或银行电子缴税（费）凭证或税务局出具纳税情况的相关证明的原件扫描件；依法免税的，提供依法免税的相关证明文件的原件扫描件；若为新成立的公司，</w:t>
      </w:r>
      <w:r>
        <w:rPr>
          <w:color w:val="auto"/>
          <w:highlight w:val="none"/>
        </w:rPr>
        <w:t>无法按上述要求提供依法缴纳税收证明材料的，按实际缴纳月份提供或出具书面说明。</w:t>
      </w:r>
    </w:p>
    <w:p w14:paraId="579AAB13">
      <w:pPr>
        <w:spacing w:line="360" w:lineRule="auto"/>
        <w:ind w:firstLine="840" w:firstLineChars="400"/>
        <w:jc w:val="left"/>
        <w:rPr>
          <w:rFonts w:hint="eastAsia" w:ascii="宋体" w:hAnsi="宋体"/>
          <w:color w:val="auto"/>
          <w:szCs w:val="21"/>
          <w:highlight w:val="none"/>
        </w:rPr>
      </w:pPr>
      <w:r>
        <w:rPr>
          <w:rFonts w:hint="eastAsia" w:ascii="宋体" w:hAnsi="宋体"/>
          <w:color w:val="auto"/>
          <w:szCs w:val="21"/>
          <w:highlight w:val="none"/>
        </w:rPr>
        <w:t>（2）提供20</w:t>
      </w:r>
      <w:r>
        <w:rPr>
          <w:rFonts w:hint="eastAsia" w:ascii="宋体" w:hAnsi="宋体"/>
          <w:color w:val="auto"/>
          <w:szCs w:val="21"/>
          <w:highlight w:val="none"/>
          <w:lang w:val="en-US" w:eastAsia="zh-CN"/>
        </w:rPr>
        <w:t>24</w:t>
      </w:r>
      <w:r>
        <w:rPr>
          <w:rFonts w:hint="eastAsia" w:ascii="宋体" w:hAnsi="宋体"/>
          <w:color w:val="auto"/>
          <w:szCs w:val="21"/>
          <w:highlight w:val="none"/>
        </w:rPr>
        <w:t>年</w:t>
      </w:r>
      <w:r>
        <w:rPr>
          <w:rFonts w:hint="eastAsia" w:ascii="宋体" w:hAnsi="宋体"/>
          <w:color w:val="auto"/>
          <w:szCs w:val="21"/>
          <w:highlight w:val="none"/>
          <w:lang w:val="en-US" w:eastAsia="zh-CN"/>
        </w:rPr>
        <w:t>01</w:t>
      </w:r>
      <w:r>
        <w:rPr>
          <w:rFonts w:ascii="宋体" w:hAnsi="宋体"/>
          <w:color w:val="auto"/>
          <w:szCs w:val="21"/>
          <w:highlight w:val="none"/>
        </w:rPr>
        <w:t>月</w:t>
      </w:r>
      <w:r>
        <w:rPr>
          <w:rFonts w:hint="eastAsia" w:ascii="宋体" w:hAnsi="宋体"/>
          <w:color w:val="auto"/>
          <w:szCs w:val="21"/>
          <w:highlight w:val="none"/>
        </w:rPr>
        <w:t>至</w:t>
      </w:r>
      <w:r>
        <w:rPr>
          <w:rFonts w:hint="eastAsia" w:ascii="宋体" w:hAnsi="宋体" w:cs="宋体"/>
          <w:color w:val="auto"/>
          <w:szCs w:val="21"/>
          <w:highlight w:val="none"/>
        </w:rPr>
        <w:t>响应文件</w:t>
      </w:r>
      <w:r>
        <w:rPr>
          <w:rFonts w:hint="eastAsia" w:asciiTheme="minorEastAsia" w:hAnsiTheme="minorEastAsia" w:eastAsiaTheme="minorEastAsia"/>
          <w:color w:val="auto"/>
          <w:szCs w:val="21"/>
          <w:highlight w:val="none"/>
        </w:rPr>
        <w:t>提交</w:t>
      </w:r>
      <w:r>
        <w:rPr>
          <w:rFonts w:hint="eastAsia" w:ascii="宋体" w:hAnsi="宋体"/>
          <w:color w:val="auto"/>
          <w:szCs w:val="21"/>
          <w:highlight w:val="none"/>
        </w:rPr>
        <w:t>截止之日任意</w:t>
      </w:r>
      <w:r>
        <w:rPr>
          <w:rFonts w:ascii="宋体" w:hAnsi="宋体"/>
          <w:color w:val="auto"/>
          <w:szCs w:val="21"/>
          <w:highlight w:val="none"/>
        </w:rPr>
        <w:t>3</w:t>
      </w:r>
      <w:r>
        <w:rPr>
          <w:rFonts w:hint="eastAsia" w:ascii="宋体" w:hAnsi="宋体"/>
          <w:color w:val="auto"/>
          <w:szCs w:val="21"/>
          <w:highlight w:val="none"/>
        </w:rPr>
        <w:t>个月的社会保险费缴款书或银行电子缴费凭证或社保管理部门出具的有效的缴款证明的原件扫描件；依法免缴的，提供依法免缴的相关证明文件的原件扫描件；</w:t>
      </w:r>
      <w:r>
        <w:rPr>
          <w:rFonts w:hint="eastAsia" w:ascii="宋体" w:hAnsi="宋体"/>
          <w:color w:val="auto"/>
          <w:highlight w:val="none"/>
        </w:rPr>
        <w:t>若为新成立的公司，提供成立至今的社会保险费缴款书或银行电子缴费凭证或社保管理部门出具的有效的缴款证明</w:t>
      </w:r>
      <w:r>
        <w:rPr>
          <w:rFonts w:hint="eastAsia" w:ascii="宋体" w:hAnsi="宋体"/>
          <w:color w:val="auto"/>
          <w:szCs w:val="21"/>
          <w:highlight w:val="none"/>
        </w:rPr>
        <w:t>的原件扫描件</w:t>
      </w:r>
      <w:r>
        <w:rPr>
          <w:rFonts w:hint="eastAsia" w:ascii="宋体" w:hAnsi="宋体"/>
          <w:color w:val="auto"/>
          <w:highlight w:val="none"/>
        </w:rPr>
        <w:t>；成立时间不足</w:t>
      </w:r>
      <w:r>
        <w:rPr>
          <w:rFonts w:ascii="宋体" w:hAnsi="宋体"/>
          <w:color w:val="auto"/>
          <w:highlight w:val="none"/>
        </w:rPr>
        <w:t>3</w:t>
      </w:r>
      <w:r>
        <w:rPr>
          <w:rFonts w:hint="eastAsia" w:ascii="宋体" w:hAnsi="宋体"/>
          <w:color w:val="auto"/>
          <w:highlight w:val="none"/>
        </w:rPr>
        <w:t>个月的，</w:t>
      </w:r>
      <w:r>
        <w:rPr>
          <w:rFonts w:ascii="宋体" w:hAnsi="宋体"/>
          <w:color w:val="auto"/>
          <w:highlight w:val="none"/>
        </w:rPr>
        <w:t>按实际缴纳月份提供</w:t>
      </w:r>
      <w:r>
        <w:rPr>
          <w:rFonts w:hint="eastAsia" w:ascii="宋体" w:hAnsi="宋体"/>
          <w:color w:val="auto"/>
          <w:highlight w:val="none"/>
        </w:rPr>
        <w:t>或出具</w:t>
      </w:r>
      <w:r>
        <w:rPr>
          <w:rFonts w:ascii="宋体" w:hAnsi="宋体"/>
          <w:color w:val="auto"/>
          <w:highlight w:val="none"/>
        </w:rPr>
        <w:t>书面说明</w:t>
      </w:r>
      <w:r>
        <w:rPr>
          <w:rFonts w:hint="eastAsia" w:ascii="宋体" w:hAnsi="宋体"/>
          <w:color w:val="auto"/>
          <w:highlight w:val="none"/>
        </w:rPr>
        <w:t>。</w:t>
      </w:r>
    </w:p>
    <w:p w14:paraId="63A1E85E">
      <w:pPr>
        <w:tabs>
          <w:tab w:val="left" w:pos="709"/>
        </w:tabs>
        <w:spacing w:line="360" w:lineRule="auto"/>
        <w:ind w:firstLine="840" w:firstLineChars="400"/>
        <w:jc w:val="left"/>
        <w:rPr>
          <w:rFonts w:hint="eastAsia" w:ascii="宋体" w:hAnsi="宋体"/>
          <w:color w:val="auto"/>
          <w:szCs w:val="21"/>
          <w:highlight w:val="none"/>
        </w:rPr>
      </w:pPr>
      <w:r>
        <w:rPr>
          <w:rFonts w:hint="eastAsia" w:ascii="宋体" w:hAnsi="宋体"/>
          <w:color w:val="auto"/>
          <w:szCs w:val="21"/>
          <w:highlight w:val="none"/>
        </w:rPr>
        <w:t>（3）若为自然人参与谈判，则提供202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01</w:t>
      </w:r>
      <w:r>
        <w:rPr>
          <w:rFonts w:ascii="宋体" w:hAnsi="宋体"/>
          <w:color w:val="auto"/>
          <w:szCs w:val="21"/>
          <w:highlight w:val="none"/>
        </w:rPr>
        <w:t>月</w:t>
      </w:r>
      <w:r>
        <w:rPr>
          <w:rFonts w:hint="eastAsia" w:ascii="宋体" w:hAnsi="宋体"/>
          <w:color w:val="auto"/>
          <w:szCs w:val="21"/>
          <w:highlight w:val="none"/>
        </w:rPr>
        <w:t>至</w:t>
      </w:r>
      <w:r>
        <w:rPr>
          <w:rFonts w:hint="eastAsia" w:ascii="宋体" w:hAnsi="宋体" w:cs="宋体"/>
          <w:color w:val="auto"/>
          <w:szCs w:val="21"/>
          <w:highlight w:val="none"/>
        </w:rPr>
        <w:t>响应文件</w:t>
      </w:r>
      <w:r>
        <w:rPr>
          <w:rFonts w:hint="eastAsia" w:asciiTheme="minorEastAsia" w:hAnsiTheme="minorEastAsia" w:eastAsiaTheme="minorEastAsia"/>
          <w:color w:val="auto"/>
          <w:szCs w:val="21"/>
          <w:highlight w:val="none"/>
        </w:rPr>
        <w:t>提交</w:t>
      </w:r>
      <w:r>
        <w:rPr>
          <w:rFonts w:hint="eastAsia" w:ascii="宋体" w:hAnsi="宋体"/>
          <w:color w:val="auto"/>
          <w:szCs w:val="21"/>
          <w:highlight w:val="none"/>
        </w:rPr>
        <w:t>截止之日任意3个月的个人所得税完税证明和社会保险参保证明的原件扫描件；未缴纳税收或社保的，提供书面说明。</w:t>
      </w:r>
    </w:p>
    <w:p w14:paraId="555C50A3">
      <w:pPr>
        <w:spacing w:line="360" w:lineRule="auto"/>
        <w:ind w:firstLine="843" w:firstLineChars="300"/>
        <w:jc w:val="left"/>
        <w:rPr>
          <w:rFonts w:hint="eastAsia"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br w:type="page"/>
      </w:r>
    </w:p>
    <w:p w14:paraId="518E6C08">
      <w:pPr>
        <w:spacing w:line="360" w:lineRule="auto"/>
        <w:jc w:val="center"/>
        <w:outlineLvl w:val="2"/>
        <w:rPr>
          <w:rFonts w:hint="eastAsia" w:asciiTheme="minorEastAsia" w:hAnsiTheme="minorEastAsia" w:eastAsiaTheme="minorEastAsia"/>
          <w:b/>
          <w:color w:val="auto"/>
          <w:sz w:val="28"/>
          <w:szCs w:val="28"/>
          <w:highlight w:val="none"/>
        </w:rPr>
      </w:pPr>
      <w:bookmarkStart w:id="1158" w:name="_Toc8923"/>
      <w:bookmarkStart w:id="1159" w:name="_Toc98865072"/>
      <w:bookmarkStart w:id="1160" w:name="_Toc109809383"/>
      <w:bookmarkStart w:id="1161" w:name="_Toc4146"/>
      <w:bookmarkStart w:id="1162" w:name="_Toc116584068"/>
      <w:bookmarkStart w:id="1163" w:name="_Toc110405202"/>
      <w:r>
        <w:rPr>
          <w:rFonts w:hint="eastAsia" w:asciiTheme="minorEastAsia" w:hAnsiTheme="minorEastAsia" w:eastAsiaTheme="minorEastAsia"/>
          <w:b/>
          <w:color w:val="auto"/>
          <w:sz w:val="28"/>
          <w:szCs w:val="28"/>
          <w:highlight w:val="none"/>
        </w:rPr>
        <w:t>（五）参加政府采购活动前三年内，在经营活动中没有重大违法记录</w:t>
      </w:r>
      <w:bookmarkEnd w:id="1158"/>
    </w:p>
    <w:bookmarkEnd w:id="1133"/>
    <w:bookmarkEnd w:id="1134"/>
    <w:bookmarkEnd w:id="1135"/>
    <w:bookmarkEnd w:id="1151"/>
    <w:bookmarkEnd w:id="1152"/>
    <w:bookmarkEnd w:id="1153"/>
    <w:bookmarkEnd w:id="1154"/>
    <w:bookmarkEnd w:id="1155"/>
    <w:bookmarkEnd w:id="1156"/>
    <w:bookmarkEnd w:id="1157"/>
    <w:bookmarkEnd w:id="1159"/>
    <w:bookmarkEnd w:id="1160"/>
    <w:bookmarkEnd w:id="1161"/>
    <w:bookmarkEnd w:id="1162"/>
    <w:bookmarkEnd w:id="1163"/>
    <w:p w14:paraId="5FD3618B">
      <w:pPr>
        <w:jc w:val="center"/>
        <w:rPr>
          <w:rFonts w:hint="eastAsia" w:ascii="宋体" w:hAnsi="宋体" w:cs="宋体"/>
          <w:color w:val="auto"/>
          <w:highlight w:val="none"/>
        </w:rPr>
      </w:pPr>
      <w:bookmarkStart w:id="1164" w:name="_Toc518141930"/>
      <w:bookmarkStart w:id="1165" w:name="_Toc513923168"/>
      <w:r>
        <w:rPr>
          <w:rFonts w:hint="eastAsia" w:ascii="宋体" w:hAnsi="宋体" w:cs="宋体"/>
          <w:color w:val="auto"/>
          <w:highlight w:val="none"/>
        </w:rPr>
        <w:t>注：提供书面声明，内容自拟。</w:t>
      </w:r>
    </w:p>
    <w:p w14:paraId="4B520E40">
      <w:pPr>
        <w:spacing w:line="480" w:lineRule="auto"/>
        <w:ind w:right="252" w:rightChars="120" w:firstLine="4410" w:firstLineChars="2100"/>
        <w:jc w:val="left"/>
        <w:rPr>
          <w:rFonts w:hint="eastAsia" w:ascii="宋体" w:hAnsi="宋体" w:cs="宋体"/>
          <w:color w:val="auto"/>
          <w:szCs w:val="21"/>
          <w:highlight w:val="none"/>
        </w:rPr>
      </w:pPr>
    </w:p>
    <w:p w14:paraId="25F997A6">
      <w:pPr>
        <w:spacing w:line="480" w:lineRule="auto"/>
        <w:ind w:right="252" w:rightChars="120" w:firstLine="4410" w:firstLineChars="2100"/>
        <w:jc w:val="left"/>
        <w:rPr>
          <w:rFonts w:hint="eastAsia" w:ascii="宋体" w:hAnsi="宋体" w:cs="宋体"/>
          <w:color w:val="auto"/>
          <w:szCs w:val="21"/>
          <w:highlight w:val="none"/>
        </w:rPr>
      </w:pPr>
    </w:p>
    <w:p w14:paraId="733B9272">
      <w:pPr>
        <w:pStyle w:val="321"/>
        <w:rPr>
          <w:color w:val="auto"/>
          <w:highlight w:val="none"/>
        </w:rPr>
      </w:pPr>
    </w:p>
    <w:p w14:paraId="4F6E02C5">
      <w:pPr>
        <w:pStyle w:val="321"/>
        <w:rPr>
          <w:color w:val="auto"/>
          <w:highlight w:val="none"/>
        </w:rPr>
      </w:pPr>
    </w:p>
    <w:p w14:paraId="4A6D1403">
      <w:pPr>
        <w:pStyle w:val="321"/>
        <w:rPr>
          <w:color w:val="auto"/>
          <w:highlight w:val="none"/>
        </w:rPr>
      </w:pPr>
    </w:p>
    <w:p w14:paraId="55A585C3">
      <w:pPr>
        <w:pStyle w:val="321"/>
        <w:rPr>
          <w:color w:val="auto"/>
          <w:highlight w:val="none"/>
        </w:rPr>
      </w:pPr>
    </w:p>
    <w:p w14:paraId="4A097F67">
      <w:pPr>
        <w:pStyle w:val="321"/>
        <w:rPr>
          <w:color w:val="auto"/>
          <w:highlight w:val="none"/>
        </w:rPr>
      </w:pPr>
    </w:p>
    <w:p w14:paraId="69696C08">
      <w:pPr>
        <w:pStyle w:val="321"/>
        <w:rPr>
          <w:color w:val="auto"/>
          <w:highlight w:val="none"/>
        </w:rPr>
      </w:pPr>
    </w:p>
    <w:p w14:paraId="0C62520A">
      <w:pPr>
        <w:pStyle w:val="321"/>
        <w:rPr>
          <w:color w:val="auto"/>
          <w:highlight w:val="none"/>
        </w:rPr>
      </w:pPr>
    </w:p>
    <w:p w14:paraId="32F20906">
      <w:pPr>
        <w:pStyle w:val="321"/>
        <w:rPr>
          <w:color w:val="auto"/>
          <w:highlight w:val="none"/>
        </w:rPr>
      </w:pPr>
    </w:p>
    <w:p w14:paraId="0A50F849">
      <w:pPr>
        <w:pStyle w:val="321"/>
        <w:rPr>
          <w:color w:val="auto"/>
          <w:highlight w:val="none"/>
        </w:rPr>
      </w:pPr>
    </w:p>
    <w:p w14:paraId="5F51B879">
      <w:pPr>
        <w:pStyle w:val="321"/>
        <w:rPr>
          <w:color w:val="auto"/>
          <w:highlight w:val="none"/>
        </w:rPr>
      </w:pPr>
    </w:p>
    <w:p w14:paraId="5D1EDD63">
      <w:pPr>
        <w:pStyle w:val="321"/>
        <w:rPr>
          <w:color w:val="auto"/>
          <w:highlight w:val="none"/>
        </w:rPr>
      </w:pPr>
    </w:p>
    <w:p w14:paraId="041FFA3B">
      <w:pPr>
        <w:pStyle w:val="321"/>
        <w:rPr>
          <w:color w:val="auto"/>
          <w:highlight w:val="none"/>
        </w:rPr>
      </w:pPr>
    </w:p>
    <w:p w14:paraId="59CF660D">
      <w:pPr>
        <w:spacing w:line="480" w:lineRule="auto"/>
        <w:ind w:right="252" w:rightChars="120" w:firstLine="4410" w:firstLineChars="2100"/>
        <w:jc w:val="left"/>
        <w:rPr>
          <w:rFonts w:hint="eastAsia" w:ascii="宋体" w:hAnsi="宋体" w:cs="宋体"/>
          <w:color w:val="auto"/>
          <w:szCs w:val="21"/>
          <w:highlight w:val="none"/>
          <w:u w:val="singl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（电子签章）</w:t>
      </w:r>
    </w:p>
    <w:p w14:paraId="048AD88B">
      <w:pPr>
        <w:tabs>
          <w:tab w:val="left" w:pos="3990"/>
          <w:tab w:val="right" w:pos="9386"/>
        </w:tabs>
        <w:spacing w:line="480" w:lineRule="auto"/>
        <w:ind w:right="252" w:rightChars="120" w:firstLine="4410" w:firstLineChars="21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（电子签章）</w:t>
      </w:r>
    </w:p>
    <w:p w14:paraId="5DA1FB7A">
      <w:pPr>
        <w:widowControl/>
        <w:ind w:firstLine="4410" w:firstLineChars="2100"/>
        <w:jc w:val="left"/>
        <w:rPr>
          <w:rFonts w:hint="eastAsia" w:asciiTheme="minorEastAsia" w:hAnsiTheme="minorEastAsia" w:eastAsiaTheme="minorEastAsia"/>
          <w:b/>
          <w:color w:val="auto"/>
          <w:sz w:val="28"/>
          <w:szCs w:val="28"/>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asciiTheme="minorEastAsia" w:hAnsiTheme="minorEastAsia" w:eastAsiaTheme="minorEastAsia"/>
          <w:b/>
          <w:color w:val="auto"/>
          <w:sz w:val="28"/>
          <w:szCs w:val="28"/>
          <w:highlight w:val="none"/>
        </w:rPr>
        <w:br w:type="page"/>
      </w:r>
    </w:p>
    <w:bookmarkEnd w:id="1164"/>
    <w:bookmarkEnd w:id="1165"/>
    <w:p w14:paraId="5949B4BF">
      <w:pPr>
        <w:spacing w:line="360" w:lineRule="auto"/>
        <w:jc w:val="center"/>
        <w:outlineLvl w:val="1"/>
        <w:rPr>
          <w:rFonts w:hint="eastAsia" w:asciiTheme="minorEastAsia" w:hAnsiTheme="minorEastAsia" w:eastAsiaTheme="minorEastAsia"/>
          <w:b/>
          <w:color w:val="auto"/>
          <w:sz w:val="30"/>
          <w:szCs w:val="30"/>
          <w:highlight w:val="none"/>
        </w:rPr>
        <w:sectPr>
          <w:pgSz w:w="11906" w:h="16838"/>
          <w:pgMar w:top="1157" w:right="1474" w:bottom="1157" w:left="1474" w:header="510" w:footer="850" w:gutter="0"/>
          <w:cols w:space="0" w:num="1"/>
          <w:rtlGutter w:val="0"/>
          <w:docGrid w:linePitch="312" w:charSpace="0"/>
        </w:sectPr>
      </w:pPr>
      <w:bookmarkStart w:id="1166" w:name="_Toc153670644"/>
      <w:bookmarkStart w:id="1167" w:name="_Toc128658856"/>
      <w:bookmarkStart w:id="1168" w:name="_Toc103586124"/>
      <w:bookmarkStart w:id="1169" w:name="_Toc21376"/>
      <w:bookmarkStart w:id="1170" w:name="_Toc42205066"/>
      <w:bookmarkStart w:id="1171" w:name="_Toc37603119"/>
    </w:p>
    <w:p w14:paraId="24D8E426">
      <w:pPr>
        <w:spacing w:line="360" w:lineRule="auto"/>
        <w:jc w:val="center"/>
        <w:outlineLvl w:val="1"/>
        <w:rPr>
          <w:rFonts w:hint="eastAsia" w:asciiTheme="minorEastAsia" w:hAnsiTheme="minorEastAsia" w:eastAsiaTheme="minorEastAsia"/>
          <w:b/>
          <w:color w:val="auto"/>
          <w:sz w:val="30"/>
          <w:szCs w:val="30"/>
          <w:highlight w:val="none"/>
        </w:rPr>
      </w:pPr>
      <w:bookmarkStart w:id="1172" w:name="_Toc11078"/>
      <w:r>
        <w:rPr>
          <w:rFonts w:hint="eastAsia" w:asciiTheme="minorEastAsia" w:hAnsiTheme="minorEastAsia" w:eastAsiaTheme="minorEastAsia"/>
          <w:b/>
          <w:color w:val="auto"/>
          <w:sz w:val="30"/>
          <w:szCs w:val="30"/>
          <w:highlight w:val="none"/>
        </w:rPr>
        <w:t>二、商务报价文件</w:t>
      </w:r>
      <w:bookmarkEnd w:id="1166"/>
      <w:bookmarkEnd w:id="1167"/>
      <w:bookmarkEnd w:id="1172"/>
    </w:p>
    <w:p w14:paraId="2FB55E72">
      <w:pPr>
        <w:spacing w:line="360" w:lineRule="auto"/>
        <w:jc w:val="center"/>
        <w:outlineLvl w:val="2"/>
        <w:rPr>
          <w:rFonts w:hint="eastAsia" w:asciiTheme="minorEastAsia" w:hAnsiTheme="minorEastAsia" w:eastAsiaTheme="minorEastAsia"/>
          <w:b/>
          <w:color w:val="auto"/>
          <w:sz w:val="28"/>
          <w:szCs w:val="28"/>
          <w:highlight w:val="none"/>
        </w:rPr>
      </w:pPr>
      <w:bookmarkStart w:id="1173" w:name="_Toc116584073"/>
      <w:bookmarkStart w:id="1174" w:name="_Toc12003"/>
      <w:r>
        <w:rPr>
          <w:rFonts w:hint="eastAsia" w:asciiTheme="minorEastAsia" w:hAnsiTheme="minorEastAsia" w:eastAsiaTheme="minorEastAsia"/>
          <w:b/>
          <w:color w:val="auto"/>
          <w:sz w:val="28"/>
          <w:szCs w:val="28"/>
          <w:highlight w:val="none"/>
        </w:rPr>
        <w:t>（一）谈判</w:t>
      </w:r>
      <w:r>
        <w:rPr>
          <w:rFonts w:asciiTheme="minorEastAsia" w:hAnsiTheme="minorEastAsia" w:eastAsiaTheme="minorEastAsia"/>
          <w:b/>
          <w:color w:val="auto"/>
          <w:sz w:val="28"/>
          <w:szCs w:val="28"/>
          <w:highlight w:val="none"/>
        </w:rPr>
        <w:t>函</w:t>
      </w:r>
      <w:bookmarkEnd w:id="1173"/>
      <w:bookmarkEnd w:id="1174"/>
    </w:p>
    <w:p w14:paraId="5BF510AE">
      <w:pPr>
        <w:spacing w:line="360"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（采购人名称）</w:t>
      </w:r>
    </w:p>
    <w:p w14:paraId="638DD82C">
      <w:pPr>
        <w:wordWrap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、根据你方采购项目编号为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（项目编号）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的</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（项目名称）</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采购文件，遵照《中华人民共和国政府采购法》、《中华人民共和国政府采购法实施条例》、</w:t>
      </w:r>
      <w:r>
        <w:rPr>
          <w:rFonts w:hint="eastAsia" w:asciiTheme="minorEastAsia" w:hAnsiTheme="minorEastAsia" w:eastAsiaTheme="minorEastAsia"/>
          <w:color w:val="auto"/>
          <w:szCs w:val="21"/>
          <w:highlight w:val="none"/>
        </w:rPr>
        <w:t>《政府采购非招标采购方式管理办法》（财政部令第74号）</w:t>
      </w:r>
      <w:r>
        <w:rPr>
          <w:rFonts w:hint="eastAsia" w:ascii="宋体" w:hAnsi="宋体"/>
          <w:color w:val="auto"/>
          <w:szCs w:val="21"/>
          <w:highlight w:val="none"/>
        </w:rPr>
        <w:t>等相关法律法规的规定，经研究上述采购文件的供应商须知及采购内容后，</w:t>
      </w:r>
      <w:r>
        <w:rPr>
          <w:rFonts w:hint="eastAsia" w:ascii="宋体" w:hAnsi="宋体"/>
          <w:snapToGrid w:val="0"/>
          <w:color w:val="auto"/>
          <w:kern w:val="0"/>
          <w:szCs w:val="21"/>
          <w:highlight w:val="none"/>
        </w:rPr>
        <w:t>我方愿意按照“谈判一览表”中的谈判报价参与本项目竞争性谈判。</w:t>
      </w:r>
    </w:p>
    <w:p w14:paraId="53AAFE94">
      <w:pPr>
        <w:wordWrap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、我方承诺我方所提交的响应文件在采购文件第二章“供应商须知前附表”第3</w:t>
      </w:r>
      <w:r>
        <w:rPr>
          <w:rFonts w:ascii="宋体" w:hAnsi="宋体"/>
          <w:color w:val="auto"/>
          <w:szCs w:val="21"/>
          <w:highlight w:val="none"/>
        </w:rPr>
        <w:t>.3.1</w:t>
      </w:r>
      <w:r>
        <w:rPr>
          <w:rFonts w:hint="eastAsia" w:ascii="宋体" w:hAnsi="宋体"/>
          <w:color w:val="auto"/>
          <w:szCs w:val="21"/>
          <w:highlight w:val="none"/>
        </w:rPr>
        <w:t>项规定的谈判有效期内有效。</w:t>
      </w:r>
    </w:p>
    <w:p w14:paraId="61F5518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如我方</w:t>
      </w:r>
      <w:r>
        <w:rPr>
          <w:rFonts w:hint="eastAsia" w:ascii="宋体" w:hAnsi="宋体"/>
          <w:color w:val="auto"/>
          <w:szCs w:val="21"/>
          <w:highlight w:val="none"/>
        </w:rPr>
        <w:t>成交</w:t>
      </w:r>
      <w:r>
        <w:rPr>
          <w:rFonts w:ascii="宋体" w:hAnsi="宋体"/>
          <w:color w:val="auto"/>
          <w:szCs w:val="21"/>
          <w:highlight w:val="none"/>
        </w:rPr>
        <w:t>：</w:t>
      </w:r>
    </w:p>
    <w:p w14:paraId="1B447E42">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（1）我方承诺在收到</w:t>
      </w:r>
      <w:r>
        <w:rPr>
          <w:rFonts w:hint="eastAsia" w:ascii="宋体" w:hAnsi="宋体"/>
          <w:color w:val="auto"/>
          <w:szCs w:val="21"/>
          <w:highlight w:val="none"/>
        </w:rPr>
        <w:t>成交通知书</w:t>
      </w:r>
      <w:r>
        <w:rPr>
          <w:rFonts w:ascii="宋体" w:hAnsi="宋体"/>
          <w:color w:val="auto"/>
          <w:szCs w:val="21"/>
          <w:highlight w:val="none"/>
        </w:rPr>
        <w:t>后，在</w:t>
      </w:r>
      <w:r>
        <w:rPr>
          <w:rFonts w:hint="eastAsia" w:ascii="宋体" w:hAnsi="宋体"/>
          <w:color w:val="auto"/>
          <w:szCs w:val="21"/>
          <w:highlight w:val="none"/>
        </w:rPr>
        <w:t>成交通知书</w:t>
      </w:r>
      <w:r>
        <w:rPr>
          <w:rFonts w:ascii="宋体" w:hAnsi="宋体"/>
          <w:color w:val="auto"/>
          <w:szCs w:val="21"/>
          <w:highlight w:val="none"/>
        </w:rPr>
        <w:t>规定的期限内与你方签订合同</w:t>
      </w:r>
      <w:r>
        <w:rPr>
          <w:rFonts w:hint="eastAsia" w:ascii="宋体" w:hAnsi="宋体"/>
          <w:color w:val="auto"/>
          <w:szCs w:val="21"/>
          <w:highlight w:val="none"/>
        </w:rPr>
        <w:t>；</w:t>
      </w:r>
    </w:p>
    <w:p w14:paraId="2DAC6CE4">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）我方承诺在合同约定的期限内完成</w:t>
      </w:r>
      <w:r>
        <w:rPr>
          <w:rFonts w:hint="eastAsia" w:ascii="宋体" w:hAnsi="宋体"/>
          <w:color w:val="auto"/>
          <w:szCs w:val="21"/>
          <w:highlight w:val="none"/>
        </w:rPr>
        <w:t>所有</w:t>
      </w:r>
      <w:r>
        <w:rPr>
          <w:rFonts w:ascii="宋体" w:hAnsi="宋体"/>
          <w:color w:val="auto"/>
          <w:szCs w:val="21"/>
          <w:highlight w:val="none"/>
        </w:rPr>
        <w:t>服务</w:t>
      </w:r>
      <w:r>
        <w:rPr>
          <w:rFonts w:hint="eastAsia" w:ascii="宋体" w:hAnsi="宋体"/>
          <w:color w:val="auto"/>
          <w:szCs w:val="21"/>
          <w:highlight w:val="none"/>
        </w:rPr>
        <w:t>内容</w:t>
      </w:r>
      <w:r>
        <w:rPr>
          <w:rFonts w:ascii="宋体" w:hAnsi="宋体"/>
          <w:color w:val="auto"/>
          <w:szCs w:val="21"/>
          <w:highlight w:val="none"/>
        </w:rPr>
        <w:t>。</w:t>
      </w:r>
    </w:p>
    <w:p w14:paraId="4ADA222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我方在此声明，所</w:t>
      </w:r>
      <w:r>
        <w:rPr>
          <w:rFonts w:hint="eastAsia" w:ascii="宋体" w:hAnsi="宋体"/>
          <w:color w:val="auto"/>
          <w:szCs w:val="21"/>
          <w:highlight w:val="none"/>
        </w:rPr>
        <w:t>提</w:t>
      </w:r>
      <w:r>
        <w:rPr>
          <w:rFonts w:ascii="宋体" w:hAnsi="宋体"/>
          <w:color w:val="auto"/>
          <w:szCs w:val="21"/>
          <w:highlight w:val="none"/>
        </w:rPr>
        <w:t>交的</w:t>
      </w:r>
      <w:r>
        <w:rPr>
          <w:rFonts w:hint="eastAsia" w:ascii="宋体" w:hAnsi="宋体"/>
          <w:color w:val="auto"/>
          <w:szCs w:val="21"/>
          <w:highlight w:val="none"/>
        </w:rPr>
        <w:t>响应</w:t>
      </w:r>
      <w:r>
        <w:rPr>
          <w:rFonts w:ascii="宋体" w:hAnsi="宋体"/>
          <w:color w:val="auto"/>
          <w:szCs w:val="21"/>
          <w:highlight w:val="none"/>
        </w:rPr>
        <w:t>文件及有关资料内容完整、真实和准确。</w:t>
      </w:r>
    </w:p>
    <w:p w14:paraId="2D5DC66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5、在合同协议书正式签署生效之前，本谈判函连同你方的成交通知书将构成我们双方之间共同遵守的文件，对双方具有约束力。</w:t>
      </w:r>
    </w:p>
    <w:p w14:paraId="019238A4">
      <w:pPr>
        <w:spacing w:line="360" w:lineRule="auto"/>
        <w:ind w:firstLine="420" w:firstLineChars="200"/>
        <w:rPr>
          <w:rFonts w:hint="eastAsia" w:asciiTheme="minorEastAsia" w:hAnsiTheme="minorEastAsia" w:eastAsiaTheme="minorEastAsia"/>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u w:val="single"/>
        </w:rPr>
        <w:t xml:space="preserve">                                        </w:t>
      </w:r>
      <w:r>
        <w:rPr>
          <w:rFonts w:ascii="宋体" w:hAnsi="宋体"/>
          <w:color w:val="auto"/>
          <w:szCs w:val="21"/>
          <w:highlight w:val="none"/>
        </w:rPr>
        <w:t>（其他补充说明）</w:t>
      </w:r>
      <w:r>
        <w:rPr>
          <w:rFonts w:asciiTheme="minorEastAsia" w:hAnsiTheme="minorEastAsia" w:eastAsiaTheme="minorEastAsia"/>
          <w:color w:val="auto"/>
          <w:szCs w:val="21"/>
          <w:highlight w:val="none"/>
        </w:rPr>
        <w:t>。</w:t>
      </w:r>
    </w:p>
    <w:p w14:paraId="6193946A">
      <w:pPr>
        <w:autoSpaceDE w:val="0"/>
        <w:autoSpaceDN w:val="0"/>
        <w:adjustRightInd w:val="0"/>
        <w:spacing w:line="360"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 </w:t>
      </w:r>
    </w:p>
    <w:p w14:paraId="75B1801F">
      <w:pPr>
        <w:autoSpaceDE w:val="0"/>
        <w:autoSpaceDN w:val="0"/>
        <w:adjustRightInd w:val="0"/>
        <w:spacing w:line="360" w:lineRule="auto"/>
        <w:rPr>
          <w:rFonts w:hint="eastAsia" w:asciiTheme="minorEastAsia" w:hAnsiTheme="minorEastAsia" w:eastAsiaTheme="minorEastAsia"/>
          <w:color w:val="auto"/>
          <w:szCs w:val="21"/>
          <w:highlight w:val="none"/>
        </w:rPr>
      </w:pPr>
    </w:p>
    <w:p w14:paraId="358D13DB">
      <w:pPr>
        <w:autoSpaceDE w:val="0"/>
        <w:autoSpaceDN w:val="0"/>
        <w:adjustRightInd w:val="0"/>
        <w:spacing w:line="480" w:lineRule="auto"/>
        <w:rPr>
          <w:rFonts w:hint="eastAsia" w:asciiTheme="minorEastAsia" w:hAnsiTheme="minorEastAsia" w:eastAsiaTheme="minorEastAsia"/>
          <w:color w:val="auto"/>
          <w:szCs w:val="21"/>
          <w:highlight w:val="none"/>
        </w:rPr>
      </w:pPr>
    </w:p>
    <w:p w14:paraId="003F964C">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color w:val="auto"/>
          <w:szCs w:val="21"/>
          <w:highlight w:val="none"/>
          <w:u w:val="single"/>
        </w:rPr>
        <w:t>电子签章</w:t>
      </w:r>
      <w:r>
        <w:rPr>
          <w:rFonts w:hint="eastAsia" w:asciiTheme="minorEastAsia" w:hAnsiTheme="minorEastAsia" w:eastAsiaTheme="minorEastAsia"/>
          <w:bCs/>
          <w:color w:val="auto"/>
          <w:szCs w:val="21"/>
          <w:highlight w:val="none"/>
          <w:u w:val="single"/>
        </w:rPr>
        <w:t>）</w:t>
      </w:r>
    </w:p>
    <w:p w14:paraId="22759E01">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法定代表人：</w:t>
      </w:r>
      <w:r>
        <w:rPr>
          <w:rFonts w:hint="eastAsia" w:asciiTheme="minorEastAsia" w:hAnsiTheme="minorEastAsia" w:eastAsiaTheme="minorEastAsia"/>
          <w:bCs/>
          <w:color w:val="auto"/>
          <w:szCs w:val="21"/>
          <w:highlight w:val="none"/>
          <w:u w:val="single"/>
        </w:rPr>
        <w:t xml:space="preserve">      (电子签章)</w:t>
      </w:r>
    </w:p>
    <w:p w14:paraId="153B4F47">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u w:val="single"/>
        </w:rPr>
      </w:pPr>
      <w:r>
        <w:rPr>
          <w:rFonts w:hint="eastAsia" w:asciiTheme="minorEastAsia" w:hAnsiTheme="minorEastAsia" w:eastAsiaTheme="minorEastAsia"/>
          <w:bCs/>
          <w:color w:val="auto"/>
          <w:szCs w:val="21"/>
          <w:highlight w:val="none"/>
        </w:rPr>
        <w:t>地址：</w:t>
      </w:r>
      <w:r>
        <w:rPr>
          <w:rFonts w:hint="eastAsia" w:asciiTheme="minorEastAsia" w:hAnsiTheme="minorEastAsia" w:eastAsiaTheme="minorEastAsia"/>
          <w:bCs/>
          <w:color w:val="auto"/>
          <w:szCs w:val="21"/>
          <w:highlight w:val="none"/>
          <w:u w:val="single"/>
        </w:rPr>
        <w:t xml:space="preserve">                       </w:t>
      </w:r>
    </w:p>
    <w:p w14:paraId="1F5D2086">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u w:val="single"/>
        </w:rPr>
      </w:pPr>
      <w:r>
        <w:rPr>
          <w:rFonts w:hint="eastAsia" w:asciiTheme="minorEastAsia" w:hAnsiTheme="minorEastAsia" w:eastAsiaTheme="minorEastAsia"/>
          <w:bCs/>
          <w:color w:val="auto"/>
          <w:szCs w:val="21"/>
          <w:highlight w:val="none"/>
        </w:rPr>
        <w:t>电话：</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 xml:space="preserve"> </w:t>
      </w:r>
    </w:p>
    <w:p w14:paraId="52B58454">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日期：</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年</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月</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日</w:t>
      </w:r>
    </w:p>
    <w:p w14:paraId="18A26794">
      <w:pPr>
        <w:widowControl/>
        <w:jc w:val="left"/>
        <w:rPr>
          <w:rFonts w:hint="eastAsia" w:asciiTheme="minorEastAsia" w:hAnsiTheme="minorEastAsia" w:eastAsiaTheme="minorEastAsia"/>
          <w:b/>
          <w:color w:val="auto"/>
          <w:sz w:val="28"/>
          <w:szCs w:val="28"/>
          <w:highlight w:val="none"/>
        </w:rPr>
      </w:pPr>
      <w:bookmarkStart w:id="1175" w:name="_Toc116584074"/>
      <w:r>
        <w:rPr>
          <w:rFonts w:asciiTheme="minorEastAsia" w:hAnsiTheme="minorEastAsia" w:eastAsiaTheme="minorEastAsia"/>
          <w:b/>
          <w:color w:val="auto"/>
          <w:sz w:val="28"/>
          <w:szCs w:val="28"/>
          <w:highlight w:val="none"/>
        </w:rPr>
        <w:br w:type="page"/>
      </w:r>
    </w:p>
    <w:p w14:paraId="296C632C">
      <w:pPr>
        <w:spacing w:line="360" w:lineRule="auto"/>
        <w:jc w:val="center"/>
        <w:outlineLvl w:val="2"/>
        <w:rPr>
          <w:rFonts w:hint="eastAsia" w:asciiTheme="minorEastAsia" w:hAnsiTheme="minorEastAsia" w:eastAsiaTheme="minorEastAsia"/>
          <w:b/>
          <w:color w:val="auto"/>
          <w:sz w:val="28"/>
          <w:szCs w:val="28"/>
          <w:highlight w:val="none"/>
        </w:rPr>
      </w:pPr>
      <w:bookmarkStart w:id="1176" w:name="_Toc17119"/>
      <w:r>
        <w:rPr>
          <w:rFonts w:hint="eastAsia" w:asciiTheme="minorEastAsia" w:hAnsiTheme="minorEastAsia" w:eastAsiaTheme="minorEastAsia"/>
          <w:b/>
          <w:color w:val="auto"/>
          <w:sz w:val="28"/>
          <w:szCs w:val="28"/>
          <w:highlight w:val="none"/>
        </w:rPr>
        <w:t>（二）</w:t>
      </w:r>
      <w:r>
        <w:rPr>
          <w:rFonts w:asciiTheme="minorEastAsia" w:hAnsiTheme="minorEastAsia" w:eastAsiaTheme="minorEastAsia"/>
          <w:b/>
          <w:color w:val="auto"/>
          <w:sz w:val="28"/>
          <w:szCs w:val="28"/>
          <w:highlight w:val="none"/>
        </w:rPr>
        <w:t>法定代表人身份证明</w:t>
      </w:r>
      <w:bookmarkEnd w:id="1175"/>
      <w:r>
        <w:rPr>
          <w:rFonts w:hint="eastAsia" w:asciiTheme="minorEastAsia" w:hAnsiTheme="minorEastAsia" w:eastAsiaTheme="minorEastAsia"/>
          <w:b/>
          <w:color w:val="auto"/>
          <w:sz w:val="28"/>
          <w:szCs w:val="28"/>
          <w:highlight w:val="none"/>
        </w:rPr>
        <w:t>及授权委托书</w:t>
      </w:r>
      <w:bookmarkEnd w:id="1176"/>
    </w:p>
    <w:p w14:paraId="3E25509F">
      <w:pPr>
        <w:spacing w:line="360" w:lineRule="auto"/>
        <w:jc w:val="center"/>
        <w:outlineLvl w:val="3"/>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w:t>
      </w:r>
      <w:r>
        <w:rPr>
          <w:rFonts w:asciiTheme="minorEastAsia" w:hAnsiTheme="minorEastAsia" w:eastAsiaTheme="minorEastAsia"/>
          <w:b/>
          <w:color w:val="auto"/>
          <w:sz w:val="28"/>
          <w:szCs w:val="28"/>
          <w:highlight w:val="none"/>
        </w:rPr>
        <w:t>法定代表人身份证明</w:t>
      </w:r>
    </w:p>
    <w:p w14:paraId="3892C219">
      <w:pPr>
        <w:spacing w:line="360" w:lineRule="auto"/>
        <w:rPr>
          <w:rFonts w:hint="eastAsia" w:asciiTheme="minorEastAsia" w:hAnsiTheme="minorEastAsia" w:eastAsiaTheme="minorEastAsia"/>
          <w:color w:val="auto"/>
          <w:highlight w:val="none"/>
        </w:rPr>
      </w:pPr>
    </w:p>
    <w:p w14:paraId="712D06DB">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供应商：</w:t>
      </w:r>
      <w:r>
        <w:rPr>
          <w:rFonts w:hint="eastAsia" w:cs="仿宋_GB2312" w:asciiTheme="minorEastAsia" w:hAnsiTheme="minorEastAsia" w:eastAsiaTheme="minorEastAsia"/>
          <w:color w:val="auto"/>
          <w:szCs w:val="21"/>
          <w:highlight w:val="none"/>
          <w:u w:val="single"/>
        </w:rPr>
        <w:t xml:space="preserve">                                           </w:t>
      </w:r>
    </w:p>
    <w:p w14:paraId="676CEE3A">
      <w:pPr>
        <w:spacing w:line="360" w:lineRule="auto"/>
        <w:ind w:firstLine="539" w:firstLineChars="257"/>
        <w:rPr>
          <w:rFonts w:hint="eastAsia" w:cs="仿宋_GB2312"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rPr>
        <w:t>单位性质：</w:t>
      </w:r>
      <w:r>
        <w:rPr>
          <w:rFonts w:hint="eastAsia" w:cs="仿宋_GB2312" w:asciiTheme="minorEastAsia" w:hAnsiTheme="minorEastAsia" w:eastAsiaTheme="minorEastAsia"/>
          <w:color w:val="auto"/>
          <w:szCs w:val="21"/>
          <w:highlight w:val="none"/>
          <w:u w:val="single"/>
        </w:rPr>
        <w:t xml:space="preserve">                                         </w:t>
      </w:r>
    </w:p>
    <w:p w14:paraId="58FC0BD9">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地    址：</w:t>
      </w:r>
      <w:r>
        <w:rPr>
          <w:rFonts w:hint="eastAsia" w:cs="仿宋_GB2312" w:asciiTheme="minorEastAsia" w:hAnsiTheme="minorEastAsia" w:eastAsiaTheme="minorEastAsia"/>
          <w:color w:val="auto"/>
          <w:szCs w:val="21"/>
          <w:highlight w:val="none"/>
          <w:u w:val="single"/>
        </w:rPr>
        <w:t xml:space="preserve">                                         </w:t>
      </w:r>
    </w:p>
    <w:p w14:paraId="585F696F">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成立时间：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月</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日</w:t>
      </w:r>
    </w:p>
    <w:p w14:paraId="5F5CACDA">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经营期限：</w:t>
      </w:r>
      <w:r>
        <w:rPr>
          <w:rFonts w:hint="eastAsia" w:cs="仿宋_GB2312" w:asciiTheme="minorEastAsia" w:hAnsiTheme="minorEastAsia" w:eastAsiaTheme="minorEastAsia"/>
          <w:color w:val="auto"/>
          <w:szCs w:val="21"/>
          <w:highlight w:val="none"/>
          <w:u w:val="single"/>
        </w:rPr>
        <w:t xml:space="preserve">                                         </w:t>
      </w:r>
    </w:p>
    <w:p w14:paraId="016005C2">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姓    名：</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 xml:space="preserve">    性    别：</w:t>
      </w:r>
      <w:r>
        <w:rPr>
          <w:rFonts w:hint="eastAsia" w:cs="仿宋_GB2312" w:asciiTheme="minorEastAsia" w:hAnsiTheme="minorEastAsia" w:eastAsiaTheme="minorEastAsia"/>
          <w:color w:val="auto"/>
          <w:szCs w:val="21"/>
          <w:highlight w:val="none"/>
          <w:u w:val="single"/>
        </w:rPr>
        <w:t xml:space="preserve">           </w:t>
      </w:r>
    </w:p>
    <w:p w14:paraId="5BC99FCB">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年    龄：</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 xml:space="preserve">    职    务：</w:t>
      </w:r>
      <w:r>
        <w:rPr>
          <w:rFonts w:hint="eastAsia" w:cs="仿宋_GB2312" w:asciiTheme="minorEastAsia" w:hAnsiTheme="minorEastAsia" w:eastAsiaTheme="minorEastAsia"/>
          <w:color w:val="auto"/>
          <w:szCs w:val="21"/>
          <w:highlight w:val="none"/>
          <w:u w:val="single"/>
        </w:rPr>
        <w:t xml:space="preserve">           </w:t>
      </w:r>
    </w:p>
    <w:p w14:paraId="6104110D">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系</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（供应商）的法定代表人。</w:t>
      </w:r>
    </w:p>
    <w:p w14:paraId="740F1103">
      <w:pPr>
        <w:autoSpaceDE w:val="0"/>
        <w:autoSpaceDN w:val="0"/>
        <w:adjustRightInd w:val="0"/>
        <w:spacing w:line="360" w:lineRule="auto"/>
        <w:ind w:firstLine="420"/>
        <w:jc w:val="center"/>
        <w:rPr>
          <w:rFonts w:hint="eastAsia" w:asciiTheme="minorEastAsia" w:hAnsiTheme="minorEastAsia" w:eastAsiaTheme="minorEastAsia"/>
          <w:color w:val="auto"/>
          <w:szCs w:val="21"/>
          <w:highlight w:val="none"/>
        </w:rPr>
      </w:pPr>
    </w:p>
    <w:p w14:paraId="010C9282">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特此证明。</w:t>
      </w:r>
    </w:p>
    <w:p w14:paraId="5A5D46CA">
      <w:pPr>
        <w:autoSpaceDE w:val="0"/>
        <w:autoSpaceDN w:val="0"/>
        <w:adjustRightInd w:val="0"/>
        <w:spacing w:line="360" w:lineRule="auto"/>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附：法定代表人身份证的原件扫描件</w:t>
      </w:r>
    </w:p>
    <w:p w14:paraId="47718AC0">
      <w:pPr>
        <w:spacing w:line="360" w:lineRule="auto"/>
        <w:rPr>
          <w:rFonts w:hint="eastAsia" w:cs="仿宋_GB2312" w:asciiTheme="minorEastAsia" w:hAnsiTheme="minorEastAsia" w:eastAsiaTheme="minorEastAsia"/>
          <w:color w:val="auto"/>
          <w:szCs w:val="21"/>
          <w:highlight w:val="none"/>
        </w:rPr>
      </w:pPr>
    </w:p>
    <w:p w14:paraId="69E4C51C">
      <w:pPr>
        <w:spacing w:line="360" w:lineRule="auto"/>
        <w:rPr>
          <w:rFonts w:hint="eastAsia" w:cs="仿宋_GB2312" w:asciiTheme="minorEastAsia" w:hAnsiTheme="minorEastAsia" w:eastAsiaTheme="minorEastAsia"/>
          <w:color w:val="auto"/>
          <w:szCs w:val="21"/>
          <w:highlight w:val="none"/>
        </w:rPr>
      </w:pPr>
    </w:p>
    <w:p w14:paraId="086AA974">
      <w:pPr>
        <w:spacing w:line="360" w:lineRule="auto"/>
        <w:rPr>
          <w:rFonts w:hint="eastAsia" w:cs="仿宋_GB2312" w:asciiTheme="minorEastAsia" w:hAnsiTheme="minorEastAsia" w:eastAsiaTheme="minorEastAsia"/>
          <w:color w:val="auto"/>
          <w:szCs w:val="21"/>
          <w:highlight w:val="none"/>
        </w:rPr>
      </w:pPr>
    </w:p>
    <w:p w14:paraId="7EF3784A">
      <w:pPr>
        <w:spacing w:line="360" w:lineRule="auto"/>
        <w:rPr>
          <w:rFonts w:hint="eastAsia" w:cs="仿宋_GB2312" w:asciiTheme="minorEastAsia" w:hAnsiTheme="minorEastAsia" w:eastAsiaTheme="minorEastAsia"/>
          <w:color w:val="auto"/>
          <w:szCs w:val="21"/>
          <w:highlight w:val="none"/>
        </w:rPr>
      </w:pPr>
    </w:p>
    <w:p w14:paraId="5D5AB514">
      <w:pPr>
        <w:spacing w:line="360" w:lineRule="auto"/>
        <w:rPr>
          <w:rFonts w:hint="eastAsia" w:cs="仿宋_GB2312" w:asciiTheme="minorEastAsia" w:hAnsiTheme="minorEastAsia" w:eastAsiaTheme="minorEastAsia"/>
          <w:color w:val="auto"/>
          <w:szCs w:val="21"/>
          <w:highlight w:val="none"/>
        </w:rPr>
      </w:pPr>
    </w:p>
    <w:p w14:paraId="7BE1A664">
      <w:pPr>
        <w:spacing w:line="360" w:lineRule="auto"/>
        <w:rPr>
          <w:rFonts w:hint="eastAsia" w:cs="仿宋_GB2312" w:asciiTheme="minorEastAsia" w:hAnsiTheme="minorEastAsia" w:eastAsiaTheme="minorEastAsia"/>
          <w:color w:val="auto"/>
          <w:szCs w:val="21"/>
          <w:highlight w:val="none"/>
        </w:rPr>
      </w:pPr>
    </w:p>
    <w:p w14:paraId="1AB93A46">
      <w:pPr>
        <w:spacing w:line="360" w:lineRule="auto"/>
        <w:rPr>
          <w:rFonts w:hint="eastAsia" w:cs="仿宋_GB2312" w:asciiTheme="minorEastAsia" w:hAnsiTheme="minorEastAsia" w:eastAsiaTheme="minorEastAsia"/>
          <w:color w:val="auto"/>
          <w:szCs w:val="21"/>
          <w:highlight w:val="none"/>
        </w:rPr>
      </w:pPr>
    </w:p>
    <w:p w14:paraId="4EFD514B">
      <w:pPr>
        <w:spacing w:line="360" w:lineRule="auto"/>
        <w:rPr>
          <w:rFonts w:hint="eastAsia" w:cs="仿宋_GB2312" w:asciiTheme="minorEastAsia" w:hAnsiTheme="minorEastAsia" w:eastAsiaTheme="minorEastAsia"/>
          <w:color w:val="auto"/>
          <w:szCs w:val="21"/>
          <w:highlight w:val="none"/>
        </w:rPr>
      </w:pPr>
    </w:p>
    <w:p w14:paraId="6724771F">
      <w:pPr>
        <w:spacing w:line="360" w:lineRule="auto"/>
        <w:rPr>
          <w:rFonts w:hint="eastAsia" w:cs="仿宋_GB2312" w:asciiTheme="minorEastAsia" w:hAnsiTheme="minorEastAsia" w:eastAsiaTheme="minorEastAsia"/>
          <w:color w:val="auto"/>
          <w:szCs w:val="21"/>
          <w:highlight w:val="none"/>
        </w:rPr>
      </w:pPr>
    </w:p>
    <w:p w14:paraId="7CFAC809">
      <w:pPr>
        <w:wordWrap w:val="0"/>
        <w:spacing w:line="360" w:lineRule="auto"/>
        <w:ind w:right="105"/>
        <w:jc w:val="right"/>
        <w:rPr>
          <w:rFonts w:hint="eastAsia" w:cs="仿宋_GB2312" w:asciiTheme="minorEastAsia" w:hAnsiTheme="minorEastAsia" w:eastAsiaTheme="minorEastAsia"/>
          <w:color w:val="auto"/>
          <w:szCs w:val="21"/>
          <w:highlight w:val="none"/>
        </w:rPr>
      </w:pPr>
    </w:p>
    <w:p w14:paraId="3BD8F110">
      <w:pPr>
        <w:spacing w:line="360" w:lineRule="auto"/>
        <w:ind w:right="105"/>
        <w:jc w:val="right"/>
        <w:rPr>
          <w:rFonts w:hint="eastAsia" w:cs="仿宋_GB2312" w:asciiTheme="minorEastAsia" w:hAnsiTheme="minorEastAsia" w:eastAsiaTheme="minorEastAsia"/>
          <w:color w:val="auto"/>
          <w:szCs w:val="21"/>
          <w:highlight w:val="none"/>
        </w:rPr>
      </w:pPr>
    </w:p>
    <w:p w14:paraId="0CA4CCF4">
      <w:pPr>
        <w:spacing w:line="360" w:lineRule="auto"/>
        <w:ind w:right="169" w:firstLine="5243" w:firstLineChars="2497"/>
        <w:jc w:val="left"/>
        <w:rPr>
          <w:rFonts w:hint="eastAsia" w:cs="仿宋_GB2312"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rPr>
        <w:t>供应商：</w:t>
      </w:r>
      <w:r>
        <w:rPr>
          <w:rFonts w:hint="eastAsia" w:cs="仿宋_GB2312"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电子签章</w:t>
      </w:r>
      <w:r>
        <w:rPr>
          <w:rFonts w:hint="eastAsia" w:cs="仿宋_GB2312" w:asciiTheme="minorEastAsia" w:hAnsiTheme="minorEastAsia" w:eastAsiaTheme="minorEastAsia"/>
          <w:color w:val="auto"/>
          <w:szCs w:val="21"/>
          <w:highlight w:val="none"/>
          <w:u w:val="single"/>
        </w:rPr>
        <w:t>）</w:t>
      </w:r>
    </w:p>
    <w:p w14:paraId="295773D3">
      <w:pPr>
        <w:spacing w:before="60" w:after="60" w:line="360" w:lineRule="auto"/>
        <w:ind w:right="420" w:firstLine="5243" w:firstLineChars="2497"/>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1B032E8F">
      <w:pPr>
        <w:widowControl/>
        <w:spacing w:line="360" w:lineRule="auto"/>
        <w:jc w:val="left"/>
        <w:rPr>
          <w:rFonts w:hint="eastAsia" w:cs="仿宋_GB2312" w:asciiTheme="minorEastAsia" w:hAnsiTheme="minorEastAsia" w:eastAsiaTheme="minorEastAsia"/>
          <w:color w:val="auto"/>
          <w:szCs w:val="21"/>
          <w:highlight w:val="none"/>
        </w:rPr>
      </w:pPr>
    </w:p>
    <w:p w14:paraId="2E242631">
      <w:pPr>
        <w:spacing w:line="360" w:lineRule="auto"/>
        <w:jc w:val="center"/>
        <w:outlineLvl w:val="2"/>
        <w:rPr>
          <w:rFonts w:hint="eastAsia" w:asciiTheme="minorEastAsia" w:hAnsiTheme="minorEastAsia" w:eastAsiaTheme="minorEastAsia"/>
          <w:b/>
          <w:color w:val="auto"/>
          <w:sz w:val="28"/>
          <w:szCs w:val="28"/>
          <w:highlight w:val="none"/>
        </w:rPr>
        <w:sectPr>
          <w:pgSz w:w="11906" w:h="16838"/>
          <w:pgMar w:top="1157" w:right="1474" w:bottom="1157" w:left="1474" w:header="510" w:footer="850" w:gutter="0"/>
          <w:cols w:space="0" w:num="1"/>
          <w:rtlGutter w:val="0"/>
          <w:docGrid w:linePitch="312" w:charSpace="0"/>
        </w:sectPr>
      </w:pPr>
    </w:p>
    <w:p w14:paraId="6C19F183">
      <w:pPr>
        <w:spacing w:line="360" w:lineRule="auto"/>
        <w:jc w:val="center"/>
        <w:outlineLvl w:val="3"/>
        <w:rPr>
          <w:rFonts w:hint="eastAsia" w:asciiTheme="minorEastAsia" w:hAnsiTheme="minorEastAsia" w:eastAsiaTheme="minorEastAsia"/>
          <w:b/>
          <w:color w:val="auto"/>
          <w:sz w:val="28"/>
          <w:szCs w:val="28"/>
          <w:highlight w:val="none"/>
        </w:rPr>
      </w:pPr>
      <w:bookmarkStart w:id="1177" w:name="_Toc116584075"/>
      <w:r>
        <w:rPr>
          <w:rFonts w:hint="eastAsia" w:asciiTheme="minorEastAsia" w:hAnsiTheme="minorEastAsia" w:eastAsiaTheme="minorEastAsia"/>
          <w:b/>
          <w:color w:val="auto"/>
          <w:sz w:val="28"/>
          <w:szCs w:val="28"/>
          <w:highlight w:val="none"/>
        </w:rPr>
        <w:t>2、</w:t>
      </w:r>
      <w:r>
        <w:rPr>
          <w:rFonts w:asciiTheme="minorEastAsia" w:hAnsiTheme="minorEastAsia" w:eastAsiaTheme="minorEastAsia"/>
          <w:b/>
          <w:color w:val="auto"/>
          <w:sz w:val="28"/>
          <w:szCs w:val="28"/>
          <w:highlight w:val="none"/>
        </w:rPr>
        <w:t>授权委托书</w:t>
      </w:r>
      <w:bookmarkEnd w:id="1177"/>
    </w:p>
    <w:p w14:paraId="3A531B3D">
      <w:pPr>
        <w:spacing w:line="360" w:lineRule="auto"/>
        <w:rPr>
          <w:rFonts w:hint="eastAsia" w:asciiTheme="minorEastAsia" w:hAnsiTheme="minorEastAsia" w:eastAsiaTheme="minorEastAsia"/>
          <w:color w:val="auto"/>
          <w:highlight w:val="none"/>
        </w:rPr>
      </w:pPr>
    </w:p>
    <w:p w14:paraId="2148B553">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本人</w:t>
      </w:r>
      <w:r>
        <w:rPr>
          <w:rFonts w:hint="eastAsia" w:cs="仿宋_GB2312" w:asciiTheme="minorEastAsia" w:hAnsiTheme="minorEastAsia" w:eastAsiaTheme="minorEastAsia"/>
          <w:color w:val="auto"/>
          <w:szCs w:val="21"/>
          <w:highlight w:val="none"/>
          <w:u w:val="single"/>
        </w:rPr>
        <w:t xml:space="preserve">    </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（姓名）系</w:t>
      </w:r>
      <w:r>
        <w:rPr>
          <w:rFonts w:hint="eastAsia" w:cs="仿宋_GB2312" w:asciiTheme="minorEastAsia" w:hAnsiTheme="minorEastAsia" w:eastAsiaTheme="minorEastAsia"/>
          <w:color w:val="auto"/>
          <w:szCs w:val="21"/>
          <w:highlight w:val="none"/>
          <w:u w:val="single"/>
        </w:rPr>
        <w:t xml:space="preserve">     </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（供应商名称）的法定代表人，现委托</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（姓名）为我方代理人。代理人根据授权，以我方名义签署、澄清、说明、补正、</w:t>
      </w:r>
      <w:r>
        <w:rPr>
          <w:rFonts w:hint="eastAsia" w:asciiTheme="minorEastAsia" w:hAnsiTheme="minorEastAsia" w:eastAsiaTheme="minorEastAsia"/>
          <w:color w:val="auto"/>
          <w:szCs w:val="28"/>
          <w:highlight w:val="none"/>
        </w:rPr>
        <w:t>提交</w:t>
      </w:r>
      <w:r>
        <w:rPr>
          <w:rFonts w:hint="eastAsia" w:cs="仿宋_GB2312" w:asciiTheme="minorEastAsia" w:hAnsiTheme="minorEastAsia" w:eastAsiaTheme="minorEastAsia"/>
          <w:color w:val="auto"/>
          <w:szCs w:val="21"/>
          <w:highlight w:val="none"/>
        </w:rPr>
        <w:t>、撤回、修改</w:t>
      </w:r>
      <w:r>
        <w:rPr>
          <w:rFonts w:hint="eastAsia" w:cs="仿宋_GB2312" w:asciiTheme="minorEastAsia" w:hAnsiTheme="minorEastAsia" w:eastAsiaTheme="minorEastAsia"/>
          <w:color w:val="auto"/>
          <w:szCs w:val="21"/>
          <w:highlight w:val="none"/>
          <w:u w:val="single"/>
          <w:lang w:val="en-US" w:eastAsia="zh-CN"/>
        </w:rPr>
        <w:t xml:space="preserve">      </w:t>
      </w:r>
      <w:r>
        <w:rPr>
          <w:rFonts w:hint="eastAsia" w:cs="仿宋_GB2312" w:asciiTheme="minorEastAsia" w:hAnsiTheme="minorEastAsia" w:eastAsiaTheme="minorEastAsia"/>
          <w:color w:val="auto"/>
          <w:szCs w:val="21"/>
          <w:highlight w:val="none"/>
          <w:u w:val="single"/>
        </w:rPr>
        <w:t>（项目名称）</w:t>
      </w:r>
      <w:r>
        <w:rPr>
          <w:rFonts w:hint="eastAsia" w:cs="仿宋_GB2312" w:asciiTheme="minorEastAsia" w:hAnsiTheme="minorEastAsia" w:eastAsiaTheme="minorEastAsia"/>
          <w:color w:val="auto"/>
          <w:szCs w:val="21"/>
          <w:highlight w:val="none"/>
        </w:rPr>
        <w:t>的响应文件，其法律后果由我方承担。</w:t>
      </w:r>
    </w:p>
    <w:p w14:paraId="7D60F389">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委托期限：</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w:t>
      </w:r>
    </w:p>
    <w:p w14:paraId="0B6BCC6E">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代理人无转委托权。</w:t>
      </w:r>
    </w:p>
    <w:p w14:paraId="418E3C9A">
      <w:pPr>
        <w:autoSpaceDE w:val="0"/>
        <w:autoSpaceDN w:val="0"/>
        <w:adjustRightInd w:val="0"/>
        <w:spacing w:line="360" w:lineRule="auto"/>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附：委托代理人身份证的原件扫描件</w:t>
      </w:r>
    </w:p>
    <w:p w14:paraId="08B7B2F8">
      <w:pPr>
        <w:rPr>
          <w:color w:val="auto"/>
          <w:highlight w:val="none"/>
        </w:rPr>
      </w:pPr>
    </w:p>
    <w:p w14:paraId="0A599177">
      <w:pPr>
        <w:rPr>
          <w:color w:val="auto"/>
          <w:highlight w:val="none"/>
        </w:rPr>
      </w:pPr>
    </w:p>
    <w:p w14:paraId="292E2CA4">
      <w:pPr>
        <w:rPr>
          <w:color w:val="auto"/>
          <w:highlight w:val="none"/>
        </w:rPr>
      </w:pPr>
    </w:p>
    <w:p w14:paraId="6B736212">
      <w:pPr>
        <w:rPr>
          <w:color w:val="auto"/>
          <w:highlight w:val="none"/>
        </w:rPr>
      </w:pPr>
    </w:p>
    <w:p w14:paraId="44864C38">
      <w:pPr>
        <w:rPr>
          <w:color w:val="auto"/>
          <w:highlight w:val="none"/>
        </w:rPr>
      </w:pPr>
    </w:p>
    <w:p w14:paraId="6F26C799">
      <w:pPr>
        <w:rPr>
          <w:color w:val="auto"/>
          <w:highlight w:val="none"/>
        </w:rPr>
      </w:pPr>
    </w:p>
    <w:p w14:paraId="3DC42ED2">
      <w:pPr>
        <w:rPr>
          <w:color w:val="auto"/>
          <w:highlight w:val="none"/>
        </w:rPr>
      </w:pPr>
    </w:p>
    <w:p w14:paraId="2A44FA0B">
      <w:pPr>
        <w:rPr>
          <w:color w:val="auto"/>
          <w:highlight w:val="none"/>
        </w:rPr>
      </w:pPr>
    </w:p>
    <w:p w14:paraId="333943F9">
      <w:pPr>
        <w:rPr>
          <w:color w:val="auto"/>
          <w:highlight w:val="none"/>
        </w:rPr>
      </w:pPr>
    </w:p>
    <w:p w14:paraId="36F18857">
      <w:pPr>
        <w:rPr>
          <w:color w:val="auto"/>
          <w:highlight w:val="none"/>
        </w:rPr>
      </w:pPr>
    </w:p>
    <w:p w14:paraId="6B08461F">
      <w:pPr>
        <w:rPr>
          <w:color w:val="auto"/>
          <w:highlight w:val="none"/>
        </w:rPr>
      </w:pPr>
    </w:p>
    <w:p w14:paraId="37770F45">
      <w:pPr>
        <w:rPr>
          <w:color w:val="auto"/>
          <w:highlight w:val="none"/>
        </w:rPr>
      </w:pPr>
    </w:p>
    <w:p w14:paraId="6D919538">
      <w:pPr>
        <w:rPr>
          <w:color w:val="auto"/>
          <w:highlight w:val="none"/>
        </w:rPr>
      </w:pPr>
    </w:p>
    <w:p w14:paraId="0516664E">
      <w:pPr>
        <w:rPr>
          <w:color w:val="auto"/>
          <w:highlight w:val="none"/>
        </w:rPr>
      </w:pPr>
    </w:p>
    <w:p w14:paraId="475F739C">
      <w:pPr>
        <w:spacing w:line="360" w:lineRule="auto"/>
        <w:ind w:right="420" w:firstLine="4095" w:firstLineChars="1950"/>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供应商：</w:t>
      </w:r>
      <w:r>
        <w:rPr>
          <w:rFonts w:hint="eastAsia" w:cs="仿宋_GB2312"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电子签章</w:t>
      </w:r>
      <w:r>
        <w:rPr>
          <w:rFonts w:hint="eastAsia" w:cs="仿宋_GB2312" w:asciiTheme="minorEastAsia" w:hAnsiTheme="minorEastAsia" w:eastAsiaTheme="minorEastAsia"/>
          <w:color w:val="auto"/>
          <w:szCs w:val="21"/>
          <w:highlight w:val="none"/>
          <w:u w:val="single"/>
        </w:rPr>
        <w:t>）</w:t>
      </w:r>
    </w:p>
    <w:p w14:paraId="33E30722">
      <w:pPr>
        <w:wordWrap w:val="0"/>
        <w:spacing w:line="360" w:lineRule="auto"/>
        <w:ind w:right="420" w:firstLine="4095" w:firstLineChars="1950"/>
        <w:jc w:val="left"/>
        <w:rPr>
          <w:rFonts w:hint="eastAsia" w:cs="仿宋_GB2312"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rPr>
        <w:t>法定代表人：</w:t>
      </w:r>
      <w:r>
        <w:rPr>
          <w:rFonts w:hint="eastAsia" w:cs="仿宋_GB2312" w:asciiTheme="minorEastAsia" w:hAnsiTheme="minorEastAsia" w:eastAsiaTheme="minorEastAsia"/>
          <w:color w:val="auto"/>
          <w:szCs w:val="21"/>
          <w:highlight w:val="none"/>
          <w:u w:val="single"/>
        </w:rPr>
        <w:t xml:space="preserve">           </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cs="仿宋_GB2312" w:asciiTheme="minorEastAsia" w:hAnsiTheme="minorEastAsia" w:eastAsiaTheme="minorEastAsia"/>
          <w:color w:val="auto"/>
          <w:szCs w:val="21"/>
          <w:highlight w:val="none"/>
          <w:u w:val="single"/>
        </w:rPr>
        <w:t>）</w:t>
      </w:r>
    </w:p>
    <w:p w14:paraId="27956690">
      <w:pPr>
        <w:wordWrap w:val="0"/>
        <w:spacing w:line="360" w:lineRule="auto"/>
        <w:ind w:right="464" w:firstLine="4095" w:firstLineChars="1950"/>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身份证号码：</w:t>
      </w:r>
      <w:r>
        <w:rPr>
          <w:rFonts w:hint="eastAsia" w:cs="仿宋_GB2312" w:asciiTheme="minorEastAsia" w:hAnsiTheme="minorEastAsia" w:eastAsiaTheme="minorEastAsia"/>
          <w:color w:val="auto"/>
          <w:szCs w:val="21"/>
          <w:highlight w:val="none"/>
          <w:u w:val="single"/>
        </w:rPr>
        <w:t xml:space="preserve">                         </w:t>
      </w:r>
    </w:p>
    <w:p w14:paraId="298C7988">
      <w:pPr>
        <w:wordWrap w:val="0"/>
        <w:spacing w:line="360" w:lineRule="auto"/>
        <w:ind w:right="420" w:firstLine="4095" w:firstLineChars="1950"/>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授权委托人：</w:t>
      </w:r>
      <w:r>
        <w:rPr>
          <w:rFonts w:hint="eastAsia" w:cs="仿宋_GB2312" w:asciiTheme="minorEastAsia" w:hAnsiTheme="minorEastAsia" w:eastAsiaTheme="minorEastAsia"/>
          <w:color w:val="auto"/>
          <w:szCs w:val="21"/>
          <w:highlight w:val="none"/>
          <w:u w:val="single"/>
        </w:rPr>
        <w:t xml:space="preserve">                 </w:t>
      </w:r>
      <w:r>
        <w:rPr>
          <w:rFonts w:cs="仿宋_GB2312" w:asciiTheme="minorEastAsia" w:hAnsiTheme="minorEastAsia" w:eastAsiaTheme="minorEastAsia"/>
          <w:color w:val="auto"/>
          <w:szCs w:val="21"/>
          <w:highlight w:val="none"/>
          <w:u w:val="single"/>
        </w:rPr>
        <w:t xml:space="preserve">        </w:t>
      </w:r>
    </w:p>
    <w:p w14:paraId="0D1F1A5F">
      <w:pPr>
        <w:wordWrap w:val="0"/>
        <w:spacing w:line="360" w:lineRule="auto"/>
        <w:ind w:right="464" w:firstLine="4095" w:firstLineChars="1950"/>
        <w:jc w:val="left"/>
        <w:rPr>
          <w:rFonts w:hint="eastAsia" w:cs="仿宋_GB2312"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rPr>
        <w:t>身份证号码：</w:t>
      </w:r>
      <w:r>
        <w:rPr>
          <w:rFonts w:hint="eastAsia" w:cs="仿宋_GB2312" w:asciiTheme="minorEastAsia" w:hAnsiTheme="minorEastAsia" w:eastAsiaTheme="minorEastAsia"/>
          <w:color w:val="auto"/>
          <w:szCs w:val="21"/>
          <w:highlight w:val="none"/>
          <w:u w:val="single"/>
        </w:rPr>
        <w:t xml:space="preserve">                         </w:t>
      </w:r>
    </w:p>
    <w:p w14:paraId="7D435851">
      <w:pPr>
        <w:wordWrap w:val="0"/>
        <w:spacing w:line="360" w:lineRule="auto"/>
        <w:ind w:right="464" w:firstLine="4095" w:firstLineChars="1950"/>
        <w:jc w:val="left"/>
        <w:rPr>
          <w:rFonts w:hint="eastAsia" w:cs="仿宋_GB2312"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1BA02945">
      <w:pPr>
        <w:spacing w:before="60" w:after="60" w:line="360" w:lineRule="auto"/>
        <w:ind w:right="840"/>
        <w:jc w:val="center"/>
        <w:rPr>
          <w:rFonts w:hint="eastAsia" w:asciiTheme="minorEastAsia" w:hAnsiTheme="minorEastAsia" w:eastAsiaTheme="minorEastAsia"/>
          <w:color w:val="auto"/>
          <w:szCs w:val="21"/>
          <w:highlight w:val="none"/>
        </w:rPr>
      </w:pPr>
    </w:p>
    <w:p w14:paraId="6A5BE9B2">
      <w:pPr>
        <w:spacing w:line="360" w:lineRule="auto"/>
        <w:ind w:right="420"/>
        <w:rPr>
          <w:rFonts w:hint="eastAsia" w:cs="仿宋_GB2312" w:asciiTheme="minorEastAsia" w:hAnsiTheme="minorEastAsia" w:eastAsiaTheme="minorEastAsia"/>
          <w:b/>
          <w:color w:val="auto"/>
          <w:szCs w:val="21"/>
          <w:highlight w:val="none"/>
        </w:rPr>
      </w:pPr>
    </w:p>
    <w:p w14:paraId="63214341">
      <w:pPr>
        <w:spacing w:line="360" w:lineRule="auto"/>
        <w:ind w:right="420" w:firstLine="422" w:firstLineChars="200"/>
        <w:rPr>
          <w:rFonts w:hint="eastAsia"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注：1.如供应商由法定代表人亲自签署响应文件并参与相关活动，则不需要办理授权；如有被授权的代理人签署上述文件，则必须按本格式规定填报并提交授权书，否则被授权的代理人将不被认可。</w:t>
      </w:r>
    </w:p>
    <w:p w14:paraId="0E1DFC8B">
      <w:pPr>
        <w:spacing w:line="360" w:lineRule="auto"/>
        <w:ind w:right="420" w:firstLine="738" w:firstLineChars="350"/>
        <w:rPr>
          <w:rFonts w:hint="eastAsia"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2.本授权委托书配合法定代表人身份证明使用方可生效。</w:t>
      </w:r>
    </w:p>
    <w:p w14:paraId="6C4037F9">
      <w:pPr>
        <w:pStyle w:val="5"/>
        <w:spacing w:line="360" w:lineRule="auto"/>
        <w:ind w:firstLine="0"/>
        <w:rPr>
          <w:rFonts w:hint="eastAsia" w:asciiTheme="minorEastAsia" w:hAnsiTheme="minorEastAsia" w:eastAsiaTheme="minorEastAsia"/>
          <w:color w:val="auto"/>
          <w:highlight w:val="none"/>
        </w:rPr>
        <w:sectPr>
          <w:pgSz w:w="11906" w:h="16838"/>
          <w:pgMar w:top="1157" w:right="1474" w:bottom="1157" w:left="1474" w:header="510" w:footer="850" w:gutter="0"/>
          <w:cols w:space="0" w:num="1"/>
          <w:rtlGutter w:val="0"/>
          <w:docGrid w:linePitch="312" w:charSpace="0"/>
        </w:sectPr>
      </w:pPr>
    </w:p>
    <w:p w14:paraId="2CA22D66">
      <w:pPr>
        <w:spacing w:line="360" w:lineRule="auto"/>
        <w:jc w:val="center"/>
        <w:outlineLvl w:val="2"/>
        <w:rPr>
          <w:rFonts w:hint="eastAsia" w:asciiTheme="minorEastAsia" w:hAnsiTheme="minorEastAsia" w:eastAsiaTheme="minorEastAsia"/>
          <w:b/>
          <w:color w:val="auto"/>
          <w:sz w:val="28"/>
          <w:szCs w:val="28"/>
          <w:highlight w:val="none"/>
        </w:rPr>
      </w:pPr>
      <w:bookmarkStart w:id="1178" w:name="_Toc2591"/>
      <w:bookmarkStart w:id="1179" w:name="_Toc116584077"/>
      <w:r>
        <w:rPr>
          <w:rFonts w:hint="eastAsia" w:asciiTheme="minorEastAsia" w:hAnsiTheme="minorEastAsia" w:eastAsiaTheme="minorEastAsia"/>
          <w:b/>
          <w:color w:val="auto"/>
          <w:sz w:val="28"/>
          <w:szCs w:val="28"/>
          <w:highlight w:val="none"/>
        </w:rPr>
        <w:t>（三）供应商承诺</w:t>
      </w:r>
      <w:r>
        <w:rPr>
          <w:rFonts w:asciiTheme="minorEastAsia" w:hAnsiTheme="minorEastAsia" w:eastAsiaTheme="minorEastAsia"/>
          <w:b/>
          <w:color w:val="auto"/>
          <w:sz w:val="28"/>
          <w:szCs w:val="28"/>
          <w:highlight w:val="none"/>
        </w:rPr>
        <w:t>书</w:t>
      </w:r>
      <w:bookmarkEnd w:id="1178"/>
      <w:bookmarkEnd w:id="1179"/>
    </w:p>
    <w:p w14:paraId="64B469FC">
      <w:pPr>
        <w:pStyle w:val="135"/>
        <w:spacing w:line="360" w:lineRule="auto"/>
        <w:ind w:firstLine="420" w:firstLineChars="200"/>
        <w:rPr>
          <w:rFonts w:hint="eastAsia" w:asciiTheme="minorEastAsia" w:hAnsiTheme="minorEastAsia" w:eastAsiaTheme="minorEastAsia"/>
          <w:color w:val="auto"/>
          <w:highlight w:val="none"/>
          <w:lang w:val="zh-CN"/>
        </w:rPr>
      </w:pPr>
    </w:p>
    <w:p w14:paraId="7852D0C5">
      <w:pPr>
        <w:pStyle w:val="135"/>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我方</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u w:val="single"/>
        </w:rPr>
        <w:t xml:space="preserve">（供应商名称）   </w:t>
      </w:r>
      <w:r>
        <w:rPr>
          <w:rFonts w:hint="eastAsia" w:asciiTheme="minorEastAsia" w:hAnsiTheme="minorEastAsia" w:eastAsiaTheme="minorEastAsia"/>
          <w:color w:val="auto"/>
          <w:highlight w:val="none"/>
          <w:lang w:val="zh-CN"/>
        </w:rPr>
        <w:t>参与</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highlight w:val="none"/>
          <w:u w:val="single"/>
          <w:lang w:val="zh-CN"/>
        </w:rPr>
        <w:t xml:space="preserve">项目名称） </w:t>
      </w:r>
      <w:r>
        <w:rPr>
          <w:rFonts w:asciiTheme="minorEastAsia" w:hAnsiTheme="minorEastAsia" w:eastAsiaTheme="minorEastAsia"/>
          <w:color w:val="auto"/>
          <w:highlight w:val="none"/>
          <w:u w:val="single"/>
          <w:lang w:val="zh-CN"/>
        </w:rPr>
        <w:t xml:space="preserve">  </w:t>
      </w:r>
      <w:r>
        <w:rPr>
          <w:rFonts w:hint="eastAsia" w:asciiTheme="minorEastAsia" w:hAnsiTheme="minorEastAsia" w:eastAsiaTheme="minorEastAsia"/>
          <w:color w:val="auto"/>
          <w:highlight w:val="none"/>
          <w:lang w:val="zh-CN"/>
        </w:rPr>
        <w:t>的竞争性谈判，现作如下承诺：</w:t>
      </w:r>
    </w:p>
    <w:p w14:paraId="1C2008CF">
      <w:pPr>
        <w:pStyle w:val="135"/>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1.我方参与此次谈判活动所提交的所有资料都是合法、真实、有效的。</w:t>
      </w:r>
    </w:p>
    <w:p w14:paraId="13FEAEC4">
      <w:pPr>
        <w:pStyle w:val="135"/>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2.不与其他</w:t>
      </w: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color w:val="auto"/>
          <w:highlight w:val="none"/>
          <w:lang w:val="zh-CN"/>
        </w:rPr>
        <w:t>串通谈判、围标，依法、依规公平竞争，不损害采购人或其他供应商的合法权益。</w:t>
      </w:r>
    </w:p>
    <w:p w14:paraId="2C834635">
      <w:pPr>
        <w:pStyle w:val="135"/>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3.不转让、出租、出借资质证书、人员岗位证书，不以法律、法规禁止的方式谈判。</w:t>
      </w:r>
    </w:p>
    <w:p w14:paraId="43293127">
      <w:pPr>
        <w:pStyle w:val="135"/>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4.不与采购人或集中采购机构串通谈判，不损害国家利益、社会公共利益或其他当事人的合法权益。</w:t>
      </w:r>
    </w:p>
    <w:p w14:paraId="1E4F6D1A">
      <w:pPr>
        <w:pStyle w:val="135"/>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5.不向采购人、谈判小组成员、监督人员行贿。</w:t>
      </w:r>
    </w:p>
    <w:p w14:paraId="6819404E">
      <w:pPr>
        <w:pStyle w:val="135"/>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6.不扰乱交易活动正常秩序。</w:t>
      </w:r>
    </w:p>
    <w:p w14:paraId="2BC4E394">
      <w:pPr>
        <w:pStyle w:val="135"/>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7.不进行虚假恶意投诉。</w:t>
      </w:r>
    </w:p>
    <w:p w14:paraId="3B5B662E">
      <w:pPr>
        <w:pStyle w:val="135"/>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8.因违反法律、法规或相关规定被查处的，不干预案件查处。</w:t>
      </w:r>
    </w:p>
    <w:p w14:paraId="3C6BBC24">
      <w:pPr>
        <w:pStyle w:val="135"/>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如出现违法、违规或不良行为，甘愿接受监督管理部门、纪检监察机关或司法机关调查处理。违法、违规或不良行为事实成立的，我方承担相关责任。给采购人造成损失的，依法承担赔偿责任。</w:t>
      </w:r>
    </w:p>
    <w:p w14:paraId="0C1D8B38">
      <w:pPr>
        <w:pStyle w:val="135"/>
        <w:spacing w:line="360" w:lineRule="auto"/>
        <w:ind w:firstLine="420" w:firstLineChars="200"/>
        <w:rPr>
          <w:rFonts w:hint="eastAsia" w:asciiTheme="minorEastAsia" w:hAnsiTheme="minorEastAsia" w:eastAsiaTheme="minorEastAsia"/>
          <w:color w:val="auto"/>
          <w:highlight w:val="none"/>
          <w:lang w:val="zh-CN"/>
        </w:rPr>
      </w:pPr>
    </w:p>
    <w:p w14:paraId="6472AA86">
      <w:pPr>
        <w:pStyle w:val="135"/>
        <w:spacing w:line="360" w:lineRule="auto"/>
        <w:ind w:firstLine="420" w:firstLineChars="200"/>
        <w:rPr>
          <w:rFonts w:hint="eastAsia" w:asciiTheme="minorEastAsia" w:hAnsiTheme="minorEastAsia" w:eastAsiaTheme="minorEastAsia"/>
          <w:color w:val="auto"/>
          <w:highlight w:val="none"/>
          <w:lang w:val="zh-CN"/>
        </w:rPr>
      </w:pPr>
    </w:p>
    <w:p w14:paraId="1E04C5F3">
      <w:pPr>
        <w:pStyle w:val="135"/>
        <w:spacing w:line="360" w:lineRule="auto"/>
        <w:rPr>
          <w:rFonts w:hint="eastAsia" w:asciiTheme="minorEastAsia" w:hAnsiTheme="minorEastAsia" w:eastAsiaTheme="minorEastAsia"/>
          <w:color w:val="auto"/>
          <w:highlight w:val="none"/>
          <w:lang w:val="zh-CN"/>
        </w:rPr>
      </w:pPr>
    </w:p>
    <w:p w14:paraId="382ACB00">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asciiTheme="minorEastAsia" w:hAnsiTheme="minorEastAsia" w:eastAsiaTheme="minorEastAsia"/>
          <w:bCs/>
          <w:color w:val="auto"/>
          <w:szCs w:val="21"/>
          <w:highlight w:val="none"/>
          <w:u w:val="single"/>
        </w:rPr>
        <w:t>）</w:t>
      </w:r>
    </w:p>
    <w:p w14:paraId="5CBAA307">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法定代表人：</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 xml:space="preserve"> (电子签章)</w:t>
      </w:r>
      <w:r>
        <w:rPr>
          <w:rFonts w:asciiTheme="minorEastAsia" w:hAnsiTheme="minorEastAsia" w:eastAsiaTheme="minorEastAsia"/>
          <w:bCs/>
          <w:color w:val="auto"/>
          <w:szCs w:val="21"/>
          <w:highlight w:val="none"/>
          <w:u w:val="single"/>
        </w:rPr>
        <w:t xml:space="preserve"> </w:t>
      </w:r>
    </w:p>
    <w:p w14:paraId="7F0D302F">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日 期：</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年</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月</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日</w:t>
      </w:r>
    </w:p>
    <w:p w14:paraId="5D8AB8C5">
      <w:pPr>
        <w:pStyle w:val="5"/>
        <w:spacing w:line="360" w:lineRule="auto"/>
        <w:ind w:firstLine="0"/>
        <w:rPr>
          <w:rFonts w:hint="eastAsia" w:asciiTheme="minorEastAsia" w:hAnsiTheme="minorEastAsia" w:eastAsiaTheme="minorEastAsia"/>
          <w:color w:val="auto"/>
          <w:highlight w:val="none"/>
        </w:rPr>
        <w:sectPr>
          <w:pgSz w:w="11906" w:h="16838"/>
          <w:pgMar w:top="1157" w:right="1474" w:bottom="1157" w:left="1474" w:header="510" w:footer="850" w:gutter="0"/>
          <w:cols w:space="0" w:num="1"/>
          <w:rtlGutter w:val="0"/>
          <w:docGrid w:linePitch="312" w:charSpace="0"/>
        </w:sectPr>
      </w:pPr>
    </w:p>
    <w:bookmarkEnd w:id="1168"/>
    <w:bookmarkEnd w:id="1169"/>
    <w:p w14:paraId="3AF9CB73">
      <w:pPr>
        <w:spacing w:line="360" w:lineRule="auto"/>
        <w:jc w:val="center"/>
        <w:outlineLvl w:val="2"/>
        <w:rPr>
          <w:rFonts w:hint="eastAsia" w:asciiTheme="minorEastAsia" w:hAnsiTheme="minorEastAsia" w:eastAsiaTheme="minorEastAsia"/>
          <w:b/>
          <w:color w:val="auto"/>
          <w:sz w:val="28"/>
          <w:szCs w:val="28"/>
          <w:highlight w:val="none"/>
        </w:rPr>
      </w:pPr>
      <w:bookmarkStart w:id="1180" w:name="_Toc103579236"/>
      <w:bookmarkStart w:id="1181" w:name="_Toc91516421"/>
      <w:bookmarkStart w:id="1182" w:name="_Toc103586119"/>
      <w:bookmarkStart w:id="1183" w:name="_Toc45976970"/>
      <w:bookmarkStart w:id="1184" w:name="_Toc110405209"/>
      <w:bookmarkStart w:id="1185" w:name="_Toc103586010"/>
      <w:bookmarkStart w:id="1186" w:name="_Toc65244969"/>
      <w:bookmarkStart w:id="1187" w:name="_Toc56502683"/>
      <w:bookmarkStart w:id="1188" w:name="_Toc89820110"/>
      <w:bookmarkStart w:id="1189" w:name="_Toc77683060"/>
      <w:bookmarkStart w:id="1190" w:name="_Toc20609"/>
      <w:bookmarkStart w:id="1191" w:name="_Toc116584080"/>
      <w:bookmarkStart w:id="1192" w:name="_Toc19381"/>
      <w:bookmarkStart w:id="1193" w:name="_Toc109809397"/>
      <w:r>
        <w:rPr>
          <w:rFonts w:hint="eastAsia" w:asciiTheme="minorEastAsia" w:hAnsiTheme="minorEastAsia" w:eastAsiaTheme="minorEastAsia"/>
          <w:b/>
          <w:color w:val="auto"/>
          <w:sz w:val="28"/>
          <w:szCs w:val="28"/>
          <w:highlight w:val="none"/>
        </w:rPr>
        <w:t>（四）</w:t>
      </w:r>
      <w:bookmarkEnd w:id="1180"/>
      <w:bookmarkEnd w:id="1181"/>
      <w:bookmarkEnd w:id="1182"/>
      <w:bookmarkEnd w:id="1183"/>
      <w:bookmarkEnd w:id="1184"/>
      <w:bookmarkEnd w:id="1185"/>
      <w:bookmarkEnd w:id="1186"/>
      <w:bookmarkEnd w:id="1187"/>
      <w:bookmarkEnd w:id="1188"/>
      <w:bookmarkEnd w:id="1189"/>
      <w:bookmarkStart w:id="1194" w:name="_Toc516246160"/>
      <w:bookmarkStart w:id="1195" w:name="_Toc513923170"/>
      <w:bookmarkStart w:id="1196" w:name="_Toc364244845"/>
      <w:bookmarkStart w:id="1197" w:name="_Toc419473139"/>
      <w:bookmarkStart w:id="1198" w:name="_Toc330828144"/>
      <w:r>
        <w:rPr>
          <w:rFonts w:hint="eastAsia" w:asciiTheme="minorEastAsia" w:hAnsiTheme="minorEastAsia" w:eastAsiaTheme="minorEastAsia"/>
          <w:b/>
          <w:color w:val="auto"/>
          <w:sz w:val="28"/>
          <w:szCs w:val="28"/>
          <w:highlight w:val="none"/>
        </w:rPr>
        <w:t>谈判报价</w:t>
      </w:r>
      <w:bookmarkEnd w:id="1190"/>
      <w:bookmarkEnd w:id="1191"/>
      <w:bookmarkEnd w:id="1192"/>
      <w:bookmarkEnd w:id="1194"/>
      <w:bookmarkEnd w:id="1195"/>
    </w:p>
    <w:p w14:paraId="1BFEE148">
      <w:pPr>
        <w:spacing w:line="360" w:lineRule="auto"/>
        <w:jc w:val="center"/>
        <w:outlineLvl w:val="3"/>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w:t>
      </w:r>
      <w:r>
        <w:rPr>
          <w:rFonts w:asciiTheme="minorEastAsia" w:hAnsiTheme="minorEastAsia" w:eastAsiaTheme="minorEastAsia"/>
          <w:b/>
          <w:color w:val="auto"/>
          <w:sz w:val="28"/>
          <w:szCs w:val="28"/>
          <w:highlight w:val="none"/>
        </w:rPr>
        <w:t>.</w:t>
      </w:r>
      <w:r>
        <w:rPr>
          <w:rFonts w:hint="eastAsia" w:asciiTheme="minorEastAsia" w:hAnsiTheme="minorEastAsia" w:eastAsiaTheme="minorEastAsia"/>
          <w:b/>
          <w:color w:val="auto"/>
          <w:sz w:val="28"/>
          <w:szCs w:val="28"/>
          <w:highlight w:val="none"/>
        </w:rPr>
        <w:t>报价一览表</w:t>
      </w:r>
    </w:p>
    <w:bookmarkEnd w:id="1196"/>
    <w:bookmarkEnd w:id="1197"/>
    <w:bookmarkEnd w:id="1198"/>
    <w:tbl>
      <w:tblPr>
        <w:tblStyle w:val="5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371"/>
      </w:tblGrid>
      <w:tr w14:paraId="4BDD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980" w:type="dxa"/>
            <w:vAlign w:val="center"/>
          </w:tcPr>
          <w:p w14:paraId="1C154D37">
            <w:pPr>
              <w:spacing w:before="120" w:line="360" w:lineRule="auto"/>
              <w:jc w:val="center"/>
              <w:rPr>
                <w:rFonts w:hint="eastAsia" w:ascii="宋体" w:hAnsi="宋体"/>
                <w:color w:val="auto"/>
                <w:szCs w:val="21"/>
                <w:highlight w:val="none"/>
              </w:rPr>
            </w:pPr>
            <w:r>
              <w:rPr>
                <w:rFonts w:hint="eastAsia" w:ascii="宋体" w:hAnsi="宋体"/>
                <w:color w:val="auto"/>
                <w:szCs w:val="21"/>
                <w:highlight w:val="none"/>
              </w:rPr>
              <w:t>供应商名称</w:t>
            </w:r>
          </w:p>
        </w:tc>
        <w:tc>
          <w:tcPr>
            <w:tcW w:w="7371" w:type="dxa"/>
            <w:vAlign w:val="center"/>
          </w:tcPr>
          <w:p w14:paraId="78400A73">
            <w:pPr>
              <w:spacing w:before="120" w:after="120" w:line="360" w:lineRule="auto"/>
              <w:jc w:val="center"/>
              <w:rPr>
                <w:rFonts w:hint="eastAsia" w:ascii="宋体" w:hAnsi="宋体"/>
                <w:color w:val="auto"/>
                <w:szCs w:val="21"/>
                <w:highlight w:val="none"/>
              </w:rPr>
            </w:pPr>
          </w:p>
        </w:tc>
      </w:tr>
      <w:tr w14:paraId="0185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80" w:type="dxa"/>
            <w:vMerge w:val="restart"/>
            <w:vAlign w:val="center"/>
          </w:tcPr>
          <w:p w14:paraId="15D9A321">
            <w:pPr>
              <w:spacing w:before="120" w:line="360" w:lineRule="auto"/>
              <w:jc w:val="center"/>
              <w:rPr>
                <w:rFonts w:hint="eastAsia" w:ascii="宋体" w:hAnsi="宋体"/>
                <w:color w:val="auto"/>
                <w:szCs w:val="21"/>
                <w:highlight w:val="none"/>
              </w:rPr>
            </w:pPr>
            <w:r>
              <w:rPr>
                <w:rFonts w:hint="eastAsia" w:ascii="宋体" w:hAnsi="宋体"/>
                <w:color w:val="auto"/>
                <w:szCs w:val="21"/>
                <w:highlight w:val="none"/>
              </w:rPr>
              <w:t>谈判报价</w:t>
            </w:r>
          </w:p>
        </w:tc>
        <w:tc>
          <w:tcPr>
            <w:tcW w:w="7371" w:type="dxa"/>
            <w:vAlign w:val="center"/>
          </w:tcPr>
          <w:p w14:paraId="5953DE56">
            <w:pPr>
              <w:spacing w:before="240" w:after="120" w:line="360" w:lineRule="auto"/>
              <w:rPr>
                <w:rFonts w:hint="eastAsia" w:ascii="宋体" w:hAnsi="宋体"/>
                <w:color w:val="auto"/>
                <w:szCs w:val="21"/>
                <w:highlight w:val="none"/>
              </w:rPr>
            </w:pPr>
            <w:r>
              <w:rPr>
                <w:rFonts w:hint="eastAsia" w:ascii="宋体" w:hAnsi="宋体"/>
                <w:color w:val="auto"/>
                <w:szCs w:val="21"/>
                <w:highlight w:val="none"/>
              </w:rPr>
              <w:t>小写：</w:t>
            </w:r>
          </w:p>
        </w:tc>
      </w:tr>
      <w:tr w14:paraId="6394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980" w:type="dxa"/>
            <w:vMerge w:val="continue"/>
            <w:vAlign w:val="center"/>
          </w:tcPr>
          <w:p w14:paraId="7719D892">
            <w:pPr>
              <w:spacing w:before="120" w:after="120" w:line="360" w:lineRule="auto"/>
              <w:jc w:val="center"/>
              <w:rPr>
                <w:rFonts w:hint="eastAsia" w:ascii="宋体" w:hAnsi="宋体"/>
                <w:color w:val="auto"/>
                <w:szCs w:val="21"/>
                <w:highlight w:val="none"/>
              </w:rPr>
            </w:pPr>
          </w:p>
        </w:tc>
        <w:tc>
          <w:tcPr>
            <w:tcW w:w="7371" w:type="dxa"/>
            <w:vAlign w:val="center"/>
          </w:tcPr>
          <w:p w14:paraId="359656FF">
            <w:pPr>
              <w:spacing w:before="240" w:after="120" w:line="360" w:lineRule="auto"/>
              <w:rPr>
                <w:rFonts w:hint="eastAsia" w:ascii="宋体" w:hAnsi="宋体"/>
                <w:color w:val="auto"/>
                <w:szCs w:val="21"/>
                <w:highlight w:val="none"/>
              </w:rPr>
            </w:pPr>
            <w:r>
              <w:rPr>
                <w:rFonts w:hint="eastAsia" w:ascii="宋体" w:hAnsi="宋体"/>
                <w:color w:val="auto"/>
                <w:szCs w:val="21"/>
                <w:highlight w:val="none"/>
              </w:rPr>
              <w:t>大写：</w:t>
            </w:r>
          </w:p>
        </w:tc>
      </w:tr>
      <w:tr w14:paraId="3C2B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9351" w:type="dxa"/>
            <w:gridSpan w:val="2"/>
            <w:vAlign w:val="center"/>
          </w:tcPr>
          <w:p w14:paraId="1D0DF991">
            <w:pPr>
              <w:spacing w:before="120" w:after="120" w:line="360" w:lineRule="auto"/>
              <w:rPr>
                <w:rFonts w:hint="eastAsia" w:ascii="宋体" w:hAnsi="宋体"/>
                <w:color w:val="auto"/>
                <w:szCs w:val="21"/>
                <w:highlight w:val="none"/>
              </w:rPr>
            </w:pPr>
            <w:r>
              <w:rPr>
                <w:rFonts w:hint="eastAsia" w:ascii="宋体" w:hAnsi="宋体"/>
                <w:color w:val="auto"/>
                <w:szCs w:val="21"/>
                <w:highlight w:val="none"/>
              </w:rPr>
              <w:t>供应商（签章）：</w:t>
            </w:r>
          </w:p>
        </w:tc>
      </w:tr>
      <w:tr w14:paraId="72FD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9351" w:type="dxa"/>
            <w:gridSpan w:val="2"/>
            <w:vAlign w:val="bottom"/>
          </w:tcPr>
          <w:p w14:paraId="7AE41EC4">
            <w:pPr>
              <w:spacing w:before="120" w:after="120" w:line="360" w:lineRule="auto"/>
              <w:ind w:right="480"/>
              <w:rPr>
                <w:rFonts w:hint="eastAsia" w:ascii="宋体" w:hAnsi="宋体"/>
                <w:color w:val="auto"/>
                <w:szCs w:val="21"/>
                <w:highlight w:val="none"/>
              </w:rPr>
            </w:pPr>
            <w:r>
              <w:rPr>
                <w:rFonts w:hint="eastAsia" w:ascii="宋体" w:hAnsi="宋体"/>
                <w:color w:val="auto"/>
                <w:szCs w:val="21"/>
                <w:highlight w:val="none"/>
              </w:rPr>
              <w:t>法定代表人或授权代理人（签章）：</w:t>
            </w:r>
          </w:p>
          <w:p w14:paraId="1C7D4FBF">
            <w:pPr>
              <w:spacing w:before="120" w:after="120" w:line="360" w:lineRule="auto"/>
              <w:jc w:val="right"/>
              <w:rPr>
                <w:rFonts w:hint="eastAsia" w:ascii="宋体" w:hAnsi="宋体"/>
                <w:color w:val="auto"/>
                <w:szCs w:val="21"/>
                <w:highlight w:val="none"/>
              </w:rPr>
            </w:pPr>
          </w:p>
          <w:p w14:paraId="0E6926AF">
            <w:pPr>
              <w:spacing w:before="120" w:after="120" w:line="360" w:lineRule="auto"/>
              <w:jc w:val="right"/>
              <w:rPr>
                <w:rFonts w:hint="eastAsia" w:ascii="宋体" w:hAnsi="宋体"/>
                <w:color w:val="auto"/>
                <w:szCs w:val="21"/>
                <w:highlight w:val="none"/>
              </w:rPr>
            </w:pPr>
            <w:r>
              <w:rPr>
                <w:rFonts w:hint="eastAsia" w:ascii="宋体" w:hAnsi="宋体"/>
                <w:color w:val="auto"/>
                <w:szCs w:val="21"/>
                <w:highlight w:val="none"/>
              </w:rPr>
              <w:t>日 期：    年    月    日</w:t>
            </w:r>
          </w:p>
        </w:tc>
      </w:tr>
      <w:bookmarkEnd w:id="1193"/>
    </w:tbl>
    <w:p w14:paraId="508BFB4E">
      <w:pPr>
        <w:widowControl/>
        <w:spacing w:line="360" w:lineRule="auto"/>
        <w:jc w:val="left"/>
        <w:rPr>
          <w:rFonts w:hint="eastAsia" w:asciiTheme="minorEastAsia" w:hAnsiTheme="minorEastAsia" w:eastAsiaTheme="minorEastAsia"/>
          <w:b/>
          <w:color w:val="auto"/>
          <w:sz w:val="28"/>
          <w:szCs w:val="28"/>
          <w:highlight w:val="none"/>
        </w:rPr>
      </w:pPr>
      <w:bookmarkStart w:id="1199" w:name="_Toc69678493"/>
      <w:bookmarkStart w:id="1200" w:name="_Toc53412280"/>
      <w:bookmarkStart w:id="1201" w:name="_Toc45976972"/>
      <w:bookmarkStart w:id="1202" w:name="_Toc81331011"/>
      <w:bookmarkStart w:id="1203" w:name="_Toc42205064"/>
      <w:bookmarkStart w:id="1204" w:name="_Toc75783596"/>
      <w:bookmarkStart w:id="1205" w:name="_Toc38173197"/>
      <w:bookmarkStart w:id="1206" w:name="_Toc31603098"/>
      <w:r>
        <w:rPr>
          <w:rFonts w:cs="仿宋_GB2312" w:asciiTheme="minorEastAsia" w:hAnsiTheme="minorEastAsia" w:eastAsiaTheme="minorEastAsia"/>
          <w:color w:val="auto"/>
          <w:szCs w:val="21"/>
          <w:highlight w:val="none"/>
        </w:rPr>
        <w:br w:type="page"/>
      </w:r>
    </w:p>
    <w:p w14:paraId="565E1A03">
      <w:pPr>
        <w:spacing w:line="360" w:lineRule="auto"/>
        <w:jc w:val="center"/>
        <w:outlineLvl w:val="3"/>
        <w:rPr>
          <w:rFonts w:hint="eastAsia" w:asciiTheme="minorEastAsia" w:hAnsiTheme="minorEastAsia" w:eastAsiaTheme="minorEastAsia"/>
          <w:b/>
          <w:color w:val="auto"/>
          <w:sz w:val="28"/>
          <w:szCs w:val="28"/>
          <w:highlight w:val="none"/>
        </w:rPr>
      </w:pPr>
      <w:bookmarkStart w:id="1207" w:name="_Toc98865077"/>
      <w:bookmarkStart w:id="1208" w:name="_Toc116584082"/>
      <w:bookmarkStart w:id="1209" w:name="_Toc109809391"/>
      <w:bookmarkStart w:id="1210" w:name="_Toc3268"/>
      <w:bookmarkStart w:id="1211" w:name="_Toc110405211"/>
      <w:r>
        <w:rPr>
          <w:rFonts w:hint="eastAsia" w:asciiTheme="minorEastAsia" w:hAnsiTheme="minorEastAsia" w:eastAsiaTheme="minorEastAsia"/>
          <w:b/>
          <w:color w:val="auto"/>
          <w:sz w:val="28"/>
          <w:szCs w:val="28"/>
          <w:highlight w:val="none"/>
        </w:rPr>
        <w:t>2</w:t>
      </w:r>
      <w:r>
        <w:rPr>
          <w:rFonts w:asciiTheme="minorEastAsia" w:hAnsiTheme="minorEastAsia" w:eastAsiaTheme="minorEastAsia"/>
          <w:b/>
          <w:color w:val="auto"/>
          <w:sz w:val="28"/>
          <w:szCs w:val="28"/>
          <w:highlight w:val="none"/>
        </w:rPr>
        <w:t>.</w:t>
      </w:r>
      <w:r>
        <w:rPr>
          <w:rFonts w:hint="eastAsia" w:asciiTheme="minorEastAsia" w:hAnsiTheme="minorEastAsia" w:eastAsiaTheme="minorEastAsia"/>
          <w:b/>
          <w:color w:val="auto"/>
          <w:sz w:val="28"/>
          <w:szCs w:val="28"/>
          <w:highlight w:val="none"/>
        </w:rPr>
        <w:t>中小企业声明函</w:t>
      </w:r>
    </w:p>
    <w:p w14:paraId="7318B8C8">
      <w:pPr>
        <w:spacing w:line="360" w:lineRule="auto"/>
        <w:ind w:firstLine="444" w:firstLineChars="200"/>
        <w:rPr>
          <w:rFonts w:hint="eastAsia" w:ascii="宋体" w:hAnsi="宋体"/>
          <w:color w:val="auto"/>
          <w:spacing w:val="6"/>
          <w:szCs w:val="21"/>
          <w:highlight w:val="none"/>
        </w:rPr>
      </w:pPr>
      <w:r>
        <w:rPr>
          <w:rFonts w:hint="eastAsia" w:ascii="宋体" w:hAnsi="宋体"/>
          <w:color w:val="auto"/>
          <w:spacing w:val="6"/>
          <w:szCs w:val="21"/>
          <w:highlight w:val="none"/>
        </w:rPr>
        <w:t>本公司（联合体）郑重声明，根据</w:t>
      </w:r>
      <w:r>
        <w:rPr>
          <w:rFonts w:hint="eastAsia" w:ascii="宋体" w:hAnsi="宋体"/>
          <w:color w:val="auto"/>
          <w:highlight w:val="none"/>
        </w:rPr>
        <w:t>《关于进一步加大政府采购支持中小企业力度的通知》（财库〔2022〕19号）和</w:t>
      </w:r>
      <w:r>
        <w:rPr>
          <w:rFonts w:hint="eastAsia" w:ascii="宋体" w:hAnsi="宋体"/>
          <w:color w:val="auto"/>
          <w:spacing w:val="6"/>
          <w:szCs w:val="21"/>
          <w:highlight w:val="none"/>
        </w:rPr>
        <w:t>《政府采购促进中小企业发展管理办法》（财库﹝2020﹞46 号）的规定，本公司（联合体）参加</w:t>
      </w:r>
      <w:r>
        <w:rPr>
          <w:rFonts w:hint="eastAsia" w:ascii="宋体" w:hAnsi="宋体"/>
          <w:color w:val="auto"/>
          <w:spacing w:val="6"/>
          <w:szCs w:val="21"/>
          <w:highlight w:val="none"/>
          <w:u w:val="single"/>
          <w:lang w:val="en-US" w:eastAsia="zh-CN"/>
        </w:rPr>
        <w:t xml:space="preserve">    </w:t>
      </w:r>
      <w:r>
        <w:rPr>
          <w:rFonts w:hint="eastAsia" w:ascii="宋体" w:hAnsi="宋体"/>
          <w:color w:val="auto"/>
          <w:spacing w:val="6"/>
          <w:szCs w:val="21"/>
          <w:highlight w:val="none"/>
          <w:u w:val="single"/>
        </w:rPr>
        <w:t>（单位名称）</w:t>
      </w:r>
      <w:r>
        <w:rPr>
          <w:rFonts w:hint="eastAsia" w:ascii="宋体" w:hAnsi="宋体"/>
          <w:color w:val="auto"/>
          <w:spacing w:val="6"/>
          <w:szCs w:val="21"/>
          <w:highlight w:val="none"/>
          <w:u w:val="single"/>
          <w:lang w:val="en-US" w:eastAsia="zh-CN"/>
        </w:rPr>
        <w:t xml:space="preserve">  </w:t>
      </w:r>
      <w:r>
        <w:rPr>
          <w:rFonts w:hint="eastAsia" w:ascii="宋体" w:hAnsi="宋体"/>
          <w:color w:val="auto"/>
          <w:spacing w:val="6"/>
          <w:szCs w:val="21"/>
          <w:highlight w:val="none"/>
        </w:rPr>
        <w:t>的</w:t>
      </w:r>
      <w:r>
        <w:rPr>
          <w:rFonts w:hint="eastAsia" w:ascii="宋体" w:hAnsi="宋体"/>
          <w:color w:val="auto"/>
          <w:spacing w:val="6"/>
          <w:szCs w:val="21"/>
          <w:highlight w:val="none"/>
          <w:u w:val="single"/>
          <w:lang w:val="en-US" w:eastAsia="zh-CN"/>
        </w:rPr>
        <w:t xml:space="preserve">     </w:t>
      </w:r>
      <w:r>
        <w:rPr>
          <w:rFonts w:hint="eastAsia" w:ascii="宋体" w:hAnsi="宋体"/>
          <w:color w:val="auto"/>
          <w:spacing w:val="6"/>
          <w:szCs w:val="21"/>
          <w:highlight w:val="none"/>
          <w:u w:val="single"/>
        </w:rPr>
        <w:t>（项目名称）</w:t>
      </w:r>
      <w:r>
        <w:rPr>
          <w:rFonts w:hint="eastAsia" w:ascii="宋体" w:hAnsi="宋体"/>
          <w:color w:val="auto"/>
          <w:spacing w:val="6"/>
          <w:szCs w:val="21"/>
          <w:highlight w:val="none"/>
          <w:u w:val="single"/>
          <w:lang w:val="en-US" w:eastAsia="zh-CN"/>
        </w:rPr>
        <w:t xml:space="preserve">  </w:t>
      </w:r>
      <w:r>
        <w:rPr>
          <w:rFonts w:hint="eastAsia" w:ascii="宋体" w:hAnsi="宋体"/>
          <w:color w:val="auto"/>
          <w:spacing w:val="6"/>
          <w:szCs w:val="21"/>
          <w:highlight w:val="none"/>
        </w:rPr>
        <w:t>采购活动，服务全部由符合政策要求的中小企业承接。相关企业（含联合体中的中小企业、签订分包意向协议的中小企业）的具体情况如下：</w:t>
      </w:r>
    </w:p>
    <w:p w14:paraId="1675CCBE">
      <w:pPr>
        <w:spacing w:line="360" w:lineRule="auto"/>
        <w:ind w:firstLine="666" w:firstLineChars="300"/>
        <w:rPr>
          <w:rFonts w:hint="eastAsia" w:ascii="宋体" w:hAnsi="宋体"/>
          <w:color w:val="auto"/>
          <w:spacing w:val="6"/>
          <w:szCs w:val="21"/>
          <w:highlight w:val="none"/>
        </w:rPr>
      </w:pPr>
      <w:r>
        <w:rPr>
          <w:rFonts w:hint="eastAsia" w:ascii="宋体" w:hAnsi="宋体"/>
          <w:color w:val="auto"/>
          <w:spacing w:val="6"/>
          <w:szCs w:val="21"/>
          <w:highlight w:val="none"/>
          <w:u w:val="single"/>
          <w:lang w:val="en-US" w:eastAsia="zh-CN"/>
        </w:rPr>
        <w:t xml:space="preserve">   </w:t>
      </w:r>
      <w:r>
        <w:rPr>
          <w:rFonts w:hint="eastAsia" w:ascii="宋体" w:hAnsi="宋体"/>
          <w:color w:val="auto"/>
          <w:spacing w:val="6"/>
          <w:szCs w:val="21"/>
          <w:highlight w:val="none"/>
          <w:u w:val="single"/>
        </w:rPr>
        <w:t>（项目名称）</w:t>
      </w:r>
      <w:r>
        <w:rPr>
          <w:rFonts w:hint="eastAsia" w:ascii="宋体" w:hAnsi="宋体"/>
          <w:color w:val="auto"/>
          <w:spacing w:val="6"/>
          <w:szCs w:val="21"/>
          <w:highlight w:val="none"/>
          <w:u w:val="single"/>
          <w:lang w:val="en-US" w:eastAsia="zh-CN"/>
        </w:rPr>
        <w:t xml:space="preserve">    </w:t>
      </w:r>
      <w:r>
        <w:rPr>
          <w:rFonts w:hint="eastAsia" w:ascii="宋体" w:hAnsi="宋体"/>
          <w:color w:val="auto"/>
          <w:spacing w:val="6"/>
          <w:szCs w:val="21"/>
          <w:highlight w:val="none"/>
        </w:rPr>
        <w:t>，属于</w:t>
      </w:r>
      <w:r>
        <w:rPr>
          <w:rFonts w:hint="eastAsia" w:ascii="宋体" w:hAnsi="宋体"/>
          <w:color w:val="auto"/>
          <w:spacing w:val="6"/>
          <w:szCs w:val="21"/>
          <w:highlight w:val="none"/>
          <w:u w:val="single"/>
        </w:rPr>
        <w:t>（采购文件中明确的所属行业）</w:t>
      </w:r>
      <w:r>
        <w:rPr>
          <w:rFonts w:hint="eastAsia" w:ascii="宋体" w:hAnsi="宋体"/>
          <w:color w:val="auto"/>
          <w:spacing w:val="6"/>
          <w:szCs w:val="21"/>
          <w:highlight w:val="none"/>
        </w:rPr>
        <w:t>；承接企业为</w:t>
      </w:r>
      <w:r>
        <w:rPr>
          <w:rFonts w:hint="eastAsia" w:ascii="宋体" w:hAnsi="宋体"/>
          <w:color w:val="auto"/>
          <w:spacing w:val="6"/>
          <w:szCs w:val="21"/>
          <w:highlight w:val="none"/>
          <w:u w:val="single"/>
          <w:lang w:val="en-US" w:eastAsia="zh-CN"/>
        </w:rPr>
        <w:t xml:space="preserve">   </w:t>
      </w:r>
      <w:r>
        <w:rPr>
          <w:rFonts w:hint="eastAsia" w:ascii="宋体" w:hAnsi="宋体"/>
          <w:color w:val="auto"/>
          <w:spacing w:val="6"/>
          <w:szCs w:val="21"/>
          <w:highlight w:val="none"/>
          <w:u w:val="single"/>
        </w:rPr>
        <w:t>（企业名称）</w:t>
      </w:r>
      <w:r>
        <w:rPr>
          <w:rFonts w:hint="eastAsia" w:ascii="宋体" w:hAnsi="宋体"/>
          <w:color w:val="auto"/>
          <w:spacing w:val="6"/>
          <w:szCs w:val="21"/>
          <w:highlight w:val="none"/>
          <w:u w:val="single"/>
          <w:lang w:val="en-US" w:eastAsia="zh-CN"/>
        </w:rPr>
        <w:t xml:space="preserve">  </w:t>
      </w:r>
      <w:r>
        <w:rPr>
          <w:rFonts w:hint="eastAsia" w:ascii="宋体" w:hAnsi="宋体"/>
          <w:color w:val="auto"/>
          <w:spacing w:val="6"/>
          <w:szCs w:val="21"/>
          <w:highlight w:val="none"/>
        </w:rPr>
        <w:t>，从业人员</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u w:val="single"/>
          <w:lang w:val="en-US" w:eastAsia="zh-CN"/>
        </w:rPr>
        <w:t xml:space="preserve"> </w:t>
      </w:r>
      <w:r>
        <w:rPr>
          <w:rFonts w:ascii="宋体" w:hAnsi="宋体"/>
          <w:color w:val="auto"/>
          <w:spacing w:val="6"/>
          <w:szCs w:val="21"/>
          <w:highlight w:val="none"/>
          <w:u w:val="single"/>
        </w:rPr>
        <w:t xml:space="preserve"> </w:t>
      </w:r>
      <w:r>
        <w:rPr>
          <w:rFonts w:hint="eastAsia" w:ascii="宋体" w:hAnsi="宋体"/>
          <w:color w:val="auto"/>
          <w:spacing w:val="6"/>
          <w:szCs w:val="21"/>
          <w:highlight w:val="none"/>
        </w:rPr>
        <w:t>人，营业收入为</w:t>
      </w:r>
      <w:r>
        <w:rPr>
          <w:rFonts w:hint="eastAsia" w:ascii="宋体" w:hAnsi="宋体"/>
          <w:color w:val="auto"/>
          <w:spacing w:val="6"/>
          <w:szCs w:val="21"/>
          <w:highlight w:val="none"/>
          <w:u w:val="single"/>
        </w:rPr>
        <w:t> </w:t>
      </w:r>
      <w:r>
        <w:rPr>
          <w:rFonts w:hint="eastAsia" w:ascii="宋体" w:hAnsi="宋体"/>
          <w:color w:val="auto"/>
          <w:spacing w:val="6"/>
          <w:szCs w:val="21"/>
          <w:highlight w:val="none"/>
          <w:u w:val="single"/>
          <w:lang w:val="en-US" w:eastAsia="zh-CN"/>
        </w:rPr>
        <w:t xml:space="preserve"> </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w:t>
      </w:r>
      <w:r>
        <w:rPr>
          <w:rFonts w:hint="eastAsia" w:ascii="宋体" w:hAnsi="宋体"/>
          <w:color w:val="auto"/>
          <w:spacing w:val="6"/>
          <w:szCs w:val="21"/>
          <w:highlight w:val="none"/>
        </w:rPr>
        <w:t>万元，资产总额为</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u w:val="single"/>
          <w:lang w:val="en-US" w:eastAsia="zh-CN"/>
        </w:rPr>
        <w:t xml:space="preserve"> </w:t>
      </w:r>
      <w:r>
        <w:rPr>
          <w:rFonts w:hint="eastAsia" w:ascii="宋体" w:hAnsi="宋体"/>
          <w:color w:val="auto"/>
          <w:spacing w:val="6"/>
          <w:szCs w:val="21"/>
          <w:highlight w:val="none"/>
          <w:u w:val="single"/>
        </w:rPr>
        <w:t> </w:t>
      </w:r>
      <w:r>
        <w:rPr>
          <w:rFonts w:hint="eastAsia" w:ascii="宋体" w:hAnsi="宋体"/>
          <w:color w:val="auto"/>
          <w:spacing w:val="6"/>
          <w:szCs w:val="21"/>
          <w:highlight w:val="none"/>
        </w:rPr>
        <w:t>万元，属于</w:t>
      </w:r>
      <w:r>
        <w:rPr>
          <w:rFonts w:hint="eastAsia" w:ascii="宋体" w:hAnsi="宋体"/>
          <w:color w:val="auto"/>
          <w:spacing w:val="6"/>
          <w:szCs w:val="21"/>
          <w:highlight w:val="none"/>
          <w:u w:val="single"/>
        </w:rPr>
        <w:t xml:space="preserve"> </w:t>
      </w:r>
      <w:r>
        <w:rPr>
          <w:rFonts w:ascii="宋体" w:hAnsi="宋体"/>
          <w:color w:val="auto"/>
          <w:spacing w:val="6"/>
          <w:szCs w:val="21"/>
          <w:highlight w:val="none"/>
          <w:u w:val="single"/>
        </w:rPr>
        <w:t xml:space="preserve">  </w:t>
      </w:r>
      <w:r>
        <w:rPr>
          <w:rFonts w:hint="eastAsia" w:ascii="宋体" w:hAnsi="宋体"/>
          <w:color w:val="auto"/>
          <w:spacing w:val="6"/>
          <w:szCs w:val="21"/>
          <w:highlight w:val="none"/>
          <w:u w:val="single"/>
          <w:lang w:val="en-US" w:eastAsia="zh-CN"/>
        </w:rPr>
        <w:t xml:space="preserve">  </w:t>
      </w:r>
      <w:r>
        <w:rPr>
          <w:rFonts w:ascii="宋体" w:hAnsi="宋体"/>
          <w:color w:val="auto"/>
          <w:spacing w:val="6"/>
          <w:szCs w:val="21"/>
          <w:highlight w:val="none"/>
          <w:u w:val="single"/>
        </w:rPr>
        <w:t xml:space="preserve"> </w:t>
      </w:r>
      <w:r>
        <w:rPr>
          <w:rFonts w:hint="eastAsia" w:ascii="宋体" w:hAnsi="宋体"/>
          <w:color w:val="auto"/>
          <w:spacing w:val="6"/>
          <w:szCs w:val="21"/>
          <w:highlight w:val="none"/>
          <w:u w:val="single"/>
        </w:rPr>
        <w:t>（中型企业、小型企业、微型企业）</w:t>
      </w:r>
      <w:r>
        <w:rPr>
          <w:rFonts w:hint="eastAsia" w:ascii="宋体" w:hAnsi="宋体"/>
          <w:color w:val="auto"/>
          <w:spacing w:val="6"/>
          <w:szCs w:val="21"/>
          <w:highlight w:val="none"/>
        </w:rPr>
        <w:t>。</w:t>
      </w:r>
    </w:p>
    <w:p w14:paraId="403C40B5">
      <w:pPr>
        <w:spacing w:line="360" w:lineRule="auto"/>
        <w:ind w:firstLine="444" w:firstLineChars="200"/>
        <w:rPr>
          <w:rFonts w:hint="eastAsia" w:ascii="宋体" w:hAnsi="宋体"/>
          <w:color w:val="auto"/>
          <w:spacing w:val="6"/>
          <w:szCs w:val="21"/>
          <w:highlight w:val="none"/>
        </w:rPr>
      </w:pPr>
      <w:r>
        <w:rPr>
          <w:rFonts w:hint="eastAsia" w:ascii="宋体" w:hAnsi="宋体"/>
          <w:color w:val="auto"/>
          <w:spacing w:val="6"/>
          <w:szCs w:val="21"/>
          <w:highlight w:val="none"/>
        </w:rPr>
        <w:t>以上企业，不属于大企业的分支机构，不存在控股股东为大企业的情形，也不存在与大企业的负责人为同一人的情形。</w:t>
      </w:r>
    </w:p>
    <w:p w14:paraId="628B359F">
      <w:pPr>
        <w:spacing w:line="360" w:lineRule="auto"/>
        <w:ind w:firstLine="444" w:firstLineChars="200"/>
        <w:rPr>
          <w:rFonts w:hint="eastAsia" w:ascii="宋体" w:hAnsi="宋体"/>
          <w:color w:val="auto"/>
          <w:spacing w:val="6"/>
          <w:szCs w:val="21"/>
          <w:highlight w:val="none"/>
        </w:rPr>
      </w:pPr>
      <w:r>
        <w:rPr>
          <w:rFonts w:hint="eastAsia" w:ascii="宋体" w:hAnsi="宋体"/>
          <w:color w:val="auto"/>
          <w:spacing w:val="6"/>
          <w:szCs w:val="21"/>
          <w:highlight w:val="none"/>
        </w:rPr>
        <w:t>本企业对上述声明内容的真实性负责。如有虚假，将依法承担相应责任。</w:t>
      </w:r>
    </w:p>
    <w:p w14:paraId="1194F4BF">
      <w:pPr>
        <w:widowControl/>
        <w:spacing w:line="360" w:lineRule="auto"/>
        <w:jc w:val="left"/>
        <w:rPr>
          <w:rFonts w:hint="eastAsia" w:asciiTheme="minorEastAsia" w:hAnsiTheme="minorEastAsia" w:eastAsiaTheme="minorEastAsia"/>
          <w:color w:val="auto"/>
          <w:spacing w:val="6"/>
          <w:szCs w:val="21"/>
          <w:highlight w:val="none"/>
        </w:rPr>
      </w:pPr>
    </w:p>
    <w:p w14:paraId="1A7E1104">
      <w:pPr>
        <w:widowControl/>
        <w:spacing w:line="360" w:lineRule="auto"/>
        <w:jc w:val="left"/>
        <w:rPr>
          <w:rFonts w:hint="eastAsia" w:asciiTheme="minorEastAsia" w:hAnsiTheme="minorEastAsia" w:eastAsiaTheme="minorEastAsia"/>
          <w:color w:val="auto"/>
          <w:spacing w:val="6"/>
          <w:szCs w:val="21"/>
          <w:highlight w:val="none"/>
        </w:rPr>
      </w:pPr>
    </w:p>
    <w:p w14:paraId="715F80D2">
      <w:pPr>
        <w:widowControl/>
        <w:spacing w:line="360" w:lineRule="auto"/>
        <w:jc w:val="left"/>
        <w:rPr>
          <w:rFonts w:hint="eastAsia" w:asciiTheme="minorEastAsia" w:hAnsiTheme="minorEastAsia" w:eastAsiaTheme="minorEastAsia"/>
          <w:color w:val="auto"/>
          <w:spacing w:val="6"/>
          <w:szCs w:val="21"/>
          <w:highlight w:val="none"/>
        </w:rPr>
      </w:pPr>
    </w:p>
    <w:p w14:paraId="77DDE53B">
      <w:pPr>
        <w:widowControl/>
        <w:spacing w:line="360" w:lineRule="auto"/>
        <w:jc w:val="left"/>
        <w:rPr>
          <w:rFonts w:hint="eastAsia" w:asciiTheme="minorEastAsia" w:hAnsiTheme="minorEastAsia" w:eastAsiaTheme="minorEastAsia"/>
          <w:color w:val="auto"/>
          <w:spacing w:val="6"/>
          <w:szCs w:val="21"/>
          <w:highlight w:val="none"/>
        </w:rPr>
      </w:pPr>
    </w:p>
    <w:p w14:paraId="16B00CD6">
      <w:pPr>
        <w:spacing w:line="480" w:lineRule="auto"/>
        <w:ind w:right="252" w:rightChars="120" w:firstLine="6090" w:firstLineChars="29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企业名称（电子签章）：</w:t>
      </w:r>
    </w:p>
    <w:p w14:paraId="7AE91FB7">
      <w:pPr>
        <w:spacing w:line="480" w:lineRule="auto"/>
        <w:ind w:right="252" w:rightChars="120" w:firstLine="6090" w:firstLineChars="2900"/>
        <w:rPr>
          <w:rFonts w:hint="eastAsia" w:cs="仿宋_GB2312"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日 期：</w:t>
      </w:r>
    </w:p>
    <w:p w14:paraId="5C72B59A">
      <w:pPr>
        <w:spacing w:line="360" w:lineRule="auto"/>
        <w:ind w:right="252" w:rightChars="120" w:firstLine="6510" w:firstLineChars="3100"/>
        <w:rPr>
          <w:rFonts w:hint="eastAsia" w:cs="仿宋_GB2312" w:asciiTheme="minorEastAsia" w:hAnsiTheme="minorEastAsia" w:eastAsiaTheme="minorEastAsia"/>
          <w:color w:val="auto"/>
          <w:szCs w:val="21"/>
          <w:highlight w:val="none"/>
        </w:rPr>
      </w:pPr>
    </w:p>
    <w:p w14:paraId="37ADB42E">
      <w:pPr>
        <w:spacing w:line="360" w:lineRule="auto"/>
        <w:ind w:right="252" w:rightChars="120"/>
        <w:rPr>
          <w:rFonts w:hint="eastAsia" w:cs="仿宋_GB2312" w:asciiTheme="minorEastAsia" w:hAnsiTheme="minorEastAsia" w:eastAsiaTheme="minorEastAsia"/>
          <w:color w:val="auto"/>
          <w:szCs w:val="21"/>
          <w:highlight w:val="none"/>
        </w:rPr>
      </w:pPr>
    </w:p>
    <w:p w14:paraId="1DE61D62">
      <w:pPr>
        <w:spacing w:line="360" w:lineRule="auto"/>
        <w:ind w:right="252" w:rightChars="120" w:firstLine="422" w:firstLineChars="200"/>
        <w:rPr>
          <w:rFonts w:hint="eastAsia"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注：1.从业人员、营业收入、资产总额填报上一年度数据，无上一年度数据的新成立企业可不填报；</w:t>
      </w:r>
    </w:p>
    <w:p w14:paraId="2001F5D2">
      <w:pPr>
        <w:spacing w:line="360" w:lineRule="auto"/>
        <w:ind w:right="252" w:rightChars="120" w:firstLine="891" w:firstLineChars="400"/>
        <w:rPr>
          <w:rFonts w:hint="eastAsia" w:cs="仿宋_GB2312" w:asciiTheme="minorEastAsia" w:hAnsiTheme="minorEastAsia" w:eastAsiaTheme="minorEastAsia"/>
          <w:b/>
          <w:bCs/>
          <w:color w:val="auto"/>
          <w:szCs w:val="21"/>
          <w:highlight w:val="none"/>
        </w:rPr>
      </w:pPr>
      <w:r>
        <w:rPr>
          <w:rFonts w:asciiTheme="minorEastAsia" w:hAnsiTheme="minorEastAsia" w:eastAsiaTheme="minorEastAsia"/>
          <w:b/>
          <w:bCs/>
          <w:color w:val="auto"/>
          <w:spacing w:val="6"/>
          <w:szCs w:val="21"/>
          <w:highlight w:val="none"/>
        </w:rPr>
        <w:t>2</w:t>
      </w:r>
      <w:r>
        <w:rPr>
          <w:rFonts w:hint="eastAsia" w:asciiTheme="minorEastAsia" w:hAnsiTheme="minorEastAsia" w:eastAsiaTheme="minorEastAsia"/>
          <w:b/>
          <w:bCs/>
          <w:color w:val="auto"/>
          <w:spacing w:val="6"/>
          <w:szCs w:val="21"/>
          <w:highlight w:val="none"/>
        </w:rPr>
        <w:t>.供应商须按以上要求完整的填写《中小企业声明函》；如不完整或有空缺，则视为不响应采购文件。</w:t>
      </w:r>
    </w:p>
    <w:p w14:paraId="4940CF50">
      <w:pPr>
        <w:rPr>
          <w:color w:val="auto"/>
          <w:highlight w:val="none"/>
        </w:rPr>
      </w:pPr>
    </w:p>
    <w:p w14:paraId="2605464D">
      <w:pPr>
        <w:rPr>
          <w:color w:val="auto"/>
          <w:highlight w:val="none"/>
        </w:rPr>
      </w:pPr>
    </w:p>
    <w:p w14:paraId="05AC625E">
      <w:pPr>
        <w:rPr>
          <w:color w:val="auto"/>
          <w:highlight w:val="none"/>
        </w:rPr>
      </w:pPr>
    </w:p>
    <w:p w14:paraId="4229DCAA">
      <w:pPr>
        <w:rPr>
          <w:color w:val="auto"/>
          <w:highlight w:val="none"/>
        </w:rPr>
      </w:pPr>
    </w:p>
    <w:p w14:paraId="23A3852D">
      <w:pPr>
        <w:rPr>
          <w:color w:val="auto"/>
          <w:highlight w:val="none"/>
        </w:rPr>
      </w:pPr>
    </w:p>
    <w:p w14:paraId="438B6AD7">
      <w:pPr>
        <w:rPr>
          <w:color w:val="auto"/>
          <w:highlight w:val="none"/>
        </w:rPr>
      </w:pPr>
    </w:p>
    <w:p w14:paraId="3935A0E9">
      <w:pPr>
        <w:rPr>
          <w:color w:val="auto"/>
          <w:highlight w:val="none"/>
        </w:rPr>
      </w:pPr>
    </w:p>
    <w:p w14:paraId="74CC3AB7">
      <w:pPr>
        <w:rPr>
          <w:color w:val="auto"/>
          <w:highlight w:val="none"/>
        </w:rPr>
      </w:pPr>
    </w:p>
    <w:p w14:paraId="39F89219">
      <w:pPr>
        <w:rPr>
          <w:color w:val="auto"/>
          <w:highlight w:val="none"/>
        </w:rPr>
      </w:pPr>
    </w:p>
    <w:p w14:paraId="5BAAF5B1">
      <w:pPr>
        <w:rPr>
          <w:color w:val="auto"/>
          <w:highlight w:val="none"/>
        </w:rPr>
      </w:pPr>
    </w:p>
    <w:p w14:paraId="4CD806F2">
      <w:pPr>
        <w:rPr>
          <w:color w:val="auto"/>
          <w:highlight w:val="none"/>
        </w:rPr>
      </w:pPr>
    </w:p>
    <w:p w14:paraId="14624561">
      <w:pPr>
        <w:rPr>
          <w:color w:val="auto"/>
          <w:highlight w:val="none"/>
        </w:rPr>
      </w:pPr>
    </w:p>
    <w:p w14:paraId="0B303313">
      <w:pPr>
        <w:rPr>
          <w:color w:val="auto"/>
          <w:highlight w:val="none"/>
        </w:rPr>
      </w:pPr>
    </w:p>
    <w:p w14:paraId="2A2220BF">
      <w:pPr>
        <w:rPr>
          <w:color w:val="auto"/>
          <w:highlight w:val="none"/>
        </w:rPr>
      </w:pPr>
    </w:p>
    <w:p w14:paraId="47A73652">
      <w:pPr>
        <w:rPr>
          <w:color w:val="auto"/>
          <w:highlight w:val="none"/>
        </w:rPr>
      </w:pPr>
    </w:p>
    <w:p w14:paraId="4392D9D1">
      <w:pPr>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br w:type="page"/>
      </w:r>
    </w:p>
    <w:p w14:paraId="2534BB46">
      <w:pPr>
        <w:spacing w:line="360" w:lineRule="auto"/>
        <w:jc w:val="center"/>
        <w:outlineLvl w:val="3"/>
        <w:rPr>
          <w:rFonts w:hint="eastAsia"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3.</w:t>
      </w:r>
      <w:r>
        <w:rPr>
          <w:rFonts w:hint="eastAsia" w:asciiTheme="minorEastAsia" w:hAnsiTheme="minorEastAsia" w:eastAsiaTheme="minorEastAsia"/>
          <w:b/>
          <w:color w:val="auto"/>
          <w:sz w:val="28"/>
          <w:szCs w:val="28"/>
          <w:highlight w:val="none"/>
        </w:rPr>
        <w:t>残疾人福利性单位声明函</w:t>
      </w:r>
      <w:bookmarkEnd w:id="1199"/>
      <w:bookmarkEnd w:id="1200"/>
      <w:bookmarkEnd w:id="1201"/>
      <w:bookmarkEnd w:id="1202"/>
      <w:bookmarkEnd w:id="1203"/>
      <w:bookmarkEnd w:id="1204"/>
      <w:bookmarkEnd w:id="1207"/>
      <w:bookmarkEnd w:id="1208"/>
      <w:bookmarkEnd w:id="1209"/>
      <w:bookmarkEnd w:id="1210"/>
      <w:bookmarkEnd w:id="1211"/>
    </w:p>
    <w:p w14:paraId="73014165">
      <w:pPr>
        <w:spacing w:line="360" w:lineRule="auto"/>
        <w:ind w:firstLine="444" w:firstLineChars="200"/>
        <w:rPr>
          <w:rFonts w:hint="eastAsia" w:ascii="宋体" w:hAnsi="宋体"/>
          <w:color w:val="auto"/>
          <w:spacing w:val="6"/>
          <w:szCs w:val="21"/>
          <w:highlight w:val="none"/>
        </w:rPr>
      </w:pPr>
      <w:r>
        <w:rPr>
          <w:rFonts w:hint="eastAsia" w:ascii="宋体" w:hAnsi="宋体"/>
          <w:color w:val="auto"/>
          <w:spacing w:val="6"/>
          <w:szCs w:val="21"/>
          <w:highlight w:val="none"/>
        </w:rPr>
        <w:t>本单位郑重声明，根据《财政部 民政部 中国残疾人联合会关于促进残疾人就业政府采购政策的通知》（财库</w:t>
      </w:r>
      <w:r>
        <w:rPr>
          <w:rFonts w:hint="eastAsia" w:ascii="宋体" w:hAnsi="宋体"/>
          <w:color w:val="auto"/>
          <w:szCs w:val="21"/>
          <w:highlight w:val="none"/>
        </w:rPr>
        <w:t>〔2017〕 141</w:t>
      </w:r>
      <w:r>
        <w:rPr>
          <w:rFonts w:hint="eastAsia" w:ascii="宋体" w:hAnsi="宋体"/>
          <w:color w:val="auto"/>
          <w:spacing w:val="6"/>
          <w:szCs w:val="21"/>
          <w:highlight w:val="none"/>
        </w:rPr>
        <w:t>号）的规定，本单位为符合条件的残疾人福利性单位，且本单位参加</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单位的</w:t>
      </w:r>
      <w:r>
        <w:rPr>
          <w:rFonts w:hint="eastAsia" w:ascii="宋体" w:hAnsi="宋体"/>
          <w:color w:val="auto"/>
          <w:spacing w:val="6"/>
          <w:szCs w:val="21"/>
          <w:highlight w:val="none"/>
          <w:u w:val="single"/>
        </w:rPr>
        <w:t xml:space="preserve">                      </w:t>
      </w:r>
      <w:r>
        <w:rPr>
          <w:rFonts w:hint="eastAsia" w:ascii="宋体" w:hAnsi="宋体"/>
          <w:color w:val="auto"/>
          <w:spacing w:val="6"/>
          <w:szCs w:val="21"/>
          <w:highlight w:val="none"/>
        </w:rPr>
        <w:t>项目采购活动提供服务。</w:t>
      </w:r>
    </w:p>
    <w:p w14:paraId="1236BF26">
      <w:pPr>
        <w:spacing w:line="588" w:lineRule="exact"/>
        <w:ind w:firstLine="444" w:firstLineChars="200"/>
        <w:rPr>
          <w:rFonts w:hint="eastAsia" w:asciiTheme="minorEastAsia" w:hAnsiTheme="minorEastAsia" w:eastAsiaTheme="minorEastAsia"/>
          <w:color w:val="auto"/>
          <w:spacing w:val="6"/>
          <w:szCs w:val="21"/>
          <w:highlight w:val="none"/>
        </w:rPr>
      </w:pPr>
      <w:r>
        <w:rPr>
          <w:rFonts w:hint="eastAsia" w:ascii="宋体" w:hAnsi="宋体"/>
          <w:color w:val="auto"/>
          <w:spacing w:val="6"/>
          <w:szCs w:val="21"/>
          <w:highlight w:val="none"/>
        </w:rPr>
        <w:t>本单位对上述声明的真实性负责。如有虚假，将依法承担相应责任</w:t>
      </w:r>
      <w:r>
        <w:rPr>
          <w:rFonts w:hint="eastAsia" w:asciiTheme="minorEastAsia" w:hAnsiTheme="minorEastAsia" w:eastAsiaTheme="minorEastAsia"/>
          <w:color w:val="auto"/>
          <w:spacing w:val="6"/>
          <w:szCs w:val="21"/>
          <w:highlight w:val="none"/>
        </w:rPr>
        <w:t>。</w:t>
      </w:r>
    </w:p>
    <w:p w14:paraId="594FC73B">
      <w:pPr>
        <w:spacing w:line="360" w:lineRule="auto"/>
        <w:ind w:firstLine="444" w:firstLineChars="200"/>
        <w:rPr>
          <w:rFonts w:hint="eastAsia" w:asciiTheme="minorEastAsia" w:hAnsiTheme="minorEastAsia" w:eastAsiaTheme="minorEastAsia"/>
          <w:color w:val="auto"/>
          <w:spacing w:val="6"/>
          <w:szCs w:val="21"/>
          <w:highlight w:val="none"/>
        </w:rPr>
      </w:pPr>
    </w:p>
    <w:p w14:paraId="649B05A3">
      <w:pPr>
        <w:spacing w:line="360" w:lineRule="auto"/>
        <w:jc w:val="left"/>
        <w:rPr>
          <w:rFonts w:hint="eastAsia" w:asciiTheme="minorEastAsia" w:hAnsiTheme="minorEastAsia" w:eastAsiaTheme="minorEastAsia"/>
          <w:color w:val="auto"/>
          <w:spacing w:val="6"/>
          <w:szCs w:val="21"/>
          <w:highlight w:val="none"/>
        </w:rPr>
      </w:pPr>
    </w:p>
    <w:p w14:paraId="2A342AF0">
      <w:pPr>
        <w:spacing w:line="360" w:lineRule="auto"/>
        <w:jc w:val="left"/>
        <w:rPr>
          <w:rFonts w:hint="eastAsia" w:asciiTheme="minorEastAsia" w:hAnsiTheme="minorEastAsia" w:eastAsiaTheme="minorEastAsia"/>
          <w:color w:val="auto"/>
          <w:spacing w:val="6"/>
          <w:szCs w:val="21"/>
          <w:highlight w:val="none"/>
        </w:rPr>
      </w:pPr>
    </w:p>
    <w:p w14:paraId="2E60022B">
      <w:pPr>
        <w:spacing w:line="360" w:lineRule="auto"/>
        <w:jc w:val="left"/>
        <w:rPr>
          <w:rFonts w:hint="eastAsia" w:asciiTheme="minorEastAsia" w:hAnsiTheme="minorEastAsia" w:eastAsiaTheme="minorEastAsia"/>
          <w:color w:val="auto"/>
          <w:spacing w:val="6"/>
          <w:szCs w:val="21"/>
          <w:highlight w:val="none"/>
        </w:rPr>
      </w:pPr>
    </w:p>
    <w:p w14:paraId="34400250">
      <w:pPr>
        <w:autoSpaceDE w:val="0"/>
        <w:autoSpaceDN w:val="0"/>
        <w:adjustRightInd w:val="0"/>
        <w:spacing w:line="480" w:lineRule="auto"/>
        <w:ind w:firstLine="6405" w:firstLineChars="30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企业名称（电子签章）：</w:t>
      </w:r>
    </w:p>
    <w:p w14:paraId="16A596F9">
      <w:pPr>
        <w:autoSpaceDE w:val="0"/>
        <w:autoSpaceDN w:val="0"/>
        <w:adjustRightInd w:val="0"/>
        <w:spacing w:line="480" w:lineRule="auto"/>
        <w:ind w:firstLine="6405" w:firstLineChars="30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p>
    <w:p w14:paraId="699D951D">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5D6E5E63">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6E27E889">
      <w:pPr>
        <w:spacing w:line="360" w:lineRule="auto"/>
        <w:ind w:firstLine="422" w:firstLineChars="200"/>
        <w:jc w:val="left"/>
        <w:rPr>
          <w:rFonts w:hint="eastAsia" w:asciiTheme="minorEastAsia" w:hAnsiTheme="minorEastAsia" w:eastAsiaTheme="minorEastAsia"/>
          <w:b/>
          <w:bCs/>
          <w:color w:val="auto"/>
          <w:spacing w:val="6"/>
          <w:szCs w:val="21"/>
          <w:highlight w:val="none"/>
        </w:rPr>
      </w:pPr>
      <w:bookmarkStart w:id="1212" w:name="_Hlk87482440"/>
      <w:r>
        <w:rPr>
          <w:rFonts w:hint="eastAsia" w:ascii="宋体" w:hAnsi="宋体" w:cs="仿宋_GB2312"/>
          <w:b/>
          <w:bCs/>
          <w:color w:val="auto"/>
          <w:szCs w:val="21"/>
          <w:highlight w:val="none"/>
        </w:rPr>
        <w:t>注：若供应商为</w:t>
      </w:r>
      <w:r>
        <w:rPr>
          <w:rFonts w:hint="eastAsia" w:ascii="宋体" w:hAnsi="宋体"/>
          <w:b/>
          <w:bCs/>
          <w:color w:val="auto"/>
          <w:szCs w:val="21"/>
          <w:highlight w:val="none"/>
        </w:rPr>
        <w:t>符合政策要求的残疾人福利性单位，即可填报声明；否则，可不填报及签章。</w:t>
      </w:r>
      <w:bookmarkEnd w:id="1212"/>
    </w:p>
    <w:p w14:paraId="0C10B12E">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7769EA47">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354DAB51">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7FB21046">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6D274311">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1644C3E9">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671C884D">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4CA5D6D3">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112F493A">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5E18F11D">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7DE6C477">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190C0EC1">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7E9ECFF6">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2D9D0602">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7BFC3518">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158DC6AB">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7B0B45CA">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7A815502">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2CF70406">
      <w:pPr>
        <w:rPr>
          <w:rFonts w:asciiTheme="minorEastAsia" w:hAnsiTheme="minorEastAsia" w:eastAsiaTheme="minorEastAsia"/>
          <w:b/>
          <w:color w:val="auto"/>
          <w:sz w:val="28"/>
          <w:szCs w:val="28"/>
          <w:highlight w:val="none"/>
        </w:rPr>
      </w:pPr>
      <w:bookmarkStart w:id="1213" w:name="_Toc42205065"/>
      <w:bookmarkStart w:id="1214" w:name="_Toc116584083"/>
      <w:bookmarkStart w:id="1215" w:name="_Toc69678494"/>
      <w:bookmarkStart w:id="1216" w:name="_Toc3402"/>
      <w:bookmarkStart w:id="1217" w:name="_Toc110405212"/>
      <w:bookmarkStart w:id="1218" w:name="_Toc109809392"/>
      <w:bookmarkStart w:id="1219" w:name="_Toc81331012"/>
      <w:bookmarkStart w:id="1220" w:name="_Toc75783597"/>
      <w:bookmarkStart w:id="1221" w:name="_Toc45976973"/>
      <w:bookmarkStart w:id="1222" w:name="_Toc98865078"/>
      <w:bookmarkStart w:id="1223" w:name="_Toc53412281"/>
      <w:r>
        <w:rPr>
          <w:rFonts w:asciiTheme="minorEastAsia" w:hAnsiTheme="minorEastAsia" w:eastAsiaTheme="minorEastAsia"/>
          <w:b/>
          <w:color w:val="auto"/>
          <w:sz w:val="28"/>
          <w:szCs w:val="28"/>
          <w:highlight w:val="none"/>
        </w:rPr>
        <w:br w:type="page"/>
      </w:r>
    </w:p>
    <w:p w14:paraId="4EA72D07">
      <w:pPr>
        <w:spacing w:line="360" w:lineRule="auto"/>
        <w:jc w:val="center"/>
        <w:outlineLvl w:val="3"/>
        <w:rPr>
          <w:rFonts w:hint="eastAsia"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4.</w:t>
      </w:r>
      <w:r>
        <w:rPr>
          <w:rFonts w:hint="eastAsia" w:asciiTheme="minorEastAsia" w:hAnsiTheme="minorEastAsia" w:eastAsiaTheme="minorEastAsia"/>
          <w:b/>
          <w:color w:val="auto"/>
          <w:sz w:val="28"/>
          <w:szCs w:val="28"/>
          <w:highlight w:val="none"/>
        </w:rPr>
        <w:t>监狱企业证明</w:t>
      </w:r>
      <w:bookmarkEnd w:id="1213"/>
      <w:bookmarkEnd w:id="1214"/>
      <w:bookmarkEnd w:id="1215"/>
      <w:bookmarkEnd w:id="1216"/>
      <w:bookmarkEnd w:id="1217"/>
      <w:bookmarkEnd w:id="1218"/>
      <w:bookmarkEnd w:id="1219"/>
      <w:bookmarkEnd w:id="1220"/>
      <w:bookmarkEnd w:id="1221"/>
      <w:bookmarkEnd w:id="1222"/>
      <w:bookmarkEnd w:id="1223"/>
    </w:p>
    <w:p w14:paraId="7E7756C2">
      <w:pPr>
        <w:spacing w:line="360" w:lineRule="auto"/>
        <w:jc w:val="center"/>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rPr>
        <w:t>注：若供应商为监狱企业，须附监狱企业证明材料的原件扫描件。</w:t>
      </w:r>
    </w:p>
    <w:p w14:paraId="43483BED">
      <w:pPr>
        <w:widowControl/>
        <w:jc w:val="left"/>
        <w:rPr>
          <w:rFonts w:hint="eastAsia" w:cs="仿宋_GB2312" w:asciiTheme="minorEastAsia" w:hAnsiTheme="minorEastAsia" w:eastAsiaTheme="minorEastAsia"/>
          <w:color w:val="auto"/>
          <w:szCs w:val="21"/>
          <w:highlight w:val="none"/>
        </w:rPr>
      </w:pPr>
      <w:r>
        <w:rPr>
          <w:rFonts w:cs="仿宋_GB2312" w:asciiTheme="minorEastAsia" w:hAnsiTheme="minorEastAsia" w:eastAsiaTheme="minorEastAsia"/>
          <w:color w:val="auto"/>
          <w:szCs w:val="21"/>
          <w:highlight w:val="none"/>
        </w:rPr>
        <w:br w:type="page"/>
      </w:r>
    </w:p>
    <w:p w14:paraId="1ED446EE">
      <w:pPr>
        <w:spacing w:line="360" w:lineRule="auto"/>
        <w:jc w:val="center"/>
        <w:outlineLvl w:val="2"/>
        <w:rPr>
          <w:rFonts w:hint="eastAsia" w:asciiTheme="minorEastAsia" w:hAnsiTheme="minorEastAsia" w:eastAsiaTheme="minorEastAsia"/>
          <w:b/>
          <w:color w:val="auto"/>
          <w:sz w:val="28"/>
          <w:szCs w:val="28"/>
          <w:highlight w:val="none"/>
        </w:rPr>
      </w:pPr>
      <w:bookmarkStart w:id="1224" w:name="_Toc7715"/>
      <w:r>
        <w:rPr>
          <w:rFonts w:hint="eastAsia" w:asciiTheme="minorEastAsia" w:hAnsiTheme="minorEastAsia" w:eastAsiaTheme="minorEastAsia"/>
          <w:b/>
          <w:color w:val="auto"/>
          <w:sz w:val="28"/>
          <w:szCs w:val="28"/>
          <w:highlight w:val="none"/>
        </w:rPr>
        <w:t>（五）拟派服务人员表</w:t>
      </w:r>
      <w:bookmarkEnd w:id="1224"/>
    </w:p>
    <w:tbl>
      <w:tblPr>
        <w:tblStyle w:val="53"/>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559"/>
        <w:gridCol w:w="1134"/>
        <w:gridCol w:w="1276"/>
        <w:gridCol w:w="1346"/>
        <w:gridCol w:w="1278"/>
        <w:gridCol w:w="1215"/>
      </w:tblGrid>
      <w:tr w14:paraId="11B5F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51" w:type="dxa"/>
            <w:vAlign w:val="center"/>
          </w:tcPr>
          <w:p w14:paraId="6627286B">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序号</w:t>
            </w:r>
          </w:p>
        </w:tc>
        <w:tc>
          <w:tcPr>
            <w:tcW w:w="1559" w:type="dxa"/>
            <w:vAlign w:val="center"/>
          </w:tcPr>
          <w:p w14:paraId="0746785A">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姓名</w:t>
            </w:r>
          </w:p>
        </w:tc>
        <w:tc>
          <w:tcPr>
            <w:tcW w:w="1134" w:type="dxa"/>
            <w:vAlign w:val="center"/>
          </w:tcPr>
          <w:p w14:paraId="3583C241">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性别</w:t>
            </w:r>
          </w:p>
        </w:tc>
        <w:tc>
          <w:tcPr>
            <w:tcW w:w="1276" w:type="dxa"/>
            <w:vAlign w:val="center"/>
          </w:tcPr>
          <w:p w14:paraId="1ABFFBE0">
            <w:pPr>
              <w:spacing w:line="360" w:lineRule="auto"/>
              <w:ind w:left="-107" w:leftChars="-51"/>
              <w:jc w:val="center"/>
              <w:rPr>
                <w:rFonts w:hint="eastAsia" w:ascii="宋体" w:hAnsi="宋体" w:cs="宋体"/>
                <w:color w:val="auto"/>
                <w:szCs w:val="24"/>
                <w:highlight w:val="none"/>
              </w:rPr>
            </w:pPr>
            <w:r>
              <w:rPr>
                <w:rFonts w:hint="eastAsia" w:ascii="宋体" w:hAnsi="宋体" w:cs="宋体"/>
                <w:color w:val="auto"/>
                <w:szCs w:val="24"/>
                <w:highlight w:val="none"/>
              </w:rPr>
              <w:t>年龄</w:t>
            </w:r>
          </w:p>
        </w:tc>
        <w:tc>
          <w:tcPr>
            <w:tcW w:w="1346" w:type="dxa"/>
            <w:vAlign w:val="center"/>
          </w:tcPr>
          <w:p w14:paraId="522E860F">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岗位</w:t>
            </w:r>
          </w:p>
        </w:tc>
        <w:tc>
          <w:tcPr>
            <w:tcW w:w="1278" w:type="dxa"/>
            <w:vAlign w:val="center"/>
          </w:tcPr>
          <w:p w14:paraId="1C471B66">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健康状况</w:t>
            </w:r>
          </w:p>
        </w:tc>
        <w:tc>
          <w:tcPr>
            <w:tcW w:w="1215" w:type="dxa"/>
            <w:vAlign w:val="center"/>
          </w:tcPr>
          <w:p w14:paraId="0651F879">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备注</w:t>
            </w:r>
          </w:p>
        </w:tc>
      </w:tr>
      <w:tr w14:paraId="7B72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vAlign w:val="center"/>
          </w:tcPr>
          <w:p w14:paraId="0BCA0858">
            <w:pPr>
              <w:spacing w:before="120"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559" w:type="dxa"/>
            <w:vAlign w:val="center"/>
          </w:tcPr>
          <w:p w14:paraId="60AED017">
            <w:pPr>
              <w:spacing w:line="360" w:lineRule="auto"/>
              <w:jc w:val="center"/>
              <w:rPr>
                <w:rFonts w:hint="eastAsia" w:ascii="宋体" w:hAnsi="宋体" w:cs="宋体"/>
                <w:color w:val="auto"/>
                <w:sz w:val="24"/>
                <w:szCs w:val="24"/>
                <w:highlight w:val="none"/>
              </w:rPr>
            </w:pPr>
          </w:p>
        </w:tc>
        <w:tc>
          <w:tcPr>
            <w:tcW w:w="1134" w:type="dxa"/>
            <w:vAlign w:val="center"/>
          </w:tcPr>
          <w:p w14:paraId="2D71DE12">
            <w:pPr>
              <w:spacing w:line="360" w:lineRule="auto"/>
              <w:jc w:val="center"/>
              <w:rPr>
                <w:rFonts w:hint="eastAsia" w:ascii="宋体" w:hAnsi="宋体" w:cs="宋体"/>
                <w:color w:val="auto"/>
                <w:sz w:val="24"/>
                <w:szCs w:val="24"/>
                <w:highlight w:val="none"/>
              </w:rPr>
            </w:pPr>
          </w:p>
        </w:tc>
        <w:tc>
          <w:tcPr>
            <w:tcW w:w="1276" w:type="dxa"/>
            <w:vAlign w:val="center"/>
          </w:tcPr>
          <w:p w14:paraId="0461189B">
            <w:pPr>
              <w:spacing w:line="360" w:lineRule="auto"/>
              <w:jc w:val="center"/>
              <w:rPr>
                <w:rFonts w:hint="eastAsia" w:ascii="宋体" w:hAnsi="宋体" w:cs="宋体"/>
                <w:color w:val="auto"/>
                <w:sz w:val="24"/>
                <w:szCs w:val="24"/>
                <w:highlight w:val="none"/>
              </w:rPr>
            </w:pPr>
          </w:p>
        </w:tc>
        <w:tc>
          <w:tcPr>
            <w:tcW w:w="1346" w:type="dxa"/>
            <w:vAlign w:val="center"/>
          </w:tcPr>
          <w:p w14:paraId="1BF9B167">
            <w:pPr>
              <w:spacing w:line="360" w:lineRule="auto"/>
              <w:jc w:val="center"/>
              <w:rPr>
                <w:rFonts w:hint="eastAsia" w:ascii="宋体" w:hAnsi="宋体" w:cs="宋体"/>
                <w:color w:val="auto"/>
                <w:sz w:val="24"/>
                <w:szCs w:val="24"/>
                <w:highlight w:val="none"/>
              </w:rPr>
            </w:pPr>
          </w:p>
        </w:tc>
        <w:tc>
          <w:tcPr>
            <w:tcW w:w="1278" w:type="dxa"/>
            <w:vAlign w:val="center"/>
          </w:tcPr>
          <w:p w14:paraId="1C33BE57">
            <w:pPr>
              <w:spacing w:line="360" w:lineRule="auto"/>
              <w:jc w:val="center"/>
              <w:rPr>
                <w:rFonts w:hint="eastAsia" w:ascii="宋体" w:hAnsi="宋体" w:cs="宋体"/>
                <w:color w:val="auto"/>
                <w:sz w:val="24"/>
                <w:szCs w:val="24"/>
                <w:highlight w:val="none"/>
              </w:rPr>
            </w:pPr>
          </w:p>
        </w:tc>
        <w:tc>
          <w:tcPr>
            <w:tcW w:w="1215" w:type="dxa"/>
            <w:vAlign w:val="center"/>
          </w:tcPr>
          <w:p w14:paraId="6118BD90">
            <w:pPr>
              <w:spacing w:line="360" w:lineRule="auto"/>
              <w:jc w:val="center"/>
              <w:rPr>
                <w:rFonts w:hint="eastAsia" w:ascii="宋体" w:hAnsi="宋体" w:cs="宋体"/>
                <w:color w:val="auto"/>
                <w:sz w:val="24"/>
                <w:szCs w:val="24"/>
                <w:highlight w:val="none"/>
              </w:rPr>
            </w:pPr>
          </w:p>
        </w:tc>
      </w:tr>
      <w:tr w14:paraId="56DA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vAlign w:val="center"/>
          </w:tcPr>
          <w:p w14:paraId="61DAED10">
            <w:pPr>
              <w:spacing w:before="120"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559" w:type="dxa"/>
            <w:vAlign w:val="center"/>
          </w:tcPr>
          <w:p w14:paraId="26C56E88">
            <w:pPr>
              <w:spacing w:line="360" w:lineRule="auto"/>
              <w:jc w:val="center"/>
              <w:rPr>
                <w:rFonts w:hint="eastAsia" w:ascii="宋体" w:hAnsi="宋体" w:cs="宋体"/>
                <w:color w:val="auto"/>
                <w:sz w:val="24"/>
                <w:szCs w:val="24"/>
                <w:highlight w:val="none"/>
              </w:rPr>
            </w:pPr>
          </w:p>
        </w:tc>
        <w:tc>
          <w:tcPr>
            <w:tcW w:w="1134" w:type="dxa"/>
            <w:vAlign w:val="center"/>
          </w:tcPr>
          <w:p w14:paraId="7F2E2A93">
            <w:pPr>
              <w:spacing w:line="360" w:lineRule="auto"/>
              <w:jc w:val="center"/>
              <w:rPr>
                <w:rFonts w:hint="eastAsia" w:ascii="宋体" w:hAnsi="宋体" w:cs="宋体"/>
                <w:color w:val="auto"/>
                <w:sz w:val="24"/>
                <w:szCs w:val="24"/>
                <w:highlight w:val="none"/>
              </w:rPr>
            </w:pPr>
          </w:p>
        </w:tc>
        <w:tc>
          <w:tcPr>
            <w:tcW w:w="1276" w:type="dxa"/>
            <w:vAlign w:val="center"/>
          </w:tcPr>
          <w:p w14:paraId="29243B12">
            <w:pPr>
              <w:spacing w:line="360" w:lineRule="auto"/>
              <w:jc w:val="center"/>
              <w:rPr>
                <w:rFonts w:hint="eastAsia" w:ascii="宋体" w:hAnsi="宋体" w:cs="宋体"/>
                <w:color w:val="auto"/>
                <w:sz w:val="24"/>
                <w:szCs w:val="24"/>
                <w:highlight w:val="none"/>
              </w:rPr>
            </w:pPr>
          </w:p>
        </w:tc>
        <w:tc>
          <w:tcPr>
            <w:tcW w:w="1346" w:type="dxa"/>
            <w:vAlign w:val="center"/>
          </w:tcPr>
          <w:p w14:paraId="6DFAEA24">
            <w:pPr>
              <w:spacing w:line="360" w:lineRule="auto"/>
              <w:jc w:val="center"/>
              <w:rPr>
                <w:rFonts w:hint="eastAsia" w:ascii="宋体" w:hAnsi="宋体" w:cs="宋体"/>
                <w:color w:val="auto"/>
                <w:sz w:val="24"/>
                <w:szCs w:val="24"/>
                <w:highlight w:val="none"/>
              </w:rPr>
            </w:pPr>
          </w:p>
        </w:tc>
        <w:tc>
          <w:tcPr>
            <w:tcW w:w="1278" w:type="dxa"/>
            <w:vAlign w:val="center"/>
          </w:tcPr>
          <w:p w14:paraId="4ABCF1BB">
            <w:pPr>
              <w:spacing w:line="360" w:lineRule="auto"/>
              <w:jc w:val="center"/>
              <w:rPr>
                <w:rFonts w:hint="eastAsia" w:ascii="宋体" w:hAnsi="宋体" w:cs="宋体"/>
                <w:color w:val="auto"/>
                <w:sz w:val="24"/>
                <w:szCs w:val="24"/>
                <w:highlight w:val="none"/>
              </w:rPr>
            </w:pPr>
          </w:p>
        </w:tc>
        <w:tc>
          <w:tcPr>
            <w:tcW w:w="1215" w:type="dxa"/>
            <w:vAlign w:val="center"/>
          </w:tcPr>
          <w:p w14:paraId="65B66DD4">
            <w:pPr>
              <w:spacing w:line="360" w:lineRule="auto"/>
              <w:jc w:val="center"/>
              <w:rPr>
                <w:rFonts w:hint="eastAsia" w:ascii="宋体" w:hAnsi="宋体" w:cs="宋体"/>
                <w:color w:val="auto"/>
                <w:sz w:val="24"/>
                <w:szCs w:val="24"/>
                <w:highlight w:val="none"/>
              </w:rPr>
            </w:pPr>
          </w:p>
        </w:tc>
      </w:tr>
      <w:tr w14:paraId="5CB5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vAlign w:val="center"/>
          </w:tcPr>
          <w:p w14:paraId="257E1106">
            <w:pPr>
              <w:spacing w:before="120"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559" w:type="dxa"/>
            <w:vAlign w:val="center"/>
          </w:tcPr>
          <w:p w14:paraId="705FCD52">
            <w:pPr>
              <w:spacing w:line="360" w:lineRule="auto"/>
              <w:jc w:val="center"/>
              <w:rPr>
                <w:rFonts w:hint="eastAsia" w:ascii="宋体" w:hAnsi="宋体" w:cs="宋体"/>
                <w:color w:val="auto"/>
                <w:sz w:val="24"/>
                <w:szCs w:val="24"/>
                <w:highlight w:val="none"/>
              </w:rPr>
            </w:pPr>
          </w:p>
        </w:tc>
        <w:tc>
          <w:tcPr>
            <w:tcW w:w="1134" w:type="dxa"/>
            <w:vAlign w:val="center"/>
          </w:tcPr>
          <w:p w14:paraId="2654C132">
            <w:pPr>
              <w:spacing w:line="360" w:lineRule="auto"/>
              <w:jc w:val="center"/>
              <w:rPr>
                <w:rFonts w:hint="eastAsia" w:ascii="宋体" w:hAnsi="宋体" w:cs="宋体"/>
                <w:color w:val="auto"/>
                <w:sz w:val="24"/>
                <w:szCs w:val="24"/>
                <w:highlight w:val="none"/>
              </w:rPr>
            </w:pPr>
          </w:p>
        </w:tc>
        <w:tc>
          <w:tcPr>
            <w:tcW w:w="1276" w:type="dxa"/>
            <w:vAlign w:val="center"/>
          </w:tcPr>
          <w:p w14:paraId="1C845F20">
            <w:pPr>
              <w:spacing w:line="360" w:lineRule="auto"/>
              <w:jc w:val="center"/>
              <w:rPr>
                <w:rFonts w:hint="eastAsia" w:ascii="宋体" w:hAnsi="宋体" w:cs="宋体"/>
                <w:color w:val="auto"/>
                <w:sz w:val="24"/>
                <w:szCs w:val="24"/>
                <w:highlight w:val="none"/>
              </w:rPr>
            </w:pPr>
          </w:p>
        </w:tc>
        <w:tc>
          <w:tcPr>
            <w:tcW w:w="1346" w:type="dxa"/>
            <w:vAlign w:val="center"/>
          </w:tcPr>
          <w:p w14:paraId="1D421ECD">
            <w:pPr>
              <w:spacing w:line="360" w:lineRule="auto"/>
              <w:jc w:val="center"/>
              <w:rPr>
                <w:rFonts w:hint="eastAsia" w:ascii="宋体" w:hAnsi="宋体" w:cs="宋体"/>
                <w:color w:val="auto"/>
                <w:sz w:val="24"/>
                <w:szCs w:val="24"/>
                <w:highlight w:val="none"/>
              </w:rPr>
            </w:pPr>
          </w:p>
        </w:tc>
        <w:tc>
          <w:tcPr>
            <w:tcW w:w="1278" w:type="dxa"/>
            <w:vAlign w:val="center"/>
          </w:tcPr>
          <w:p w14:paraId="7420845E">
            <w:pPr>
              <w:spacing w:line="360" w:lineRule="auto"/>
              <w:jc w:val="center"/>
              <w:rPr>
                <w:rFonts w:hint="eastAsia" w:ascii="宋体" w:hAnsi="宋体" w:cs="宋体"/>
                <w:color w:val="auto"/>
                <w:sz w:val="24"/>
                <w:szCs w:val="24"/>
                <w:highlight w:val="none"/>
              </w:rPr>
            </w:pPr>
          </w:p>
        </w:tc>
        <w:tc>
          <w:tcPr>
            <w:tcW w:w="1215" w:type="dxa"/>
            <w:vAlign w:val="center"/>
          </w:tcPr>
          <w:p w14:paraId="62DFFDF8">
            <w:pPr>
              <w:spacing w:line="360" w:lineRule="auto"/>
              <w:jc w:val="center"/>
              <w:rPr>
                <w:rFonts w:hint="eastAsia" w:ascii="宋体" w:hAnsi="宋体" w:cs="宋体"/>
                <w:color w:val="auto"/>
                <w:sz w:val="24"/>
                <w:szCs w:val="24"/>
                <w:highlight w:val="none"/>
              </w:rPr>
            </w:pPr>
          </w:p>
        </w:tc>
      </w:tr>
      <w:tr w14:paraId="419B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vAlign w:val="center"/>
          </w:tcPr>
          <w:p w14:paraId="3CF2B240">
            <w:pPr>
              <w:spacing w:before="120"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559" w:type="dxa"/>
            <w:vAlign w:val="center"/>
          </w:tcPr>
          <w:p w14:paraId="45AD183E">
            <w:pPr>
              <w:spacing w:line="360" w:lineRule="auto"/>
              <w:jc w:val="center"/>
              <w:rPr>
                <w:rFonts w:hint="eastAsia" w:ascii="宋体" w:hAnsi="宋体" w:cs="宋体"/>
                <w:color w:val="auto"/>
                <w:sz w:val="24"/>
                <w:szCs w:val="24"/>
                <w:highlight w:val="none"/>
              </w:rPr>
            </w:pPr>
          </w:p>
        </w:tc>
        <w:tc>
          <w:tcPr>
            <w:tcW w:w="1134" w:type="dxa"/>
            <w:vAlign w:val="center"/>
          </w:tcPr>
          <w:p w14:paraId="1C87D7F2">
            <w:pPr>
              <w:spacing w:line="360" w:lineRule="auto"/>
              <w:jc w:val="center"/>
              <w:rPr>
                <w:rFonts w:hint="eastAsia" w:ascii="宋体" w:hAnsi="宋体" w:cs="宋体"/>
                <w:color w:val="auto"/>
                <w:sz w:val="24"/>
                <w:szCs w:val="24"/>
                <w:highlight w:val="none"/>
              </w:rPr>
            </w:pPr>
          </w:p>
        </w:tc>
        <w:tc>
          <w:tcPr>
            <w:tcW w:w="1276" w:type="dxa"/>
            <w:vAlign w:val="center"/>
          </w:tcPr>
          <w:p w14:paraId="22741517">
            <w:pPr>
              <w:spacing w:line="360" w:lineRule="auto"/>
              <w:jc w:val="center"/>
              <w:rPr>
                <w:rFonts w:hint="eastAsia" w:ascii="宋体" w:hAnsi="宋体" w:cs="宋体"/>
                <w:color w:val="auto"/>
                <w:sz w:val="24"/>
                <w:szCs w:val="24"/>
                <w:highlight w:val="none"/>
              </w:rPr>
            </w:pPr>
          </w:p>
        </w:tc>
        <w:tc>
          <w:tcPr>
            <w:tcW w:w="1346" w:type="dxa"/>
            <w:vAlign w:val="center"/>
          </w:tcPr>
          <w:p w14:paraId="5A59D358">
            <w:pPr>
              <w:spacing w:line="360" w:lineRule="auto"/>
              <w:jc w:val="center"/>
              <w:rPr>
                <w:rFonts w:hint="eastAsia" w:ascii="宋体" w:hAnsi="宋体" w:cs="宋体"/>
                <w:color w:val="auto"/>
                <w:sz w:val="24"/>
                <w:szCs w:val="24"/>
                <w:highlight w:val="none"/>
              </w:rPr>
            </w:pPr>
          </w:p>
        </w:tc>
        <w:tc>
          <w:tcPr>
            <w:tcW w:w="1278" w:type="dxa"/>
            <w:vAlign w:val="center"/>
          </w:tcPr>
          <w:p w14:paraId="68A35F7E">
            <w:pPr>
              <w:spacing w:line="360" w:lineRule="auto"/>
              <w:jc w:val="center"/>
              <w:rPr>
                <w:rFonts w:hint="eastAsia" w:ascii="宋体" w:hAnsi="宋体" w:cs="宋体"/>
                <w:color w:val="auto"/>
                <w:sz w:val="24"/>
                <w:szCs w:val="24"/>
                <w:highlight w:val="none"/>
              </w:rPr>
            </w:pPr>
          </w:p>
        </w:tc>
        <w:tc>
          <w:tcPr>
            <w:tcW w:w="1215" w:type="dxa"/>
            <w:vAlign w:val="center"/>
          </w:tcPr>
          <w:p w14:paraId="3432485D">
            <w:pPr>
              <w:spacing w:line="360" w:lineRule="auto"/>
              <w:jc w:val="center"/>
              <w:rPr>
                <w:rFonts w:hint="eastAsia" w:ascii="宋体" w:hAnsi="宋体" w:cs="宋体"/>
                <w:color w:val="auto"/>
                <w:sz w:val="24"/>
                <w:szCs w:val="24"/>
                <w:highlight w:val="none"/>
              </w:rPr>
            </w:pPr>
          </w:p>
        </w:tc>
      </w:tr>
      <w:tr w14:paraId="07C2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vAlign w:val="center"/>
          </w:tcPr>
          <w:p w14:paraId="12ABD44B">
            <w:pPr>
              <w:spacing w:before="120"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559" w:type="dxa"/>
            <w:vAlign w:val="center"/>
          </w:tcPr>
          <w:p w14:paraId="64FBF971">
            <w:pPr>
              <w:spacing w:line="360" w:lineRule="auto"/>
              <w:jc w:val="center"/>
              <w:rPr>
                <w:rFonts w:hint="eastAsia" w:ascii="宋体" w:hAnsi="宋体" w:cs="宋体"/>
                <w:color w:val="auto"/>
                <w:sz w:val="24"/>
                <w:szCs w:val="24"/>
                <w:highlight w:val="none"/>
              </w:rPr>
            </w:pPr>
          </w:p>
        </w:tc>
        <w:tc>
          <w:tcPr>
            <w:tcW w:w="1134" w:type="dxa"/>
            <w:vAlign w:val="center"/>
          </w:tcPr>
          <w:p w14:paraId="319D46BC">
            <w:pPr>
              <w:spacing w:line="360" w:lineRule="auto"/>
              <w:jc w:val="center"/>
              <w:rPr>
                <w:rFonts w:hint="eastAsia" w:ascii="宋体" w:hAnsi="宋体" w:cs="宋体"/>
                <w:color w:val="auto"/>
                <w:sz w:val="24"/>
                <w:szCs w:val="24"/>
                <w:highlight w:val="none"/>
              </w:rPr>
            </w:pPr>
          </w:p>
        </w:tc>
        <w:tc>
          <w:tcPr>
            <w:tcW w:w="1276" w:type="dxa"/>
            <w:vAlign w:val="center"/>
          </w:tcPr>
          <w:p w14:paraId="79AF563C">
            <w:pPr>
              <w:spacing w:line="360" w:lineRule="auto"/>
              <w:jc w:val="center"/>
              <w:rPr>
                <w:rFonts w:hint="eastAsia" w:ascii="宋体" w:hAnsi="宋体" w:cs="宋体"/>
                <w:color w:val="auto"/>
                <w:sz w:val="24"/>
                <w:szCs w:val="24"/>
                <w:highlight w:val="none"/>
              </w:rPr>
            </w:pPr>
          </w:p>
        </w:tc>
        <w:tc>
          <w:tcPr>
            <w:tcW w:w="1346" w:type="dxa"/>
            <w:vAlign w:val="center"/>
          </w:tcPr>
          <w:p w14:paraId="568C47FD">
            <w:pPr>
              <w:spacing w:line="360" w:lineRule="auto"/>
              <w:jc w:val="center"/>
              <w:rPr>
                <w:rFonts w:hint="eastAsia" w:ascii="宋体" w:hAnsi="宋体" w:cs="宋体"/>
                <w:color w:val="auto"/>
                <w:sz w:val="24"/>
                <w:szCs w:val="24"/>
                <w:highlight w:val="none"/>
              </w:rPr>
            </w:pPr>
          </w:p>
        </w:tc>
        <w:tc>
          <w:tcPr>
            <w:tcW w:w="1278" w:type="dxa"/>
            <w:vAlign w:val="center"/>
          </w:tcPr>
          <w:p w14:paraId="294184DC">
            <w:pPr>
              <w:spacing w:line="360" w:lineRule="auto"/>
              <w:jc w:val="center"/>
              <w:rPr>
                <w:rFonts w:hint="eastAsia" w:ascii="宋体" w:hAnsi="宋体" w:cs="宋体"/>
                <w:color w:val="auto"/>
                <w:sz w:val="24"/>
                <w:szCs w:val="24"/>
                <w:highlight w:val="none"/>
              </w:rPr>
            </w:pPr>
          </w:p>
        </w:tc>
        <w:tc>
          <w:tcPr>
            <w:tcW w:w="1215" w:type="dxa"/>
            <w:vAlign w:val="center"/>
          </w:tcPr>
          <w:p w14:paraId="577C672C">
            <w:pPr>
              <w:spacing w:line="360" w:lineRule="auto"/>
              <w:jc w:val="center"/>
              <w:rPr>
                <w:rFonts w:hint="eastAsia" w:ascii="宋体" w:hAnsi="宋体" w:cs="宋体"/>
                <w:color w:val="auto"/>
                <w:sz w:val="24"/>
                <w:szCs w:val="24"/>
                <w:highlight w:val="none"/>
              </w:rPr>
            </w:pPr>
          </w:p>
        </w:tc>
      </w:tr>
      <w:tr w14:paraId="5F7B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vAlign w:val="center"/>
          </w:tcPr>
          <w:p w14:paraId="5CC835F1">
            <w:pPr>
              <w:spacing w:before="120" w:beforeLines="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559" w:type="dxa"/>
            <w:vAlign w:val="center"/>
          </w:tcPr>
          <w:p w14:paraId="07CA4067">
            <w:pPr>
              <w:spacing w:line="360" w:lineRule="auto"/>
              <w:jc w:val="center"/>
              <w:rPr>
                <w:rFonts w:hint="eastAsia" w:ascii="宋体" w:hAnsi="宋体" w:cs="宋体"/>
                <w:color w:val="auto"/>
                <w:sz w:val="24"/>
                <w:szCs w:val="24"/>
                <w:highlight w:val="none"/>
              </w:rPr>
            </w:pPr>
          </w:p>
        </w:tc>
        <w:tc>
          <w:tcPr>
            <w:tcW w:w="1134" w:type="dxa"/>
            <w:vAlign w:val="center"/>
          </w:tcPr>
          <w:p w14:paraId="75155C26">
            <w:pPr>
              <w:spacing w:line="360" w:lineRule="auto"/>
              <w:jc w:val="center"/>
              <w:rPr>
                <w:rFonts w:hint="eastAsia" w:ascii="宋体" w:hAnsi="宋体" w:cs="宋体"/>
                <w:color w:val="auto"/>
                <w:sz w:val="24"/>
                <w:szCs w:val="24"/>
                <w:highlight w:val="none"/>
              </w:rPr>
            </w:pPr>
          </w:p>
        </w:tc>
        <w:tc>
          <w:tcPr>
            <w:tcW w:w="1276" w:type="dxa"/>
            <w:vAlign w:val="center"/>
          </w:tcPr>
          <w:p w14:paraId="4F7D0881">
            <w:pPr>
              <w:spacing w:line="360" w:lineRule="auto"/>
              <w:jc w:val="center"/>
              <w:rPr>
                <w:rFonts w:hint="eastAsia" w:ascii="宋体" w:hAnsi="宋体" w:cs="宋体"/>
                <w:color w:val="auto"/>
                <w:sz w:val="24"/>
                <w:szCs w:val="24"/>
                <w:highlight w:val="none"/>
              </w:rPr>
            </w:pPr>
          </w:p>
        </w:tc>
        <w:tc>
          <w:tcPr>
            <w:tcW w:w="1346" w:type="dxa"/>
            <w:vAlign w:val="center"/>
          </w:tcPr>
          <w:p w14:paraId="0ABC0985">
            <w:pPr>
              <w:spacing w:line="360" w:lineRule="auto"/>
              <w:jc w:val="center"/>
              <w:rPr>
                <w:rFonts w:hint="eastAsia" w:ascii="宋体" w:hAnsi="宋体" w:cs="宋体"/>
                <w:color w:val="auto"/>
                <w:sz w:val="24"/>
                <w:szCs w:val="24"/>
                <w:highlight w:val="none"/>
              </w:rPr>
            </w:pPr>
          </w:p>
        </w:tc>
        <w:tc>
          <w:tcPr>
            <w:tcW w:w="1278" w:type="dxa"/>
            <w:vAlign w:val="center"/>
          </w:tcPr>
          <w:p w14:paraId="041E483C">
            <w:pPr>
              <w:spacing w:line="360" w:lineRule="auto"/>
              <w:jc w:val="center"/>
              <w:rPr>
                <w:rFonts w:hint="eastAsia" w:ascii="宋体" w:hAnsi="宋体" w:cs="宋体"/>
                <w:color w:val="auto"/>
                <w:sz w:val="24"/>
                <w:szCs w:val="24"/>
                <w:highlight w:val="none"/>
              </w:rPr>
            </w:pPr>
          </w:p>
        </w:tc>
        <w:tc>
          <w:tcPr>
            <w:tcW w:w="1215" w:type="dxa"/>
            <w:vAlign w:val="center"/>
          </w:tcPr>
          <w:p w14:paraId="55B8209B">
            <w:pPr>
              <w:spacing w:line="360" w:lineRule="auto"/>
              <w:jc w:val="center"/>
              <w:rPr>
                <w:rFonts w:hint="eastAsia" w:ascii="宋体" w:hAnsi="宋体" w:cs="宋体"/>
                <w:color w:val="auto"/>
                <w:sz w:val="24"/>
                <w:szCs w:val="24"/>
                <w:highlight w:val="none"/>
              </w:rPr>
            </w:pPr>
          </w:p>
        </w:tc>
      </w:tr>
    </w:tbl>
    <w:p w14:paraId="12F41295">
      <w:pPr>
        <w:spacing w:before="120" w:beforeLines="50" w:line="360" w:lineRule="auto"/>
        <w:ind w:right="252" w:rightChars="120" w:firstLine="315" w:firstLineChars="150"/>
        <w:jc w:val="left"/>
        <w:rPr>
          <w:rFonts w:hint="eastAsia" w:ascii="宋体" w:hAnsi="宋体" w:eastAsia="宋体" w:cs="宋体"/>
          <w:color w:val="auto"/>
          <w:kern w:val="0"/>
          <w:szCs w:val="21"/>
          <w:highlight w:val="none"/>
        </w:rPr>
      </w:pPr>
      <w:r>
        <w:rPr>
          <w:rFonts w:hint="eastAsia" w:cs="宋体" w:asciiTheme="minorEastAsia" w:hAnsiTheme="minorEastAsia" w:eastAsiaTheme="minorEastAsia"/>
          <w:bCs/>
          <w:color w:val="auto"/>
          <w:kern w:val="0"/>
          <w:szCs w:val="21"/>
          <w:highlight w:val="none"/>
        </w:rPr>
        <w:t>注：</w:t>
      </w:r>
      <w:r>
        <w:rPr>
          <w:rFonts w:hint="eastAsia" w:ascii="宋体" w:hAnsi="宋体" w:cs="宋体"/>
          <w:color w:val="auto"/>
          <w:kern w:val="0"/>
          <w:szCs w:val="21"/>
          <w:highlight w:val="none"/>
        </w:rPr>
        <w:t>本表后应附拟派服务人员的身份证的原件扫描件。其中：</w:t>
      </w:r>
      <w:r>
        <w:rPr>
          <w:rFonts w:hint="eastAsia" w:ascii="宋体" w:hAnsi="宋体" w:cs="宋体"/>
          <w:color w:val="auto"/>
          <w:kern w:val="0"/>
          <w:szCs w:val="21"/>
          <w:highlight w:val="none"/>
          <w:lang w:val="en-US" w:eastAsia="zh-CN"/>
        </w:rPr>
        <w:t>安保</w:t>
      </w:r>
      <w:r>
        <w:rPr>
          <w:rFonts w:hint="eastAsia" w:ascii="宋体" w:hAnsi="宋体" w:cs="宋体"/>
          <w:color w:val="auto"/>
          <w:kern w:val="0"/>
          <w:szCs w:val="21"/>
          <w:highlight w:val="none"/>
        </w:rPr>
        <w:t>人员应附</w:t>
      </w:r>
      <w:r>
        <w:rPr>
          <w:rFonts w:hint="eastAsia"/>
          <w:color w:val="auto"/>
          <w:highlight w:val="none"/>
        </w:rPr>
        <w:t>有</w:t>
      </w:r>
      <w:r>
        <w:rPr>
          <w:rFonts w:hint="eastAsia" w:ascii="宋体" w:hAnsi="宋体" w:eastAsia="宋体" w:cs="宋体"/>
          <w:color w:val="auto"/>
          <w:kern w:val="0"/>
          <w:szCs w:val="21"/>
          <w:highlight w:val="none"/>
        </w:rPr>
        <w:t>效的</w:t>
      </w:r>
      <w:r>
        <w:rPr>
          <w:rFonts w:hint="eastAsia" w:ascii="宋体" w:hAnsi="宋体" w:eastAsia="宋体" w:cs="宋体"/>
          <w:color w:val="auto"/>
          <w:kern w:val="0"/>
          <w:szCs w:val="21"/>
          <w:highlight w:val="none"/>
          <w:lang w:val="en-US" w:eastAsia="zh-CN"/>
        </w:rPr>
        <w:t>保安证</w:t>
      </w:r>
      <w:r>
        <w:rPr>
          <w:rFonts w:hint="eastAsia" w:ascii="宋体" w:hAnsi="宋体" w:eastAsia="宋体" w:cs="宋体"/>
          <w:color w:val="auto"/>
          <w:kern w:val="0"/>
          <w:szCs w:val="21"/>
          <w:highlight w:val="none"/>
        </w:rPr>
        <w:t>的原件扫描件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消控室现场值班人员必须持有消防监督管理部门认可的建（构）筑物消防员证</w:t>
      </w:r>
      <w:r>
        <w:rPr>
          <w:rFonts w:hint="eastAsia" w:ascii="宋体" w:hAnsi="宋体" w:eastAsia="宋体" w:cs="宋体"/>
          <w:color w:val="auto"/>
          <w:kern w:val="0"/>
          <w:szCs w:val="21"/>
          <w:highlight w:val="none"/>
        </w:rPr>
        <w:t>。</w:t>
      </w:r>
    </w:p>
    <w:p w14:paraId="5119CD8F">
      <w:pPr>
        <w:spacing w:line="360" w:lineRule="auto"/>
        <w:rPr>
          <w:rFonts w:hint="eastAsia" w:ascii="宋体" w:hAnsi="宋体"/>
          <w:color w:val="auto"/>
          <w:highlight w:val="none"/>
        </w:rPr>
      </w:pPr>
    </w:p>
    <w:p w14:paraId="65EFCD86">
      <w:pPr>
        <w:spacing w:line="360" w:lineRule="auto"/>
        <w:ind w:firstLine="420" w:firstLineChars="200"/>
        <w:rPr>
          <w:rFonts w:hint="eastAsia" w:ascii="宋体" w:hAnsi="宋体"/>
          <w:color w:val="auto"/>
          <w:highlight w:val="none"/>
        </w:rPr>
      </w:pPr>
    </w:p>
    <w:p w14:paraId="1A971828">
      <w:pPr>
        <w:spacing w:line="360" w:lineRule="auto"/>
        <w:rPr>
          <w:rFonts w:hint="eastAsia" w:ascii="宋体" w:hAnsi="宋体"/>
          <w:color w:val="auto"/>
          <w:highlight w:val="none"/>
        </w:rPr>
      </w:pPr>
    </w:p>
    <w:p w14:paraId="1F5D0B33">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asciiTheme="minorEastAsia" w:hAnsiTheme="minorEastAsia" w:eastAsiaTheme="minorEastAsia"/>
          <w:bCs/>
          <w:color w:val="auto"/>
          <w:szCs w:val="21"/>
          <w:highlight w:val="none"/>
          <w:u w:val="single"/>
        </w:rPr>
        <w:t>）</w:t>
      </w:r>
    </w:p>
    <w:p w14:paraId="4F835E58">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法定代表人：</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 xml:space="preserve"> (电子签章)</w:t>
      </w:r>
      <w:r>
        <w:rPr>
          <w:rFonts w:asciiTheme="minorEastAsia" w:hAnsiTheme="minorEastAsia" w:eastAsiaTheme="minorEastAsia"/>
          <w:bCs/>
          <w:color w:val="auto"/>
          <w:szCs w:val="21"/>
          <w:highlight w:val="none"/>
          <w:u w:val="single"/>
        </w:rPr>
        <w:t xml:space="preserve"> </w:t>
      </w:r>
    </w:p>
    <w:p w14:paraId="24B0FE58">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日 期：</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年</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月</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日</w:t>
      </w:r>
    </w:p>
    <w:p w14:paraId="6FEA749B">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38732AA8">
      <w:pPr>
        <w:spacing w:line="360" w:lineRule="auto"/>
        <w:jc w:val="center"/>
        <w:outlineLvl w:val="2"/>
        <w:rPr>
          <w:rFonts w:hint="eastAsia" w:asciiTheme="minorEastAsia" w:hAnsiTheme="minorEastAsia" w:eastAsiaTheme="minorEastAsia"/>
          <w:b/>
          <w:color w:val="auto"/>
          <w:sz w:val="28"/>
          <w:szCs w:val="28"/>
          <w:highlight w:val="none"/>
        </w:rPr>
      </w:pPr>
      <w:bookmarkStart w:id="1225" w:name="_Toc2492"/>
      <w:r>
        <w:rPr>
          <w:rFonts w:hint="eastAsia" w:asciiTheme="minorEastAsia" w:hAnsiTheme="minorEastAsia" w:eastAsiaTheme="minorEastAsia"/>
          <w:b/>
          <w:color w:val="auto"/>
          <w:sz w:val="28"/>
          <w:szCs w:val="28"/>
          <w:highlight w:val="none"/>
        </w:rPr>
        <w:t>（六）采购需求响应承诺书</w:t>
      </w:r>
      <w:bookmarkEnd w:id="1225"/>
    </w:p>
    <w:p w14:paraId="3B2A8270">
      <w:pPr>
        <w:pStyle w:val="135"/>
        <w:spacing w:line="360" w:lineRule="auto"/>
        <w:ind w:firstLine="420" w:firstLineChars="200"/>
        <w:jc w:val="left"/>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rPr>
        <w:t>注：</w:t>
      </w:r>
      <w:r>
        <w:rPr>
          <w:rFonts w:hint="eastAsia" w:asciiTheme="minorEastAsia" w:hAnsiTheme="minorEastAsia" w:eastAsiaTheme="minorEastAsia"/>
          <w:color w:val="auto"/>
          <w:highlight w:val="none"/>
          <w:lang w:val="zh-CN"/>
        </w:rPr>
        <w:t>供应商</w:t>
      </w:r>
      <w:r>
        <w:rPr>
          <w:rFonts w:hint="eastAsia" w:asciiTheme="minorEastAsia" w:hAnsiTheme="minorEastAsia" w:eastAsiaTheme="minorEastAsia"/>
          <w:color w:val="auto"/>
          <w:highlight w:val="none"/>
        </w:rPr>
        <w:t>根据第五章“采购需求及要求”</w:t>
      </w:r>
      <w:r>
        <w:rPr>
          <w:rFonts w:hint="eastAsia" w:asciiTheme="minorEastAsia" w:hAnsiTheme="minorEastAsia" w:eastAsiaTheme="minorEastAsia"/>
          <w:color w:val="auto"/>
          <w:highlight w:val="none"/>
          <w:lang w:val="zh-CN"/>
        </w:rPr>
        <w:t>自行承诺，并对承诺内容的真实性负责。</w:t>
      </w:r>
    </w:p>
    <w:p w14:paraId="0A1E0EE6">
      <w:pPr>
        <w:spacing w:line="360" w:lineRule="auto"/>
        <w:ind w:firstLine="420" w:firstLineChars="200"/>
        <w:rPr>
          <w:rFonts w:hint="eastAsia" w:ascii="宋体" w:hAnsi="宋体"/>
          <w:color w:val="auto"/>
          <w:highlight w:val="none"/>
        </w:rPr>
      </w:pPr>
    </w:p>
    <w:p w14:paraId="3BAC8112">
      <w:pPr>
        <w:spacing w:line="360" w:lineRule="auto"/>
        <w:ind w:firstLine="420" w:firstLineChars="200"/>
        <w:rPr>
          <w:rFonts w:hint="eastAsia" w:ascii="宋体" w:hAnsi="宋体"/>
          <w:color w:val="auto"/>
          <w:highlight w:val="none"/>
        </w:rPr>
      </w:pPr>
    </w:p>
    <w:p w14:paraId="506FB418">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p>
    <w:p w14:paraId="1BC7863B">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asciiTheme="minorEastAsia" w:hAnsiTheme="minorEastAsia" w:eastAsiaTheme="minorEastAsia"/>
          <w:bCs/>
          <w:color w:val="auto"/>
          <w:szCs w:val="21"/>
          <w:highlight w:val="none"/>
          <w:u w:val="single"/>
        </w:rPr>
        <w:t>）</w:t>
      </w:r>
    </w:p>
    <w:p w14:paraId="50754353">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法定代表人：</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 xml:space="preserve"> (电子签章)</w:t>
      </w:r>
      <w:r>
        <w:rPr>
          <w:rFonts w:asciiTheme="minorEastAsia" w:hAnsiTheme="minorEastAsia" w:eastAsiaTheme="minorEastAsia"/>
          <w:bCs/>
          <w:color w:val="auto"/>
          <w:szCs w:val="21"/>
          <w:highlight w:val="none"/>
          <w:u w:val="single"/>
        </w:rPr>
        <w:t xml:space="preserve"> </w:t>
      </w:r>
    </w:p>
    <w:p w14:paraId="7E253CF2">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日 期：</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年</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月</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日</w:t>
      </w:r>
    </w:p>
    <w:p w14:paraId="2DC9AA71">
      <w:pPr>
        <w:spacing w:line="480" w:lineRule="auto"/>
        <w:ind w:firstLine="5880" w:firstLineChars="2100"/>
        <w:jc w:val="left"/>
        <w:rPr>
          <w:color w:val="auto"/>
          <w:sz w:val="28"/>
          <w:szCs w:val="24"/>
          <w:highlight w:val="none"/>
        </w:rPr>
      </w:pPr>
    </w:p>
    <w:p w14:paraId="30C1F5D7">
      <w:pPr>
        <w:spacing w:line="360" w:lineRule="auto"/>
        <w:jc w:val="center"/>
        <w:outlineLvl w:val="2"/>
        <w:rPr>
          <w:rFonts w:hint="eastAsia" w:asciiTheme="minorEastAsia" w:hAnsiTheme="minorEastAsia" w:eastAsiaTheme="minorEastAsia"/>
          <w:b/>
          <w:color w:val="auto"/>
          <w:sz w:val="28"/>
          <w:szCs w:val="28"/>
          <w:highlight w:val="none"/>
        </w:rPr>
        <w:sectPr>
          <w:headerReference r:id="rId13" w:type="first"/>
          <w:footerReference r:id="rId14" w:type="first"/>
          <w:pgSz w:w="11906" w:h="16838"/>
          <w:pgMar w:top="1157" w:right="1474" w:bottom="1157" w:left="1474" w:header="510" w:footer="850" w:gutter="0"/>
          <w:cols w:space="0" w:num="1"/>
          <w:rtlGutter w:val="0"/>
          <w:docGrid w:linePitch="312" w:charSpace="0"/>
        </w:sectPr>
      </w:pPr>
    </w:p>
    <w:p w14:paraId="502719C4">
      <w:pPr>
        <w:spacing w:line="360" w:lineRule="auto"/>
        <w:jc w:val="center"/>
        <w:outlineLvl w:val="2"/>
        <w:rPr>
          <w:rFonts w:hint="eastAsia" w:asciiTheme="minorEastAsia" w:hAnsiTheme="minorEastAsia" w:eastAsiaTheme="minorEastAsia"/>
          <w:b/>
          <w:color w:val="auto"/>
          <w:sz w:val="28"/>
          <w:szCs w:val="28"/>
          <w:highlight w:val="none"/>
        </w:rPr>
      </w:pPr>
      <w:bookmarkStart w:id="1226" w:name="_Toc25850"/>
      <w:r>
        <w:rPr>
          <w:rFonts w:hint="eastAsia" w:asciiTheme="minorEastAsia" w:hAnsiTheme="minorEastAsia" w:eastAsiaTheme="minorEastAsia"/>
          <w:b/>
          <w:color w:val="auto"/>
          <w:sz w:val="28"/>
          <w:szCs w:val="28"/>
          <w:highlight w:val="none"/>
        </w:rPr>
        <w:t>（七）其他</w:t>
      </w:r>
      <w:bookmarkEnd w:id="1226"/>
    </w:p>
    <w:tbl>
      <w:tblPr>
        <w:tblStyle w:val="5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58"/>
        <w:gridCol w:w="4820"/>
        <w:gridCol w:w="1360"/>
        <w:gridCol w:w="674"/>
      </w:tblGrid>
      <w:tr w14:paraId="628C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675" w:type="dxa"/>
            <w:tcBorders>
              <w:top w:val="single" w:color="auto" w:sz="12" w:space="0"/>
              <w:left w:val="single" w:color="auto" w:sz="12" w:space="0"/>
            </w:tcBorders>
            <w:vAlign w:val="center"/>
          </w:tcPr>
          <w:p w14:paraId="07144DF9">
            <w:pPr>
              <w:spacing w:before="60" w:beforeLines="25" w:after="60" w:afterLines="25"/>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758" w:type="dxa"/>
            <w:tcBorders>
              <w:top w:val="single" w:color="auto" w:sz="12" w:space="0"/>
            </w:tcBorders>
            <w:vAlign w:val="center"/>
          </w:tcPr>
          <w:p w14:paraId="30FFEDCC">
            <w:pPr>
              <w:widowControl/>
              <w:spacing w:before="60" w:beforeLines="25" w:after="60" w:afterLines="25"/>
              <w:jc w:val="center"/>
              <w:rPr>
                <w:rFonts w:hint="eastAsia" w:ascii="宋体" w:hAnsi="宋体" w:cs="宋体"/>
                <w:b/>
                <w:color w:val="auto"/>
                <w:szCs w:val="21"/>
                <w:highlight w:val="none"/>
              </w:rPr>
            </w:pPr>
            <w:r>
              <w:rPr>
                <w:rFonts w:hint="eastAsia" w:ascii="宋体" w:hAnsi="宋体" w:cs="宋体"/>
                <w:b/>
                <w:color w:val="auto"/>
                <w:szCs w:val="21"/>
                <w:highlight w:val="none"/>
              </w:rPr>
              <w:t>符合性审查内容</w:t>
            </w:r>
          </w:p>
        </w:tc>
        <w:tc>
          <w:tcPr>
            <w:tcW w:w="4820" w:type="dxa"/>
            <w:tcBorders>
              <w:top w:val="single" w:color="auto" w:sz="12" w:space="0"/>
            </w:tcBorders>
            <w:vAlign w:val="center"/>
          </w:tcPr>
          <w:p w14:paraId="6552889E">
            <w:pPr>
              <w:widowControl/>
              <w:spacing w:before="60" w:beforeLines="25" w:after="60" w:afterLines="25"/>
              <w:jc w:val="center"/>
              <w:rPr>
                <w:rFonts w:hint="eastAsia" w:ascii="宋体" w:hAnsi="宋体" w:cs="宋体"/>
                <w:b/>
                <w:color w:val="auto"/>
                <w:szCs w:val="21"/>
                <w:highlight w:val="none"/>
              </w:rPr>
            </w:pPr>
            <w:r>
              <w:rPr>
                <w:rFonts w:hint="eastAsia" w:ascii="宋体" w:hAnsi="宋体" w:cs="宋体"/>
                <w:b/>
                <w:color w:val="auto"/>
                <w:szCs w:val="21"/>
                <w:highlight w:val="none"/>
              </w:rPr>
              <w:t>采购文件要求</w:t>
            </w:r>
          </w:p>
        </w:tc>
        <w:tc>
          <w:tcPr>
            <w:tcW w:w="1360" w:type="dxa"/>
            <w:tcBorders>
              <w:top w:val="single" w:color="auto" w:sz="12" w:space="0"/>
            </w:tcBorders>
            <w:vAlign w:val="center"/>
          </w:tcPr>
          <w:p w14:paraId="2A50099D">
            <w:pPr>
              <w:spacing w:before="60" w:beforeLines="25" w:after="60" w:afterLines="25"/>
              <w:jc w:val="center"/>
              <w:rPr>
                <w:rFonts w:hint="eastAsia" w:ascii="宋体" w:hAnsi="宋体" w:cs="宋体"/>
                <w:b/>
                <w:color w:val="auto"/>
                <w:szCs w:val="21"/>
                <w:highlight w:val="none"/>
              </w:rPr>
            </w:pPr>
            <w:r>
              <w:rPr>
                <w:rFonts w:hint="eastAsia" w:ascii="宋体" w:hAnsi="宋体" w:cs="宋体"/>
                <w:b/>
                <w:color w:val="auto"/>
                <w:szCs w:val="21"/>
                <w:highlight w:val="none"/>
              </w:rPr>
              <w:t>供应商响应情况</w:t>
            </w:r>
          </w:p>
        </w:tc>
        <w:tc>
          <w:tcPr>
            <w:tcW w:w="674" w:type="dxa"/>
            <w:tcBorders>
              <w:top w:val="single" w:color="auto" w:sz="12" w:space="0"/>
              <w:right w:val="single" w:color="auto" w:sz="12" w:space="0"/>
            </w:tcBorders>
            <w:vAlign w:val="center"/>
          </w:tcPr>
          <w:p w14:paraId="5B8D9B4F">
            <w:pPr>
              <w:spacing w:before="60" w:beforeLines="25" w:after="60" w:afterLines="25"/>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0B1C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tcBorders>
              <w:left w:val="single" w:color="auto" w:sz="12" w:space="0"/>
            </w:tcBorders>
            <w:vAlign w:val="center"/>
          </w:tcPr>
          <w:p w14:paraId="30D9D72B">
            <w:pPr>
              <w:spacing w:before="60" w:beforeLines="25" w:after="60" w:afterLines="25"/>
              <w:jc w:val="center"/>
              <w:rPr>
                <w:rFonts w:hint="eastAsia" w:ascii="宋体" w:hAnsi="宋体" w:cs="宋体"/>
                <w:color w:val="auto"/>
                <w:szCs w:val="24"/>
                <w:highlight w:val="none"/>
              </w:rPr>
            </w:pPr>
            <w:r>
              <w:rPr>
                <w:rFonts w:hint="eastAsia" w:ascii="宋体" w:hAnsi="宋体" w:cs="宋体"/>
                <w:color w:val="auto"/>
                <w:szCs w:val="24"/>
                <w:highlight w:val="none"/>
              </w:rPr>
              <w:t>1</w:t>
            </w:r>
          </w:p>
        </w:tc>
        <w:tc>
          <w:tcPr>
            <w:tcW w:w="1758" w:type="dxa"/>
            <w:vAlign w:val="center"/>
          </w:tcPr>
          <w:p w14:paraId="30204C63">
            <w:pPr>
              <w:spacing w:before="60" w:beforeLines="25" w:after="60" w:afterLines="25"/>
              <w:jc w:val="center"/>
              <w:rPr>
                <w:rFonts w:hint="eastAsia" w:ascii="宋体" w:hAnsi="宋体" w:cs="宋体"/>
                <w:color w:val="auto"/>
                <w:szCs w:val="24"/>
                <w:highlight w:val="none"/>
              </w:rPr>
            </w:pPr>
            <w:r>
              <w:rPr>
                <w:rFonts w:hint="eastAsia" w:ascii="宋体" w:hAnsi="宋体" w:cs="宋体"/>
                <w:color w:val="auto"/>
                <w:szCs w:val="24"/>
                <w:highlight w:val="none"/>
              </w:rPr>
              <w:t>谈判内容</w:t>
            </w:r>
          </w:p>
        </w:tc>
        <w:tc>
          <w:tcPr>
            <w:tcW w:w="4820" w:type="dxa"/>
            <w:vAlign w:val="center"/>
          </w:tcPr>
          <w:p w14:paraId="621F3B8B">
            <w:pPr>
              <w:spacing w:before="60" w:beforeLines="25" w:after="60" w:afterLines="25"/>
              <w:jc w:val="left"/>
              <w:rPr>
                <w:rFonts w:hint="eastAsia" w:ascii="宋体" w:hAnsi="宋体" w:cs="宋体"/>
                <w:color w:val="auto"/>
                <w:szCs w:val="24"/>
                <w:highlight w:val="none"/>
              </w:rPr>
            </w:pPr>
            <w:r>
              <w:rPr>
                <w:rFonts w:hint="eastAsia" w:ascii="宋体" w:hAnsi="宋体" w:cs="宋体"/>
                <w:color w:val="auto"/>
                <w:szCs w:val="24"/>
                <w:highlight w:val="none"/>
              </w:rPr>
              <w:t>符合</w:t>
            </w:r>
            <w:r>
              <w:rPr>
                <w:rFonts w:hint="eastAsia" w:asciiTheme="minorEastAsia" w:hAnsiTheme="minorEastAsia" w:eastAsiaTheme="minorEastAsia"/>
                <w:color w:val="auto"/>
                <w:szCs w:val="21"/>
                <w:highlight w:val="none"/>
              </w:rPr>
              <w:t>第二章</w:t>
            </w:r>
            <w:r>
              <w:rPr>
                <w:rFonts w:hint="eastAsia" w:ascii="宋体" w:hAnsi="宋体" w:cs="宋体"/>
                <w:color w:val="auto"/>
                <w:szCs w:val="24"/>
                <w:highlight w:val="none"/>
              </w:rPr>
              <w:t>“供应商须知前附表”第1.3.1项要求</w:t>
            </w:r>
          </w:p>
        </w:tc>
        <w:tc>
          <w:tcPr>
            <w:tcW w:w="1360" w:type="dxa"/>
            <w:vAlign w:val="center"/>
          </w:tcPr>
          <w:p w14:paraId="633C2B92">
            <w:pPr>
              <w:spacing w:line="340" w:lineRule="exact"/>
              <w:jc w:val="left"/>
              <w:rPr>
                <w:rFonts w:hint="eastAsia" w:ascii="宋体" w:hAnsi="宋体" w:cs="宋体"/>
                <w:color w:val="auto"/>
                <w:szCs w:val="24"/>
                <w:highlight w:val="none"/>
              </w:rPr>
            </w:pPr>
          </w:p>
        </w:tc>
        <w:tc>
          <w:tcPr>
            <w:tcW w:w="674" w:type="dxa"/>
            <w:tcBorders>
              <w:right w:val="single" w:color="auto" w:sz="12" w:space="0"/>
            </w:tcBorders>
            <w:vAlign w:val="center"/>
          </w:tcPr>
          <w:p w14:paraId="16606558">
            <w:pPr>
              <w:spacing w:line="340" w:lineRule="exact"/>
              <w:jc w:val="left"/>
              <w:rPr>
                <w:rFonts w:hint="eastAsia" w:ascii="宋体" w:hAnsi="宋体" w:cs="宋体"/>
                <w:color w:val="auto"/>
                <w:szCs w:val="24"/>
                <w:highlight w:val="none"/>
              </w:rPr>
            </w:pPr>
          </w:p>
        </w:tc>
      </w:tr>
      <w:tr w14:paraId="4172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tcBorders>
              <w:left w:val="single" w:color="auto" w:sz="12" w:space="0"/>
            </w:tcBorders>
            <w:vAlign w:val="center"/>
          </w:tcPr>
          <w:p w14:paraId="65CA84CE">
            <w:pPr>
              <w:spacing w:before="60" w:beforeLines="25" w:after="60" w:afterLines="25"/>
              <w:jc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1758" w:type="dxa"/>
            <w:vAlign w:val="center"/>
          </w:tcPr>
          <w:p w14:paraId="2555B405">
            <w:pPr>
              <w:spacing w:before="60" w:beforeLines="25" w:after="60" w:afterLines="25"/>
              <w:jc w:val="center"/>
              <w:rPr>
                <w:rFonts w:hint="eastAsia" w:ascii="宋体" w:hAnsi="宋体" w:cs="宋体"/>
                <w:color w:val="auto"/>
                <w:szCs w:val="24"/>
                <w:highlight w:val="none"/>
              </w:rPr>
            </w:pPr>
            <w:r>
              <w:rPr>
                <w:rFonts w:hint="eastAsia" w:asciiTheme="minorEastAsia" w:hAnsiTheme="minorEastAsia" w:eastAsiaTheme="minorEastAsia"/>
                <w:color w:val="auto"/>
                <w:highlight w:val="none"/>
              </w:rPr>
              <w:t>合同履行期限</w:t>
            </w:r>
          </w:p>
        </w:tc>
        <w:tc>
          <w:tcPr>
            <w:tcW w:w="4820" w:type="dxa"/>
            <w:vAlign w:val="center"/>
          </w:tcPr>
          <w:p w14:paraId="63E7EDD8">
            <w:pPr>
              <w:spacing w:before="60" w:beforeLines="25" w:after="60" w:afterLines="25"/>
              <w:jc w:val="left"/>
              <w:rPr>
                <w:rFonts w:hint="eastAsia" w:ascii="宋体" w:hAnsi="宋体" w:cs="宋体"/>
                <w:color w:val="auto"/>
                <w:szCs w:val="24"/>
                <w:highlight w:val="none"/>
              </w:rPr>
            </w:pPr>
            <w:r>
              <w:rPr>
                <w:rFonts w:hint="eastAsia" w:ascii="宋体" w:hAnsi="宋体" w:cs="宋体"/>
                <w:color w:val="auto"/>
                <w:szCs w:val="24"/>
                <w:highlight w:val="none"/>
              </w:rPr>
              <w:t>符合</w:t>
            </w:r>
            <w:r>
              <w:rPr>
                <w:rFonts w:hint="eastAsia" w:asciiTheme="minorEastAsia" w:hAnsiTheme="minorEastAsia" w:eastAsiaTheme="minorEastAsia"/>
                <w:color w:val="auto"/>
                <w:szCs w:val="21"/>
                <w:highlight w:val="none"/>
              </w:rPr>
              <w:t>第二章</w:t>
            </w:r>
            <w:r>
              <w:rPr>
                <w:rFonts w:hint="eastAsia" w:asciiTheme="minorEastAsia" w:hAnsiTheme="minorEastAsia" w:eastAsiaTheme="minorEastAsia"/>
                <w:color w:val="auto"/>
                <w:highlight w:val="none"/>
              </w:rPr>
              <w:t>“供应商须知前附表”第1.3.2项</w:t>
            </w:r>
            <w:r>
              <w:rPr>
                <w:rFonts w:hint="eastAsia" w:ascii="宋体" w:hAnsi="宋体" w:cs="宋体"/>
                <w:color w:val="auto"/>
                <w:szCs w:val="24"/>
                <w:highlight w:val="none"/>
              </w:rPr>
              <w:t>要求</w:t>
            </w:r>
          </w:p>
        </w:tc>
        <w:tc>
          <w:tcPr>
            <w:tcW w:w="1360" w:type="dxa"/>
            <w:vAlign w:val="center"/>
          </w:tcPr>
          <w:p w14:paraId="539C62FD">
            <w:pPr>
              <w:spacing w:line="340" w:lineRule="exact"/>
              <w:jc w:val="left"/>
              <w:rPr>
                <w:rFonts w:hint="eastAsia" w:ascii="宋体" w:hAnsi="宋体" w:cs="宋体"/>
                <w:color w:val="auto"/>
                <w:sz w:val="29"/>
                <w:szCs w:val="32"/>
                <w:highlight w:val="none"/>
              </w:rPr>
            </w:pPr>
          </w:p>
        </w:tc>
        <w:tc>
          <w:tcPr>
            <w:tcW w:w="674" w:type="dxa"/>
            <w:tcBorders>
              <w:right w:val="single" w:color="auto" w:sz="12" w:space="0"/>
            </w:tcBorders>
            <w:vAlign w:val="center"/>
          </w:tcPr>
          <w:p w14:paraId="318E76DA">
            <w:pPr>
              <w:spacing w:line="340" w:lineRule="exact"/>
              <w:jc w:val="left"/>
              <w:rPr>
                <w:rFonts w:hint="eastAsia" w:ascii="宋体" w:hAnsi="宋体" w:cs="宋体"/>
                <w:color w:val="auto"/>
                <w:szCs w:val="24"/>
                <w:highlight w:val="none"/>
              </w:rPr>
            </w:pPr>
          </w:p>
        </w:tc>
      </w:tr>
      <w:tr w14:paraId="330F6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tcBorders>
              <w:left w:val="single" w:color="auto" w:sz="12" w:space="0"/>
            </w:tcBorders>
            <w:vAlign w:val="center"/>
          </w:tcPr>
          <w:p w14:paraId="5A3779FF">
            <w:pPr>
              <w:spacing w:before="60" w:beforeLines="25" w:after="60" w:afterLines="25"/>
              <w:jc w:val="center"/>
              <w:rPr>
                <w:rFonts w:hint="eastAsia" w:ascii="宋体" w:hAnsi="宋体" w:cs="宋体"/>
                <w:color w:val="auto"/>
                <w:szCs w:val="24"/>
                <w:highlight w:val="none"/>
              </w:rPr>
            </w:pPr>
            <w:r>
              <w:rPr>
                <w:rFonts w:ascii="宋体" w:hAnsi="宋体" w:cs="宋体"/>
                <w:color w:val="auto"/>
                <w:szCs w:val="24"/>
                <w:highlight w:val="none"/>
              </w:rPr>
              <w:t>3</w:t>
            </w:r>
          </w:p>
        </w:tc>
        <w:tc>
          <w:tcPr>
            <w:tcW w:w="1758" w:type="dxa"/>
            <w:vAlign w:val="center"/>
          </w:tcPr>
          <w:p w14:paraId="1D500448">
            <w:pPr>
              <w:spacing w:before="60" w:beforeLines="25" w:after="60" w:afterLines="25"/>
              <w:jc w:val="center"/>
              <w:rPr>
                <w:rFonts w:hint="eastAsia" w:ascii="宋体" w:hAnsi="宋体" w:cs="宋体"/>
                <w:color w:val="auto"/>
                <w:szCs w:val="24"/>
                <w:highlight w:val="none"/>
              </w:rPr>
            </w:pPr>
            <w:r>
              <w:rPr>
                <w:rFonts w:hint="eastAsia" w:asciiTheme="minorEastAsia" w:hAnsiTheme="minorEastAsia" w:eastAsiaTheme="minorEastAsia"/>
                <w:color w:val="auto"/>
                <w:highlight w:val="none"/>
              </w:rPr>
              <w:t>质量标准</w:t>
            </w:r>
          </w:p>
        </w:tc>
        <w:tc>
          <w:tcPr>
            <w:tcW w:w="4820" w:type="dxa"/>
            <w:vAlign w:val="center"/>
          </w:tcPr>
          <w:p w14:paraId="21C0ED10">
            <w:pPr>
              <w:spacing w:before="60" w:beforeLines="25" w:after="60" w:afterLines="25"/>
              <w:jc w:val="left"/>
              <w:rPr>
                <w:rFonts w:hint="eastAsia" w:ascii="宋体" w:hAnsi="宋体" w:cs="宋体"/>
                <w:color w:val="auto"/>
                <w:szCs w:val="24"/>
                <w:highlight w:val="none"/>
              </w:rPr>
            </w:pPr>
            <w:r>
              <w:rPr>
                <w:rFonts w:hint="eastAsia" w:ascii="宋体" w:hAnsi="宋体" w:cs="宋体"/>
                <w:color w:val="auto"/>
                <w:szCs w:val="24"/>
                <w:highlight w:val="none"/>
              </w:rPr>
              <w:t>符合</w:t>
            </w:r>
            <w:r>
              <w:rPr>
                <w:rFonts w:hint="eastAsia" w:asciiTheme="minorEastAsia" w:hAnsiTheme="minorEastAsia" w:eastAsiaTheme="minorEastAsia"/>
                <w:color w:val="auto"/>
                <w:szCs w:val="21"/>
                <w:highlight w:val="none"/>
              </w:rPr>
              <w:t>第二章</w:t>
            </w:r>
            <w:r>
              <w:rPr>
                <w:rFonts w:hint="eastAsia" w:asciiTheme="minorEastAsia" w:hAnsiTheme="minorEastAsia" w:eastAsiaTheme="minorEastAsia"/>
                <w:color w:val="auto"/>
                <w:highlight w:val="none"/>
              </w:rPr>
              <w:t>“供应商须知前附表”第1.3.</w:t>
            </w: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项</w:t>
            </w:r>
            <w:r>
              <w:rPr>
                <w:rFonts w:hint="eastAsia" w:ascii="宋体" w:hAnsi="宋体" w:cs="宋体"/>
                <w:color w:val="auto"/>
                <w:szCs w:val="24"/>
                <w:highlight w:val="none"/>
              </w:rPr>
              <w:t>要求</w:t>
            </w:r>
          </w:p>
        </w:tc>
        <w:tc>
          <w:tcPr>
            <w:tcW w:w="1360" w:type="dxa"/>
            <w:vAlign w:val="center"/>
          </w:tcPr>
          <w:p w14:paraId="01534D6B">
            <w:pPr>
              <w:spacing w:line="340" w:lineRule="exact"/>
              <w:jc w:val="left"/>
              <w:rPr>
                <w:rFonts w:hint="eastAsia" w:ascii="宋体" w:hAnsi="宋体" w:cs="宋体"/>
                <w:color w:val="auto"/>
                <w:sz w:val="29"/>
                <w:szCs w:val="32"/>
                <w:highlight w:val="none"/>
              </w:rPr>
            </w:pPr>
          </w:p>
        </w:tc>
        <w:tc>
          <w:tcPr>
            <w:tcW w:w="674" w:type="dxa"/>
            <w:tcBorders>
              <w:right w:val="single" w:color="auto" w:sz="12" w:space="0"/>
            </w:tcBorders>
            <w:vAlign w:val="center"/>
          </w:tcPr>
          <w:p w14:paraId="73CDA3BC">
            <w:pPr>
              <w:spacing w:line="340" w:lineRule="exact"/>
              <w:jc w:val="left"/>
              <w:rPr>
                <w:rFonts w:hint="eastAsia" w:ascii="宋体" w:hAnsi="宋体" w:cs="宋体"/>
                <w:color w:val="auto"/>
                <w:szCs w:val="24"/>
                <w:highlight w:val="none"/>
              </w:rPr>
            </w:pPr>
          </w:p>
        </w:tc>
      </w:tr>
      <w:tr w14:paraId="1F13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tcBorders>
              <w:left w:val="single" w:color="auto" w:sz="12" w:space="0"/>
            </w:tcBorders>
            <w:vAlign w:val="center"/>
          </w:tcPr>
          <w:p w14:paraId="70FE7C0F">
            <w:pPr>
              <w:spacing w:before="60" w:beforeLines="25" w:after="60" w:afterLines="25"/>
              <w:jc w:val="center"/>
              <w:rPr>
                <w:rFonts w:hint="eastAsia" w:ascii="宋体" w:hAnsi="宋体" w:cs="宋体"/>
                <w:color w:val="auto"/>
                <w:szCs w:val="24"/>
                <w:highlight w:val="none"/>
              </w:rPr>
            </w:pPr>
            <w:r>
              <w:rPr>
                <w:rFonts w:ascii="宋体" w:hAnsi="宋体" w:cs="宋体"/>
                <w:color w:val="auto"/>
                <w:szCs w:val="24"/>
                <w:highlight w:val="none"/>
              </w:rPr>
              <w:t>4</w:t>
            </w:r>
          </w:p>
        </w:tc>
        <w:tc>
          <w:tcPr>
            <w:tcW w:w="1758" w:type="dxa"/>
            <w:vAlign w:val="center"/>
          </w:tcPr>
          <w:p w14:paraId="6DEA3AA4">
            <w:pPr>
              <w:spacing w:before="60" w:beforeLines="25" w:after="60" w:afterLines="25"/>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联合体投标</w:t>
            </w:r>
          </w:p>
        </w:tc>
        <w:tc>
          <w:tcPr>
            <w:tcW w:w="4820" w:type="dxa"/>
            <w:vAlign w:val="center"/>
          </w:tcPr>
          <w:p w14:paraId="4DD894B2">
            <w:pPr>
              <w:spacing w:before="60" w:beforeLines="25" w:after="60" w:afterLines="25"/>
              <w:jc w:val="left"/>
              <w:rPr>
                <w:rFonts w:hint="eastAsia" w:asciiTheme="minorEastAsia" w:hAnsiTheme="minorEastAsia" w:eastAsiaTheme="minorEastAsia"/>
                <w:color w:val="auto"/>
                <w:highlight w:val="none"/>
              </w:rPr>
            </w:pPr>
            <w:r>
              <w:rPr>
                <w:rFonts w:hint="eastAsia" w:ascii="宋体" w:hAnsi="宋体" w:cs="宋体"/>
                <w:color w:val="auto"/>
                <w:szCs w:val="24"/>
                <w:highlight w:val="none"/>
              </w:rPr>
              <w:t>符合</w:t>
            </w:r>
            <w:r>
              <w:rPr>
                <w:rFonts w:hint="eastAsia" w:asciiTheme="minorEastAsia" w:hAnsiTheme="minorEastAsia" w:eastAsiaTheme="minorEastAsia"/>
                <w:color w:val="auto"/>
                <w:szCs w:val="21"/>
                <w:highlight w:val="none"/>
              </w:rPr>
              <w:t>第二章</w:t>
            </w:r>
            <w:r>
              <w:rPr>
                <w:rFonts w:hint="eastAsia" w:asciiTheme="minorEastAsia" w:hAnsiTheme="minorEastAsia" w:eastAsiaTheme="minorEastAsia"/>
                <w:color w:val="auto"/>
                <w:highlight w:val="none"/>
              </w:rPr>
              <w:t>“供应商须知前附表”第1.4.3项</w:t>
            </w:r>
            <w:r>
              <w:rPr>
                <w:rFonts w:hint="eastAsia" w:ascii="宋体" w:hAnsi="宋体" w:cs="宋体"/>
                <w:color w:val="auto"/>
                <w:szCs w:val="24"/>
                <w:highlight w:val="none"/>
              </w:rPr>
              <w:t>要求</w:t>
            </w:r>
          </w:p>
        </w:tc>
        <w:tc>
          <w:tcPr>
            <w:tcW w:w="1360" w:type="dxa"/>
            <w:vAlign w:val="center"/>
          </w:tcPr>
          <w:p w14:paraId="08CD58E5">
            <w:pPr>
              <w:spacing w:line="340" w:lineRule="exact"/>
              <w:jc w:val="left"/>
              <w:rPr>
                <w:rFonts w:hint="eastAsia" w:ascii="宋体" w:hAnsi="宋体" w:cs="宋体"/>
                <w:color w:val="auto"/>
                <w:sz w:val="29"/>
                <w:szCs w:val="32"/>
                <w:highlight w:val="none"/>
              </w:rPr>
            </w:pPr>
          </w:p>
        </w:tc>
        <w:tc>
          <w:tcPr>
            <w:tcW w:w="674" w:type="dxa"/>
            <w:tcBorders>
              <w:right w:val="single" w:color="auto" w:sz="12" w:space="0"/>
            </w:tcBorders>
            <w:vAlign w:val="center"/>
          </w:tcPr>
          <w:p w14:paraId="48D7EFB4">
            <w:pPr>
              <w:spacing w:line="340" w:lineRule="exact"/>
              <w:jc w:val="left"/>
              <w:rPr>
                <w:rFonts w:hint="eastAsia" w:ascii="宋体" w:hAnsi="宋体" w:cs="宋体"/>
                <w:color w:val="auto"/>
                <w:szCs w:val="24"/>
                <w:highlight w:val="none"/>
              </w:rPr>
            </w:pPr>
          </w:p>
        </w:tc>
      </w:tr>
      <w:tr w14:paraId="798B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tcBorders>
              <w:left w:val="single" w:color="auto" w:sz="12" w:space="0"/>
            </w:tcBorders>
            <w:vAlign w:val="center"/>
          </w:tcPr>
          <w:p w14:paraId="51F39F0D">
            <w:pPr>
              <w:spacing w:before="60" w:beforeLines="25" w:after="60" w:afterLines="25"/>
              <w:jc w:val="center"/>
              <w:rPr>
                <w:rFonts w:hint="eastAsia" w:ascii="宋体" w:hAnsi="宋体" w:cs="宋体"/>
                <w:color w:val="auto"/>
                <w:szCs w:val="24"/>
                <w:highlight w:val="none"/>
              </w:rPr>
            </w:pPr>
            <w:r>
              <w:rPr>
                <w:rFonts w:ascii="宋体" w:hAnsi="宋体" w:cs="宋体"/>
                <w:color w:val="auto"/>
                <w:szCs w:val="24"/>
                <w:highlight w:val="none"/>
              </w:rPr>
              <w:t>5</w:t>
            </w:r>
          </w:p>
        </w:tc>
        <w:tc>
          <w:tcPr>
            <w:tcW w:w="1758" w:type="dxa"/>
            <w:vAlign w:val="center"/>
          </w:tcPr>
          <w:p w14:paraId="0A298FDD">
            <w:pPr>
              <w:spacing w:before="60" w:beforeLines="25" w:after="60" w:afterLines="25"/>
              <w:jc w:val="center"/>
              <w:rPr>
                <w:rFonts w:hint="eastAsia" w:ascii="宋体" w:hAnsi="宋体" w:cs="宋体"/>
                <w:color w:val="auto"/>
                <w:szCs w:val="24"/>
                <w:highlight w:val="none"/>
              </w:rPr>
            </w:pPr>
            <w:r>
              <w:rPr>
                <w:rFonts w:asciiTheme="minorEastAsia" w:hAnsiTheme="minorEastAsia" w:eastAsiaTheme="minorEastAsia"/>
                <w:color w:val="auto"/>
                <w:highlight w:val="none"/>
              </w:rPr>
              <w:t>分包</w:t>
            </w:r>
          </w:p>
        </w:tc>
        <w:tc>
          <w:tcPr>
            <w:tcW w:w="4820" w:type="dxa"/>
            <w:vAlign w:val="center"/>
          </w:tcPr>
          <w:p w14:paraId="7780D877">
            <w:pPr>
              <w:spacing w:before="60" w:beforeLines="25" w:after="60" w:afterLines="25"/>
              <w:jc w:val="left"/>
              <w:rPr>
                <w:rFonts w:hint="eastAsia" w:ascii="宋体" w:hAnsi="宋体" w:cs="宋体"/>
                <w:color w:val="auto"/>
                <w:szCs w:val="24"/>
                <w:highlight w:val="none"/>
              </w:rPr>
            </w:pPr>
            <w:r>
              <w:rPr>
                <w:rFonts w:hint="eastAsia" w:ascii="宋体" w:hAnsi="宋体" w:cs="宋体"/>
                <w:color w:val="auto"/>
                <w:szCs w:val="24"/>
                <w:highlight w:val="none"/>
              </w:rPr>
              <w:t>符合</w:t>
            </w:r>
            <w:r>
              <w:rPr>
                <w:rFonts w:hint="eastAsia" w:asciiTheme="minorEastAsia" w:hAnsiTheme="minorEastAsia" w:eastAsiaTheme="minorEastAsia"/>
                <w:color w:val="auto"/>
                <w:szCs w:val="21"/>
                <w:highlight w:val="none"/>
              </w:rPr>
              <w:t>第二章</w:t>
            </w:r>
            <w:r>
              <w:rPr>
                <w:rFonts w:hint="eastAsia" w:ascii="宋体" w:hAnsi="宋体" w:cs="宋体"/>
                <w:color w:val="auto"/>
                <w:szCs w:val="24"/>
                <w:highlight w:val="none"/>
              </w:rPr>
              <w:t>“供应商须知前附表”第1.</w:t>
            </w:r>
            <w:r>
              <w:rPr>
                <w:rFonts w:ascii="宋体" w:hAnsi="宋体" w:cs="宋体"/>
                <w:color w:val="auto"/>
                <w:szCs w:val="24"/>
                <w:highlight w:val="none"/>
              </w:rPr>
              <w:t>11</w:t>
            </w:r>
            <w:r>
              <w:rPr>
                <w:rFonts w:hint="eastAsia" w:ascii="宋体" w:hAnsi="宋体" w:cs="宋体"/>
                <w:color w:val="auto"/>
                <w:szCs w:val="24"/>
                <w:highlight w:val="none"/>
              </w:rPr>
              <w:t>项要求</w:t>
            </w:r>
          </w:p>
        </w:tc>
        <w:tc>
          <w:tcPr>
            <w:tcW w:w="1360" w:type="dxa"/>
            <w:vAlign w:val="center"/>
          </w:tcPr>
          <w:p w14:paraId="24FD3C80">
            <w:pPr>
              <w:spacing w:line="320" w:lineRule="exact"/>
              <w:ind w:left="840" w:hanging="840" w:hangingChars="400"/>
              <w:jc w:val="left"/>
              <w:rPr>
                <w:rFonts w:hint="eastAsia" w:ascii="宋体" w:hAnsi="宋体" w:cs="宋体"/>
                <w:color w:val="auto"/>
                <w:szCs w:val="24"/>
                <w:highlight w:val="none"/>
              </w:rPr>
            </w:pPr>
          </w:p>
        </w:tc>
        <w:tc>
          <w:tcPr>
            <w:tcW w:w="674" w:type="dxa"/>
            <w:tcBorders>
              <w:right w:val="single" w:color="auto" w:sz="12" w:space="0"/>
            </w:tcBorders>
            <w:vAlign w:val="center"/>
          </w:tcPr>
          <w:p w14:paraId="2206CA4D">
            <w:pPr>
              <w:spacing w:line="320" w:lineRule="exact"/>
              <w:ind w:left="840" w:hanging="840" w:hangingChars="400"/>
              <w:jc w:val="left"/>
              <w:rPr>
                <w:rFonts w:hint="eastAsia" w:ascii="宋体" w:hAnsi="宋体" w:cs="宋体"/>
                <w:color w:val="auto"/>
                <w:szCs w:val="24"/>
                <w:highlight w:val="none"/>
              </w:rPr>
            </w:pPr>
          </w:p>
        </w:tc>
      </w:tr>
      <w:tr w14:paraId="1A3F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tcBorders>
              <w:left w:val="single" w:color="auto" w:sz="12" w:space="0"/>
            </w:tcBorders>
            <w:vAlign w:val="center"/>
          </w:tcPr>
          <w:p w14:paraId="7F0312D4">
            <w:pPr>
              <w:spacing w:before="60" w:beforeLines="25" w:after="60" w:afterLines="25"/>
              <w:jc w:val="center"/>
              <w:rPr>
                <w:rFonts w:hint="eastAsia" w:ascii="宋体" w:hAnsi="宋体" w:cs="宋体"/>
                <w:color w:val="auto"/>
                <w:szCs w:val="24"/>
                <w:highlight w:val="none"/>
              </w:rPr>
            </w:pPr>
            <w:r>
              <w:rPr>
                <w:rFonts w:ascii="宋体" w:hAnsi="宋体" w:cs="宋体"/>
                <w:color w:val="auto"/>
                <w:szCs w:val="24"/>
                <w:highlight w:val="none"/>
              </w:rPr>
              <w:t>6</w:t>
            </w:r>
          </w:p>
        </w:tc>
        <w:tc>
          <w:tcPr>
            <w:tcW w:w="1758" w:type="dxa"/>
            <w:vAlign w:val="center"/>
          </w:tcPr>
          <w:p w14:paraId="33F65E34">
            <w:pPr>
              <w:spacing w:before="60" w:beforeLines="25" w:after="60" w:afterLines="25"/>
              <w:jc w:val="center"/>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偏离</w:t>
            </w:r>
          </w:p>
        </w:tc>
        <w:tc>
          <w:tcPr>
            <w:tcW w:w="4820" w:type="dxa"/>
            <w:vAlign w:val="center"/>
          </w:tcPr>
          <w:p w14:paraId="0D88CF3B">
            <w:pPr>
              <w:spacing w:before="60" w:beforeLines="25" w:after="60" w:afterLines="25"/>
              <w:jc w:val="left"/>
              <w:rPr>
                <w:rFonts w:hint="eastAsia" w:ascii="宋体" w:hAnsi="宋体" w:cs="宋体"/>
                <w:color w:val="auto"/>
                <w:szCs w:val="24"/>
                <w:highlight w:val="none"/>
              </w:rPr>
            </w:pPr>
            <w:r>
              <w:rPr>
                <w:rFonts w:hint="eastAsia" w:ascii="宋体" w:hAnsi="宋体" w:cs="宋体"/>
                <w:color w:val="auto"/>
                <w:szCs w:val="24"/>
                <w:highlight w:val="none"/>
              </w:rPr>
              <w:t>符合</w:t>
            </w:r>
            <w:r>
              <w:rPr>
                <w:rFonts w:hint="eastAsia" w:asciiTheme="minorEastAsia" w:hAnsiTheme="minorEastAsia" w:eastAsiaTheme="minorEastAsia"/>
                <w:color w:val="auto"/>
                <w:szCs w:val="21"/>
                <w:highlight w:val="none"/>
              </w:rPr>
              <w:t>第二章</w:t>
            </w:r>
            <w:r>
              <w:rPr>
                <w:rFonts w:hint="eastAsia" w:ascii="宋体" w:hAnsi="宋体" w:cs="宋体"/>
                <w:color w:val="auto"/>
                <w:szCs w:val="24"/>
                <w:highlight w:val="none"/>
              </w:rPr>
              <w:t>“供应商须知前附表”第1.</w:t>
            </w:r>
            <w:r>
              <w:rPr>
                <w:rFonts w:ascii="宋体" w:hAnsi="宋体" w:cs="宋体"/>
                <w:color w:val="auto"/>
                <w:szCs w:val="24"/>
                <w:highlight w:val="none"/>
              </w:rPr>
              <w:t>12</w:t>
            </w:r>
            <w:r>
              <w:rPr>
                <w:rFonts w:hint="eastAsia" w:ascii="宋体" w:hAnsi="宋体" w:cs="宋体"/>
                <w:color w:val="auto"/>
                <w:szCs w:val="24"/>
                <w:highlight w:val="none"/>
              </w:rPr>
              <w:t>项要求</w:t>
            </w:r>
          </w:p>
        </w:tc>
        <w:tc>
          <w:tcPr>
            <w:tcW w:w="1360" w:type="dxa"/>
            <w:vAlign w:val="center"/>
          </w:tcPr>
          <w:p w14:paraId="5482B1D8">
            <w:pPr>
              <w:spacing w:line="320" w:lineRule="exact"/>
              <w:ind w:left="840" w:hanging="840" w:hangingChars="400"/>
              <w:jc w:val="left"/>
              <w:rPr>
                <w:rFonts w:hint="eastAsia" w:ascii="宋体" w:hAnsi="宋体" w:cs="宋体"/>
                <w:color w:val="auto"/>
                <w:szCs w:val="24"/>
                <w:highlight w:val="none"/>
              </w:rPr>
            </w:pPr>
          </w:p>
        </w:tc>
        <w:tc>
          <w:tcPr>
            <w:tcW w:w="674" w:type="dxa"/>
            <w:tcBorders>
              <w:right w:val="single" w:color="auto" w:sz="12" w:space="0"/>
            </w:tcBorders>
            <w:vAlign w:val="center"/>
          </w:tcPr>
          <w:p w14:paraId="34ED9A24">
            <w:pPr>
              <w:spacing w:line="320" w:lineRule="exact"/>
              <w:ind w:left="840" w:hanging="840" w:hangingChars="400"/>
              <w:jc w:val="left"/>
              <w:rPr>
                <w:rFonts w:hint="eastAsia" w:ascii="宋体" w:hAnsi="宋体" w:cs="宋体"/>
                <w:color w:val="auto"/>
                <w:szCs w:val="24"/>
                <w:highlight w:val="none"/>
              </w:rPr>
            </w:pPr>
          </w:p>
        </w:tc>
      </w:tr>
      <w:tr w14:paraId="6E4C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tcBorders>
              <w:left w:val="single" w:color="auto" w:sz="12" w:space="0"/>
            </w:tcBorders>
            <w:vAlign w:val="center"/>
          </w:tcPr>
          <w:p w14:paraId="01258882">
            <w:pPr>
              <w:spacing w:before="60" w:beforeLines="25" w:after="60" w:afterLines="25"/>
              <w:jc w:val="center"/>
              <w:rPr>
                <w:rFonts w:hint="eastAsia" w:ascii="宋体" w:hAnsi="宋体" w:cs="宋体"/>
                <w:color w:val="auto"/>
                <w:szCs w:val="24"/>
                <w:highlight w:val="none"/>
              </w:rPr>
            </w:pPr>
            <w:r>
              <w:rPr>
                <w:rFonts w:ascii="宋体" w:hAnsi="宋体" w:cs="宋体"/>
                <w:color w:val="auto"/>
                <w:szCs w:val="24"/>
                <w:highlight w:val="none"/>
              </w:rPr>
              <w:t>7</w:t>
            </w:r>
          </w:p>
        </w:tc>
        <w:tc>
          <w:tcPr>
            <w:tcW w:w="1758" w:type="dxa"/>
            <w:vAlign w:val="center"/>
          </w:tcPr>
          <w:p w14:paraId="17F2A684">
            <w:pPr>
              <w:spacing w:before="60" w:beforeLines="25" w:after="60" w:afterLines="25"/>
              <w:jc w:val="center"/>
              <w:rPr>
                <w:rFonts w:hint="eastAsia" w:ascii="宋体" w:hAnsi="宋体" w:cs="宋体"/>
                <w:color w:val="auto"/>
                <w:szCs w:val="24"/>
                <w:highlight w:val="none"/>
              </w:rPr>
            </w:pPr>
            <w:r>
              <w:rPr>
                <w:rFonts w:hint="eastAsia" w:asciiTheme="minorEastAsia" w:hAnsiTheme="minorEastAsia" w:eastAsiaTheme="minorEastAsia"/>
                <w:color w:val="auto"/>
                <w:highlight w:val="none"/>
              </w:rPr>
              <w:t>谈判有效期</w:t>
            </w:r>
          </w:p>
        </w:tc>
        <w:tc>
          <w:tcPr>
            <w:tcW w:w="4820" w:type="dxa"/>
            <w:vAlign w:val="center"/>
          </w:tcPr>
          <w:p w14:paraId="52EACDC6">
            <w:pPr>
              <w:spacing w:before="60" w:beforeLines="25" w:after="60" w:afterLines="25"/>
              <w:jc w:val="left"/>
              <w:rPr>
                <w:rFonts w:hint="eastAsia" w:ascii="宋体" w:hAnsi="宋体" w:cs="宋体"/>
                <w:color w:val="auto"/>
                <w:szCs w:val="24"/>
                <w:highlight w:val="none"/>
              </w:rPr>
            </w:pPr>
            <w:r>
              <w:rPr>
                <w:rFonts w:hint="eastAsia" w:ascii="宋体" w:hAnsi="宋体" w:cs="宋体"/>
                <w:color w:val="auto"/>
                <w:szCs w:val="24"/>
                <w:highlight w:val="none"/>
              </w:rPr>
              <w:t>符合第二章“供应商须知前附表”第</w:t>
            </w:r>
            <w:r>
              <w:rPr>
                <w:rFonts w:ascii="宋体" w:hAnsi="宋体" w:cs="宋体"/>
                <w:color w:val="auto"/>
                <w:szCs w:val="24"/>
                <w:highlight w:val="none"/>
              </w:rPr>
              <w:t>3.3.1</w:t>
            </w:r>
            <w:r>
              <w:rPr>
                <w:rFonts w:hint="eastAsia" w:ascii="宋体" w:hAnsi="宋体" w:cs="宋体"/>
                <w:color w:val="auto"/>
                <w:szCs w:val="24"/>
                <w:highlight w:val="none"/>
              </w:rPr>
              <w:t>项要求</w:t>
            </w:r>
          </w:p>
        </w:tc>
        <w:tc>
          <w:tcPr>
            <w:tcW w:w="1360" w:type="dxa"/>
            <w:vAlign w:val="center"/>
          </w:tcPr>
          <w:p w14:paraId="14E516A3">
            <w:pPr>
              <w:spacing w:line="320" w:lineRule="exact"/>
              <w:ind w:left="840" w:hanging="840" w:hangingChars="400"/>
              <w:jc w:val="left"/>
              <w:rPr>
                <w:rFonts w:hint="eastAsia" w:ascii="宋体" w:hAnsi="宋体" w:cs="宋体"/>
                <w:color w:val="auto"/>
                <w:szCs w:val="24"/>
                <w:highlight w:val="none"/>
              </w:rPr>
            </w:pPr>
          </w:p>
        </w:tc>
        <w:tc>
          <w:tcPr>
            <w:tcW w:w="674" w:type="dxa"/>
            <w:tcBorders>
              <w:right w:val="single" w:color="auto" w:sz="12" w:space="0"/>
            </w:tcBorders>
            <w:vAlign w:val="center"/>
          </w:tcPr>
          <w:p w14:paraId="33A22403">
            <w:pPr>
              <w:spacing w:line="320" w:lineRule="exact"/>
              <w:ind w:left="840" w:hanging="840" w:hangingChars="400"/>
              <w:jc w:val="left"/>
              <w:rPr>
                <w:rFonts w:hint="eastAsia" w:ascii="宋体" w:hAnsi="宋体" w:cs="宋体"/>
                <w:color w:val="auto"/>
                <w:szCs w:val="24"/>
                <w:highlight w:val="none"/>
              </w:rPr>
            </w:pPr>
          </w:p>
        </w:tc>
      </w:tr>
      <w:tr w14:paraId="0E58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tcBorders>
              <w:left w:val="single" w:color="auto" w:sz="12" w:space="0"/>
            </w:tcBorders>
            <w:vAlign w:val="center"/>
          </w:tcPr>
          <w:p w14:paraId="7EF1DF4B">
            <w:pPr>
              <w:spacing w:before="60" w:beforeLines="25" w:after="60" w:afterLines="25"/>
              <w:jc w:val="center"/>
              <w:rPr>
                <w:rFonts w:hint="eastAsia" w:ascii="宋体" w:hAnsi="宋体" w:cs="宋体"/>
                <w:color w:val="auto"/>
                <w:szCs w:val="24"/>
                <w:highlight w:val="none"/>
              </w:rPr>
            </w:pPr>
            <w:r>
              <w:rPr>
                <w:rFonts w:hint="eastAsia" w:ascii="宋体" w:hAnsi="宋体" w:cs="宋体"/>
                <w:color w:val="auto"/>
                <w:szCs w:val="24"/>
                <w:highlight w:val="none"/>
              </w:rPr>
              <w:t>8</w:t>
            </w:r>
          </w:p>
        </w:tc>
        <w:tc>
          <w:tcPr>
            <w:tcW w:w="1758" w:type="dxa"/>
            <w:vAlign w:val="center"/>
          </w:tcPr>
          <w:p w14:paraId="201043BF">
            <w:pPr>
              <w:spacing w:before="60" w:beforeLines="25" w:after="60" w:afterLines="25"/>
              <w:jc w:val="center"/>
              <w:rPr>
                <w:rFonts w:hint="eastAsia" w:asciiTheme="minorEastAsia" w:hAnsiTheme="minorEastAsia" w:eastAsiaTheme="minorEastAsia"/>
                <w:color w:val="auto"/>
                <w:highlight w:val="none"/>
              </w:rPr>
            </w:pPr>
            <w:r>
              <w:rPr>
                <w:rFonts w:hint="eastAsia" w:ascii="宋体" w:hAnsi="宋体"/>
                <w:color w:val="auto"/>
                <w:szCs w:val="21"/>
                <w:highlight w:val="none"/>
              </w:rPr>
              <w:t>投标文件的签署</w:t>
            </w:r>
          </w:p>
        </w:tc>
        <w:tc>
          <w:tcPr>
            <w:tcW w:w="4820" w:type="dxa"/>
            <w:vAlign w:val="center"/>
          </w:tcPr>
          <w:p w14:paraId="2B03C7D6">
            <w:pPr>
              <w:spacing w:before="60" w:beforeLines="25" w:after="60" w:afterLines="25"/>
              <w:jc w:val="left"/>
              <w:rPr>
                <w:rFonts w:hint="eastAsia" w:ascii="宋体" w:hAnsi="宋体" w:cs="宋体"/>
                <w:color w:val="auto"/>
                <w:szCs w:val="24"/>
                <w:highlight w:val="none"/>
              </w:rPr>
            </w:pPr>
            <w:r>
              <w:rPr>
                <w:rFonts w:hint="eastAsia" w:ascii="宋体" w:hAnsi="宋体" w:cs="宋体"/>
                <w:color w:val="auto"/>
                <w:szCs w:val="24"/>
                <w:highlight w:val="none"/>
              </w:rPr>
              <w:t>符合</w:t>
            </w:r>
            <w:r>
              <w:rPr>
                <w:rFonts w:hint="eastAsia" w:asciiTheme="minorEastAsia" w:hAnsiTheme="minorEastAsia" w:eastAsiaTheme="minorEastAsia"/>
                <w:color w:val="auto"/>
                <w:szCs w:val="21"/>
                <w:highlight w:val="none"/>
              </w:rPr>
              <w:t>第二章</w:t>
            </w:r>
            <w:r>
              <w:rPr>
                <w:rFonts w:hint="eastAsia" w:ascii="宋体" w:hAnsi="宋体" w:cs="宋体"/>
                <w:color w:val="auto"/>
                <w:szCs w:val="24"/>
                <w:highlight w:val="none"/>
              </w:rPr>
              <w:t>“供应商须知前附表”第3.7.3项</w:t>
            </w:r>
            <w:r>
              <w:rPr>
                <w:rFonts w:hint="eastAsia" w:asciiTheme="minorEastAsia" w:hAnsiTheme="minorEastAsia" w:eastAsiaTheme="minorEastAsia"/>
                <w:color w:val="auto"/>
                <w:szCs w:val="21"/>
                <w:highlight w:val="none"/>
              </w:rPr>
              <w:t>要求</w:t>
            </w:r>
          </w:p>
        </w:tc>
        <w:tc>
          <w:tcPr>
            <w:tcW w:w="1360" w:type="dxa"/>
            <w:vAlign w:val="center"/>
          </w:tcPr>
          <w:p w14:paraId="4B16213A">
            <w:pPr>
              <w:spacing w:line="320" w:lineRule="exact"/>
              <w:ind w:left="840" w:hanging="840" w:hangingChars="400"/>
              <w:jc w:val="left"/>
              <w:rPr>
                <w:rFonts w:hint="eastAsia" w:ascii="宋体" w:hAnsi="宋体" w:cs="宋体"/>
                <w:color w:val="auto"/>
                <w:szCs w:val="24"/>
                <w:highlight w:val="none"/>
              </w:rPr>
            </w:pPr>
          </w:p>
        </w:tc>
        <w:tc>
          <w:tcPr>
            <w:tcW w:w="674" w:type="dxa"/>
            <w:tcBorders>
              <w:right w:val="single" w:color="auto" w:sz="12" w:space="0"/>
            </w:tcBorders>
            <w:vAlign w:val="center"/>
          </w:tcPr>
          <w:p w14:paraId="2B0588A9">
            <w:pPr>
              <w:spacing w:line="320" w:lineRule="exact"/>
              <w:ind w:left="840" w:hanging="840" w:hangingChars="400"/>
              <w:jc w:val="left"/>
              <w:rPr>
                <w:rFonts w:hint="eastAsia" w:ascii="宋体" w:hAnsi="宋体" w:cs="宋体"/>
                <w:color w:val="auto"/>
                <w:szCs w:val="24"/>
                <w:highlight w:val="none"/>
              </w:rPr>
            </w:pPr>
          </w:p>
        </w:tc>
      </w:tr>
      <w:tr w14:paraId="6447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75" w:type="dxa"/>
            <w:tcBorders>
              <w:left w:val="single" w:color="auto" w:sz="12" w:space="0"/>
            </w:tcBorders>
            <w:vAlign w:val="center"/>
          </w:tcPr>
          <w:p w14:paraId="05DDECBE">
            <w:pPr>
              <w:spacing w:before="60" w:beforeLines="25" w:after="60" w:afterLines="25"/>
              <w:jc w:val="center"/>
              <w:rPr>
                <w:rFonts w:hint="eastAsia" w:ascii="宋体" w:hAnsi="宋体" w:cs="宋体"/>
                <w:color w:val="auto"/>
                <w:szCs w:val="24"/>
                <w:highlight w:val="none"/>
              </w:rPr>
            </w:pPr>
            <w:r>
              <w:rPr>
                <w:rFonts w:hint="eastAsia" w:ascii="宋体" w:hAnsi="宋体" w:cs="宋体"/>
                <w:color w:val="auto"/>
                <w:szCs w:val="24"/>
                <w:highlight w:val="none"/>
              </w:rPr>
              <w:t>9</w:t>
            </w:r>
          </w:p>
        </w:tc>
        <w:tc>
          <w:tcPr>
            <w:tcW w:w="1758" w:type="dxa"/>
            <w:vAlign w:val="center"/>
          </w:tcPr>
          <w:p w14:paraId="2DCFDE16">
            <w:pPr>
              <w:spacing w:before="60" w:beforeLines="25" w:after="60" w:afterLines="25"/>
              <w:jc w:val="center"/>
              <w:rPr>
                <w:rFonts w:hint="eastAsia" w:ascii="宋体" w:hAnsi="宋体"/>
                <w:color w:val="auto"/>
                <w:szCs w:val="21"/>
                <w:highlight w:val="none"/>
              </w:rPr>
            </w:pPr>
            <w:r>
              <w:rPr>
                <w:rFonts w:hint="eastAsia" w:asciiTheme="minorEastAsia" w:hAnsiTheme="minorEastAsia" w:eastAsiaTheme="minorEastAsia"/>
                <w:color w:val="auto"/>
                <w:highlight w:val="none"/>
              </w:rPr>
              <w:t>供应商信誉</w:t>
            </w:r>
          </w:p>
        </w:tc>
        <w:tc>
          <w:tcPr>
            <w:tcW w:w="4820" w:type="dxa"/>
            <w:vAlign w:val="center"/>
          </w:tcPr>
          <w:p w14:paraId="1A87BA27">
            <w:pPr>
              <w:spacing w:before="60" w:beforeLines="25" w:after="60" w:afterLines="25"/>
              <w:jc w:val="left"/>
              <w:rPr>
                <w:rFonts w:hint="eastAsia" w:ascii="宋体" w:hAnsi="宋体" w:cs="宋体"/>
                <w:color w:val="auto"/>
                <w:szCs w:val="24"/>
                <w:highlight w:val="none"/>
              </w:rPr>
            </w:pPr>
            <w:r>
              <w:rPr>
                <w:rFonts w:hint="eastAsia" w:asciiTheme="minorEastAsia" w:hAnsiTheme="minorEastAsia" w:eastAsiaTheme="minorEastAsia"/>
                <w:color w:val="auto"/>
                <w:szCs w:val="21"/>
                <w:highlight w:val="none"/>
              </w:rPr>
              <w:t>符合第二章“供应商须知前附表”第1.4.2项要求</w:t>
            </w:r>
          </w:p>
        </w:tc>
        <w:tc>
          <w:tcPr>
            <w:tcW w:w="1360" w:type="dxa"/>
            <w:vAlign w:val="center"/>
          </w:tcPr>
          <w:p w14:paraId="63FD1A92">
            <w:pPr>
              <w:spacing w:line="320" w:lineRule="exact"/>
              <w:ind w:left="840" w:hanging="840" w:hangingChars="400"/>
              <w:jc w:val="left"/>
              <w:rPr>
                <w:rFonts w:hint="eastAsia" w:ascii="宋体" w:hAnsi="宋体" w:cs="宋体"/>
                <w:color w:val="auto"/>
                <w:szCs w:val="24"/>
                <w:highlight w:val="none"/>
              </w:rPr>
            </w:pPr>
          </w:p>
        </w:tc>
        <w:tc>
          <w:tcPr>
            <w:tcW w:w="674" w:type="dxa"/>
            <w:tcBorders>
              <w:right w:val="single" w:color="auto" w:sz="12" w:space="0"/>
            </w:tcBorders>
            <w:vAlign w:val="center"/>
          </w:tcPr>
          <w:p w14:paraId="7FF139E9">
            <w:pPr>
              <w:spacing w:line="320" w:lineRule="exact"/>
              <w:ind w:left="840" w:hanging="840" w:hangingChars="400"/>
              <w:jc w:val="left"/>
              <w:rPr>
                <w:rFonts w:hint="eastAsia" w:ascii="宋体" w:hAnsi="宋体" w:cs="宋体"/>
                <w:color w:val="auto"/>
                <w:szCs w:val="24"/>
                <w:highlight w:val="none"/>
              </w:rPr>
            </w:pPr>
          </w:p>
        </w:tc>
      </w:tr>
    </w:tbl>
    <w:p w14:paraId="015DB116">
      <w:pPr>
        <w:autoSpaceDE w:val="0"/>
        <w:autoSpaceDN w:val="0"/>
        <w:adjustRightInd w:val="0"/>
        <w:spacing w:before="120" w:beforeLines="50" w:line="360" w:lineRule="auto"/>
        <w:ind w:firstLine="420" w:firstLineChars="2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注：供应商在编制响应文件时，须根据采购文件的要求，在以上表格的“供应商响应情况”一栏中填写响应情况或做出说明。若供应商所填写的响应情况不符合采购文件的相关要求或存在负偏离的，其响应文件作否决处理。</w:t>
      </w:r>
    </w:p>
    <w:p w14:paraId="025F5B75">
      <w:pPr>
        <w:autoSpaceDE w:val="0"/>
        <w:autoSpaceDN w:val="0"/>
        <w:adjustRightInd w:val="0"/>
        <w:spacing w:line="480" w:lineRule="auto"/>
        <w:jc w:val="left"/>
        <w:rPr>
          <w:rFonts w:hint="eastAsia" w:asciiTheme="minorEastAsia" w:hAnsiTheme="minorEastAsia" w:eastAsiaTheme="minorEastAsia"/>
          <w:bCs/>
          <w:color w:val="auto"/>
          <w:szCs w:val="21"/>
          <w:highlight w:val="none"/>
        </w:rPr>
      </w:pPr>
    </w:p>
    <w:p w14:paraId="1F444F67">
      <w:pPr>
        <w:autoSpaceDE w:val="0"/>
        <w:autoSpaceDN w:val="0"/>
        <w:adjustRightInd w:val="0"/>
        <w:spacing w:line="480" w:lineRule="auto"/>
        <w:jc w:val="left"/>
        <w:rPr>
          <w:rFonts w:hint="eastAsia" w:asciiTheme="minorEastAsia" w:hAnsiTheme="minorEastAsia" w:eastAsiaTheme="minorEastAsia"/>
          <w:bCs/>
          <w:color w:val="auto"/>
          <w:szCs w:val="21"/>
          <w:highlight w:val="none"/>
        </w:rPr>
      </w:pPr>
    </w:p>
    <w:p w14:paraId="1AA6F4BA">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asciiTheme="minorEastAsia" w:hAnsiTheme="minorEastAsia" w:eastAsiaTheme="minorEastAsia"/>
          <w:bCs/>
          <w:color w:val="auto"/>
          <w:szCs w:val="21"/>
          <w:highlight w:val="none"/>
          <w:u w:val="single"/>
        </w:rPr>
        <w:t>）</w:t>
      </w:r>
    </w:p>
    <w:p w14:paraId="120747A5">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法定代表人：</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 xml:space="preserve"> (电子签章)</w:t>
      </w:r>
    </w:p>
    <w:p w14:paraId="532CD9E4">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日期：</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年</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月</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日</w:t>
      </w:r>
      <w:bookmarkStart w:id="1227" w:name="_Toc117096630"/>
      <w:bookmarkStart w:id="1228" w:name="_Toc152246635"/>
    </w:p>
    <w:p w14:paraId="507EB1AF">
      <w:pPr>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br w:type="page"/>
      </w:r>
    </w:p>
    <w:p w14:paraId="19060975">
      <w:pPr>
        <w:autoSpaceDE w:val="0"/>
        <w:autoSpaceDN w:val="0"/>
        <w:adjustRightInd w:val="0"/>
        <w:spacing w:after="120" w:afterLines="50" w:line="360" w:lineRule="auto"/>
        <w:jc w:val="center"/>
        <w:outlineLvl w:val="1"/>
        <w:rPr>
          <w:rFonts w:hint="eastAsia" w:ascii="宋体" w:hAnsi="宋体"/>
          <w:b/>
          <w:bCs/>
          <w:color w:val="auto"/>
          <w:sz w:val="30"/>
          <w:szCs w:val="30"/>
          <w:highlight w:val="none"/>
        </w:rPr>
      </w:pPr>
      <w:bookmarkStart w:id="1229" w:name="_Toc25871"/>
      <w:r>
        <w:rPr>
          <w:rFonts w:hint="eastAsia" w:ascii="宋体" w:hAnsi="宋体"/>
          <w:b/>
          <w:bCs/>
          <w:color w:val="auto"/>
          <w:sz w:val="30"/>
          <w:szCs w:val="30"/>
          <w:highlight w:val="none"/>
        </w:rPr>
        <w:t>二次报价表（模版）</w:t>
      </w:r>
      <w:bookmarkEnd w:id="1229"/>
    </w:p>
    <w:tbl>
      <w:tblPr>
        <w:tblStyle w:val="53"/>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127"/>
        <w:gridCol w:w="4099"/>
      </w:tblGrid>
      <w:tr w14:paraId="7FED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830" w:type="dxa"/>
            <w:vAlign w:val="center"/>
          </w:tcPr>
          <w:p w14:paraId="17A58A6C">
            <w:pPr>
              <w:spacing w:before="120" w:line="360" w:lineRule="auto"/>
              <w:jc w:val="center"/>
              <w:rPr>
                <w:rFonts w:hint="eastAsia" w:ascii="宋体" w:hAnsi="宋体"/>
                <w:color w:val="auto"/>
                <w:szCs w:val="21"/>
                <w:highlight w:val="none"/>
              </w:rPr>
            </w:pPr>
            <w:r>
              <w:rPr>
                <w:rFonts w:hint="eastAsia" w:ascii="宋体" w:hAnsi="宋体"/>
                <w:color w:val="auto"/>
                <w:szCs w:val="21"/>
                <w:highlight w:val="none"/>
              </w:rPr>
              <w:t>项目名称</w:t>
            </w:r>
          </w:p>
        </w:tc>
        <w:tc>
          <w:tcPr>
            <w:tcW w:w="6226" w:type="dxa"/>
            <w:gridSpan w:val="2"/>
            <w:vAlign w:val="center"/>
          </w:tcPr>
          <w:p w14:paraId="44BC1E8F">
            <w:pPr>
              <w:spacing w:before="120" w:line="360" w:lineRule="auto"/>
              <w:jc w:val="center"/>
              <w:rPr>
                <w:rFonts w:hint="eastAsia" w:ascii="宋体" w:hAnsi="宋体"/>
                <w:color w:val="auto"/>
                <w:szCs w:val="21"/>
                <w:highlight w:val="none"/>
              </w:rPr>
            </w:pPr>
          </w:p>
        </w:tc>
      </w:tr>
      <w:tr w14:paraId="5441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830" w:type="dxa"/>
            <w:vAlign w:val="center"/>
          </w:tcPr>
          <w:p w14:paraId="4B9D520D">
            <w:pPr>
              <w:spacing w:before="120" w:line="360" w:lineRule="auto"/>
              <w:jc w:val="center"/>
              <w:rPr>
                <w:rFonts w:hint="eastAsia" w:ascii="宋体" w:hAnsi="宋体"/>
                <w:color w:val="auto"/>
                <w:szCs w:val="21"/>
                <w:highlight w:val="none"/>
              </w:rPr>
            </w:pPr>
            <w:r>
              <w:rPr>
                <w:rFonts w:hint="eastAsia" w:ascii="宋体" w:hAnsi="宋体"/>
                <w:color w:val="auto"/>
                <w:szCs w:val="21"/>
                <w:highlight w:val="none"/>
              </w:rPr>
              <w:t>供应商名称</w:t>
            </w:r>
          </w:p>
        </w:tc>
        <w:tc>
          <w:tcPr>
            <w:tcW w:w="6226" w:type="dxa"/>
            <w:gridSpan w:val="2"/>
            <w:vAlign w:val="center"/>
          </w:tcPr>
          <w:p w14:paraId="6D619942">
            <w:pPr>
              <w:spacing w:before="120" w:after="120" w:line="360" w:lineRule="auto"/>
              <w:jc w:val="center"/>
              <w:rPr>
                <w:rFonts w:hint="eastAsia" w:ascii="宋体" w:hAnsi="宋体"/>
                <w:color w:val="auto"/>
                <w:szCs w:val="21"/>
                <w:highlight w:val="none"/>
              </w:rPr>
            </w:pPr>
          </w:p>
        </w:tc>
      </w:tr>
      <w:tr w14:paraId="6625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830" w:type="dxa"/>
            <w:vAlign w:val="center"/>
          </w:tcPr>
          <w:p w14:paraId="6AF2F826">
            <w:pPr>
              <w:spacing w:before="120" w:line="360" w:lineRule="auto"/>
              <w:jc w:val="center"/>
              <w:rPr>
                <w:rFonts w:hint="eastAsia" w:ascii="宋体" w:hAnsi="宋体"/>
                <w:color w:val="auto"/>
                <w:szCs w:val="21"/>
                <w:highlight w:val="none"/>
              </w:rPr>
            </w:pPr>
            <w:r>
              <w:rPr>
                <w:rFonts w:hint="eastAsia" w:ascii="宋体" w:hAnsi="宋体" w:cs="宋体"/>
                <w:color w:val="auto"/>
                <w:szCs w:val="21"/>
                <w:highlight w:val="none"/>
              </w:rPr>
              <w:t>谈判</w:t>
            </w:r>
            <w:r>
              <w:rPr>
                <w:rFonts w:hint="eastAsia" w:ascii="宋体" w:hAnsi="宋体"/>
                <w:color w:val="auto"/>
                <w:szCs w:val="21"/>
                <w:highlight w:val="none"/>
              </w:rPr>
              <w:t>报价</w:t>
            </w:r>
          </w:p>
        </w:tc>
        <w:tc>
          <w:tcPr>
            <w:tcW w:w="2127" w:type="dxa"/>
            <w:vAlign w:val="center"/>
          </w:tcPr>
          <w:p w14:paraId="0626B375">
            <w:pPr>
              <w:spacing w:before="240" w:after="120" w:line="360" w:lineRule="auto"/>
              <w:rPr>
                <w:rFonts w:hint="eastAsia" w:ascii="宋体" w:hAnsi="宋体"/>
                <w:color w:val="auto"/>
                <w:szCs w:val="21"/>
                <w:highlight w:val="none"/>
              </w:rPr>
            </w:pPr>
            <w:r>
              <w:rPr>
                <w:rFonts w:hint="eastAsia" w:ascii="宋体" w:hAnsi="宋体"/>
                <w:color w:val="auto"/>
                <w:szCs w:val="21"/>
                <w:highlight w:val="none"/>
              </w:rPr>
              <w:t xml:space="preserve">小写： </w:t>
            </w:r>
            <w:r>
              <w:rPr>
                <w:rFonts w:ascii="宋体" w:hAnsi="宋体"/>
                <w:color w:val="auto"/>
                <w:szCs w:val="21"/>
                <w:highlight w:val="none"/>
              </w:rPr>
              <w:t xml:space="preserve">           </w:t>
            </w:r>
          </w:p>
        </w:tc>
        <w:tc>
          <w:tcPr>
            <w:tcW w:w="4099" w:type="dxa"/>
            <w:vAlign w:val="center"/>
          </w:tcPr>
          <w:p w14:paraId="15BF477A">
            <w:pPr>
              <w:spacing w:before="240" w:after="120" w:line="360" w:lineRule="auto"/>
              <w:rPr>
                <w:rFonts w:hint="eastAsia" w:ascii="宋体" w:hAnsi="宋体"/>
                <w:color w:val="auto"/>
                <w:szCs w:val="21"/>
                <w:highlight w:val="none"/>
              </w:rPr>
            </w:pPr>
            <w:r>
              <w:rPr>
                <w:rFonts w:hint="eastAsia" w:ascii="宋体" w:hAnsi="宋体"/>
                <w:color w:val="auto"/>
                <w:szCs w:val="21"/>
                <w:highlight w:val="none"/>
              </w:rPr>
              <w:t>大写：</w:t>
            </w:r>
          </w:p>
        </w:tc>
      </w:tr>
      <w:tr w14:paraId="47FF7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2830" w:type="dxa"/>
            <w:vAlign w:val="center"/>
          </w:tcPr>
          <w:p w14:paraId="56394463">
            <w:pPr>
              <w:spacing w:before="120" w:after="120" w:line="360" w:lineRule="auto"/>
              <w:jc w:val="center"/>
              <w:rPr>
                <w:rFonts w:hint="eastAsia" w:ascii="宋体" w:hAnsi="宋体"/>
                <w:color w:val="auto"/>
                <w:szCs w:val="21"/>
                <w:highlight w:val="none"/>
              </w:rPr>
            </w:pPr>
            <w:r>
              <w:rPr>
                <w:rFonts w:hint="eastAsia" w:ascii="宋体" w:hAnsi="宋体"/>
                <w:color w:val="auto"/>
                <w:szCs w:val="21"/>
                <w:highlight w:val="none"/>
              </w:rPr>
              <w:t xml:space="preserve">说 </w:t>
            </w:r>
            <w:r>
              <w:rPr>
                <w:rFonts w:ascii="宋体" w:hAnsi="宋体"/>
                <w:color w:val="auto"/>
                <w:szCs w:val="21"/>
                <w:highlight w:val="none"/>
              </w:rPr>
              <w:t xml:space="preserve"> </w:t>
            </w:r>
            <w:r>
              <w:rPr>
                <w:rFonts w:hint="eastAsia" w:ascii="宋体" w:hAnsi="宋体"/>
                <w:color w:val="auto"/>
                <w:szCs w:val="21"/>
                <w:highlight w:val="none"/>
              </w:rPr>
              <w:t>明</w:t>
            </w:r>
          </w:p>
        </w:tc>
        <w:tc>
          <w:tcPr>
            <w:tcW w:w="6226" w:type="dxa"/>
            <w:gridSpan w:val="2"/>
            <w:vAlign w:val="center"/>
          </w:tcPr>
          <w:p w14:paraId="6E016EAA">
            <w:pPr>
              <w:spacing w:before="120" w:after="120" w:line="360" w:lineRule="auto"/>
              <w:rPr>
                <w:rFonts w:hint="eastAsia" w:ascii="宋体" w:hAnsi="宋体"/>
                <w:color w:val="auto"/>
                <w:szCs w:val="21"/>
                <w:highlight w:val="none"/>
              </w:rPr>
            </w:pPr>
            <w:r>
              <w:rPr>
                <w:rFonts w:hint="eastAsia" w:ascii="宋体" w:hAnsi="宋体"/>
                <w:color w:val="auto"/>
                <w:szCs w:val="21"/>
                <w:highlight w:val="none"/>
              </w:rPr>
              <w:t xml:space="preserve">                                   </w:t>
            </w:r>
          </w:p>
        </w:tc>
      </w:tr>
      <w:tr w14:paraId="5B33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056" w:type="dxa"/>
            <w:gridSpan w:val="3"/>
            <w:vAlign w:val="center"/>
          </w:tcPr>
          <w:p w14:paraId="2E2EF9D7">
            <w:pPr>
              <w:spacing w:before="120" w:after="120" w:line="360" w:lineRule="auto"/>
              <w:jc w:val="center"/>
              <w:rPr>
                <w:rFonts w:hint="eastAsia" w:ascii="宋体" w:hAnsi="宋体"/>
                <w:b/>
                <w:bCs/>
                <w:color w:val="auto"/>
                <w:szCs w:val="21"/>
                <w:highlight w:val="none"/>
              </w:rPr>
            </w:pPr>
            <w:r>
              <w:rPr>
                <w:rFonts w:hint="eastAsia" w:ascii="宋体" w:hAnsi="宋体"/>
                <w:b/>
                <w:bCs/>
                <w:color w:val="auto"/>
                <w:szCs w:val="21"/>
                <w:highlight w:val="none"/>
              </w:rPr>
              <w:t>人民币大写标准字样：</w:t>
            </w:r>
            <w:r>
              <w:rPr>
                <w:rFonts w:hint="eastAsia" w:ascii="宋体" w:hAnsi="宋体" w:cs="宋体"/>
                <w:b/>
                <w:bCs/>
                <w:color w:val="auto"/>
                <w:szCs w:val="21"/>
                <w:highlight w:val="none"/>
              </w:rPr>
              <w:t>壹、贰、叁、肆、伍、陆、柒、捌、玖、拾、佰、仟、万</w:t>
            </w:r>
          </w:p>
        </w:tc>
      </w:tr>
    </w:tbl>
    <w:p w14:paraId="5EBF1245">
      <w:pPr>
        <w:spacing w:line="360" w:lineRule="auto"/>
        <w:ind w:left="-105" w:leftChars="-50"/>
        <w:rPr>
          <w:rFonts w:hint="eastAsia" w:ascii="宋体" w:hAnsi="宋体" w:cs="仿宋_GB2312"/>
          <w:color w:val="auto"/>
          <w:sz w:val="24"/>
          <w:szCs w:val="22"/>
          <w:highlight w:val="none"/>
        </w:rPr>
      </w:pPr>
    </w:p>
    <w:p w14:paraId="632CD85A">
      <w:pPr>
        <w:spacing w:line="360" w:lineRule="auto"/>
        <w:ind w:left="-105" w:leftChars="-50"/>
        <w:rPr>
          <w:rFonts w:hint="eastAsia" w:ascii="宋体" w:hAnsi="宋体" w:cs="仿宋_GB2312"/>
          <w:color w:val="auto"/>
          <w:sz w:val="24"/>
          <w:szCs w:val="22"/>
          <w:highlight w:val="none"/>
        </w:rPr>
      </w:pPr>
    </w:p>
    <w:p w14:paraId="4A74D521">
      <w:pPr>
        <w:spacing w:line="360" w:lineRule="auto"/>
        <w:ind w:left="-105" w:leftChars="-50"/>
        <w:rPr>
          <w:rFonts w:hint="eastAsia" w:ascii="宋体" w:hAnsi="宋体" w:cs="仿宋_GB2312"/>
          <w:color w:val="auto"/>
          <w:sz w:val="24"/>
          <w:szCs w:val="22"/>
          <w:highlight w:val="none"/>
        </w:rPr>
      </w:pPr>
    </w:p>
    <w:p w14:paraId="36BA5958">
      <w:pPr>
        <w:spacing w:line="480" w:lineRule="auto"/>
        <w:ind w:right="252" w:rightChars="120" w:firstLine="4410" w:firstLineChars="2100"/>
        <w:jc w:val="left"/>
        <w:rPr>
          <w:rFonts w:hint="eastAsia" w:ascii="宋体" w:hAnsi="宋体" w:cs="宋体"/>
          <w:color w:val="auto"/>
          <w:szCs w:val="21"/>
          <w:highlight w:val="none"/>
          <w:u w:val="singl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（电子签章）</w:t>
      </w:r>
    </w:p>
    <w:p w14:paraId="5CDBD054">
      <w:pPr>
        <w:tabs>
          <w:tab w:val="left" w:pos="3990"/>
          <w:tab w:val="right" w:pos="9386"/>
        </w:tabs>
        <w:spacing w:line="480" w:lineRule="auto"/>
        <w:ind w:right="252" w:rightChars="120" w:firstLine="4410" w:firstLineChars="21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（电子签章）</w:t>
      </w:r>
    </w:p>
    <w:p w14:paraId="668E7E39">
      <w:pPr>
        <w:spacing w:line="480" w:lineRule="auto"/>
        <w:ind w:firstLine="4410" w:firstLineChars="2100"/>
        <w:jc w:val="left"/>
        <w:rPr>
          <w:color w:val="auto"/>
          <w:sz w:val="28"/>
          <w:szCs w:val="24"/>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2563D153">
      <w:pPr>
        <w:spacing w:line="360" w:lineRule="auto"/>
        <w:ind w:right="252" w:rightChars="120"/>
        <w:jc w:val="right"/>
        <w:rPr>
          <w:rFonts w:hint="eastAsia" w:ascii="宋体" w:hAnsi="宋体" w:cs="仿宋_GB2312"/>
          <w:color w:val="auto"/>
          <w:szCs w:val="21"/>
          <w:highlight w:val="none"/>
        </w:rPr>
      </w:pPr>
    </w:p>
    <w:p w14:paraId="1DB6F3E4">
      <w:pPr>
        <w:rPr>
          <w:rFonts w:ascii="Calibri" w:hAnsi="Calibri"/>
          <w:color w:val="auto"/>
          <w:szCs w:val="22"/>
          <w:highlight w:val="none"/>
        </w:rPr>
      </w:pPr>
    </w:p>
    <w:p w14:paraId="393A9524">
      <w:pPr>
        <w:autoSpaceDE w:val="0"/>
        <w:autoSpaceDN w:val="0"/>
        <w:adjustRightInd w:val="0"/>
        <w:spacing w:line="360" w:lineRule="auto"/>
        <w:ind w:firstLine="422" w:firstLineChars="200"/>
        <w:jc w:val="left"/>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注：（1）谈判小组在政府采购云平台上发起二次报价后，供应商从政府采购云平台上下载附件《二次报价表》，按照格式在规定的时间内进行填报并上传。该《二次报价表》在提交响应文件时无需提供，仅作为二次报价的依据。</w:t>
      </w:r>
    </w:p>
    <w:p w14:paraId="2883200D">
      <w:pPr>
        <w:autoSpaceDE w:val="0"/>
        <w:autoSpaceDN w:val="0"/>
        <w:adjustRightInd w:val="0"/>
        <w:spacing w:line="360" w:lineRule="auto"/>
        <w:ind w:firstLine="843" w:firstLineChars="400"/>
        <w:jc w:val="left"/>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highlight w:val="none"/>
        </w:rPr>
        <w:t>（2）</w:t>
      </w:r>
      <w:r>
        <w:rPr>
          <w:rFonts w:asciiTheme="minorEastAsia" w:hAnsiTheme="minorEastAsia" w:eastAsiaTheme="minorEastAsia"/>
          <w:b/>
          <w:bCs/>
          <w:color w:val="auto"/>
          <w:highlight w:val="none"/>
        </w:rPr>
        <w:t>请供应商务必在规定的时间内进行二次报价</w:t>
      </w:r>
      <w:r>
        <w:rPr>
          <w:rFonts w:hint="eastAsia" w:asciiTheme="minorEastAsia" w:hAnsiTheme="minorEastAsia" w:eastAsiaTheme="minorEastAsia"/>
          <w:b/>
          <w:bCs/>
          <w:color w:val="auto"/>
          <w:highlight w:val="none"/>
        </w:rPr>
        <w:t>并</w:t>
      </w:r>
      <w:r>
        <w:rPr>
          <w:rFonts w:asciiTheme="minorEastAsia" w:hAnsiTheme="minorEastAsia" w:eastAsiaTheme="minorEastAsia"/>
          <w:b/>
          <w:bCs/>
          <w:color w:val="auto"/>
          <w:highlight w:val="none"/>
        </w:rPr>
        <w:t>上传经电子签章后的《二次报价表》，同时保持通讯工具畅通。若供应商未在规定的时间内进行二次报价或联系不上的，</w:t>
      </w:r>
      <w:r>
        <w:rPr>
          <w:rFonts w:hint="eastAsia" w:asciiTheme="minorEastAsia" w:hAnsiTheme="minorEastAsia" w:eastAsiaTheme="minorEastAsia"/>
          <w:b/>
          <w:bCs/>
          <w:color w:val="auto"/>
          <w:highlight w:val="none"/>
        </w:rPr>
        <w:t>谈判小组</w:t>
      </w:r>
      <w:r>
        <w:rPr>
          <w:rFonts w:asciiTheme="minorEastAsia" w:hAnsiTheme="minorEastAsia" w:eastAsiaTheme="minorEastAsia"/>
          <w:b/>
          <w:bCs/>
          <w:color w:val="auto"/>
          <w:highlight w:val="none"/>
        </w:rPr>
        <w:t>将视为其放弃二次报价，并将其响应文件中的</w:t>
      </w:r>
      <w:r>
        <w:rPr>
          <w:rFonts w:hint="eastAsia" w:asciiTheme="minorEastAsia" w:hAnsiTheme="minorEastAsia" w:eastAsiaTheme="minorEastAsia"/>
          <w:b/>
          <w:bCs/>
          <w:color w:val="auto"/>
          <w:highlight w:val="none"/>
        </w:rPr>
        <w:t>谈判</w:t>
      </w:r>
      <w:r>
        <w:rPr>
          <w:rFonts w:asciiTheme="minorEastAsia" w:hAnsiTheme="minorEastAsia" w:eastAsiaTheme="minorEastAsia"/>
          <w:b/>
          <w:bCs/>
          <w:color w:val="auto"/>
          <w:highlight w:val="none"/>
        </w:rPr>
        <w:t>报价作为其最后报价参与评审。</w:t>
      </w:r>
      <w:r>
        <w:rPr>
          <w:rFonts w:hint="eastAsia" w:asciiTheme="minorEastAsia" w:hAnsiTheme="minorEastAsia" w:eastAsiaTheme="minorEastAsia"/>
          <w:b/>
          <w:bCs/>
          <w:color w:val="auto"/>
          <w:highlight w:val="none"/>
        </w:rPr>
        <w:t>若因供应商自身原因导致出现以上情况的，供应商自行承担评审结果，与采购人和</w:t>
      </w:r>
      <w:r>
        <w:rPr>
          <w:rFonts w:hint="eastAsia" w:asciiTheme="minorEastAsia" w:hAnsiTheme="minorEastAsia" w:eastAsiaTheme="minorEastAsia"/>
          <w:b/>
          <w:bCs/>
          <w:color w:val="auto"/>
          <w:highlight w:val="none"/>
          <w:lang w:eastAsia="zh-CN"/>
        </w:rPr>
        <w:t>集中采购机构</w:t>
      </w:r>
      <w:r>
        <w:rPr>
          <w:rFonts w:hint="eastAsia" w:asciiTheme="minorEastAsia" w:hAnsiTheme="minorEastAsia" w:eastAsiaTheme="minorEastAsia"/>
          <w:b/>
          <w:bCs/>
          <w:color w:val="auto"/>
          <w:highlight w:val="none"/>
        </w:rPr>
        <w:t>无关。</w:t>
      </w:r>
    </w:p>
    <w:p w14:paraId="7282F974">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p>
    <w:p w14:paraId="5AE9D17A">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pPr>
    </w:p>
    <w:p w14:paraId="155035B5">
      <w:pPr>
        <w:autoSpaceDE w:val="0"/>
        <w:autoSpaceDN w:val="0"/>
        <w:adjustRightInd w:val="0"/>
        <w:spacing w:line="480" w:lineRule="auto"/>
        <w:ind w:firstLine="5040" w:firstLineChars="2400"/>
        <w:jc w:val="left"/>
        <w:rPr>
          <w:rFonts w:hint="eastAsia" w:asciiTheme="minorEastAsia" w:hAnsiTheme="minorEastAsia" w:eastAsiaTheme="minorEastAsia"/>
          <w:bCs/>
          <w:color w:val="auto"/>
          <w:szCs w:val="21"/>
          <w:highlight w:val="none"/>
        </w:rPr>
        <w:sectPr>
          <w:pgSz w:w="11906" w:h="16838"/>
          <w:pgMar w:top="1157" w:right="1474" w:bottom="1157" w:left="1474" w:header="510" w:footer="850" w:gutter="0"/>
          <w:cols w:space="0" w:num="1"/>
          <w:rtlGutter w:val="0"/>
          <w:docGrid w:linePitch="312" w:charSpace="0"/>
        </w:sectPr>
      </w:pPr>
    </w:p>
    <w:bookmarkEnd w:id="1083"/>
    <w:bookmarkEnd w:id="1084"/>
    <w:bookmarkEnd w:id="1085"/>
    <w:bookmarkEnd w:id="1086"/>
    <w:bookmarkEnd w:id="1087"/>
    <w:bookmarkEnd w:id="1088"/>
    <w:bookmarkEnd w:id="1089"/>
    <w:bookmarkEnd w:id="1090"/>
    <w:bookmarkEnd w:id="1170"/>
    <w:bookmarkEnd w:id="1171"/>
    <w:bookmarkEnd w:id="1205"/>
    <w:bookmarkEnd w:id="1206"/>
    <w:bookmarkEnd w:id="1227"/>
    <w:bookmarkEnd w:id="1228"/>
    <w:p w14:paraId="3305D2BD">
      <w:pPr>
        <w:spacing w:line="360" w:lineRule="auto"/>
        <w:jc w:val="center"/>
        <w:outlineLvl w:val="0"/>
        <w:rPr>
          <w:rFonts w:hint="eastAsia" w:ascii="宋体" w:hAnsi="宋体" w:eastAsia="宋体" w:cs="宋体"/>
          <w:b/>
          <w:bCs/>
          <w:color w:val="auto"/>
          <w:sz w:val="32"/>
          <w:szCs w:val="32"/>
          <w:highlight w:val="none"/>
        </w:rPr>
      </w:pPr>
      <w:bookmarkStart w:id="1230" w:name="_Toc153670645"/>
      <w:bookmarkStart w:id="1231" w:name="_Toc11149"/>
      <w:r>
        <w:rPr>
          <w:rFonts w:hint="eastAsia" w:ascii="宋体" w:hAnsi="宋体" w:eastAsia="宋体" w:cs="宋体"/>
          <w:b/>
          <w:bCs/>
          <w:color w:val="auto"/>
          <w:sz w:val="32"/>
          <w:szCs w:val="32"/>
          <w:highlight w:val="none"/>
        </w:rPr>
        <w:t>第五章 采购需求及要求</w:t>
      </w:r>
      <w:bookmarkEnd w:id="1230"/>
      <w:bookmarkEnd w:id="1231"/>
    </w:p>
    <w:p w14:paraId="60114662">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left"/>
        <w:textAlignment w:val="auto"/>
        <w:outlineLvl w:val="1"/>
        <w:rPr>
          <w:rFonts w:hint="eastAsia" w:cs="Times New Roman" w:asciiTheme="minorEastAsia" w:hAnsiTheme="minorEastAsia" w:eastAsiaTheme="minorEastAsia"/>
          <w:b/>
          <w:bCs w:val="0"/>
          <w:color w:val="auto"/>
          <w:sz w:val="24"/>
          <w:szCs w:val="24"/>
          <w:highlight w:val="none"/>
          <w:lang w:val="en-US" w:eastAsia="zh-CN"/>
        </w:rPr>
      </w:pPr>
      <w:bookmarkStart w:id="1232" w:name="_Toc153670646"/>
      <w:r>
        <w:rPr>
          <w:rFonts w:hint="eastAsia" w:cs="Times New Roman" w:asciiTheme="minorEastAsia" w:hAnsiTheme="minorEastAsia" w:eastAsiaTheme="minorEastAsia"/>
          <w:b/>
          <w:bCs w:val="0"/>
          <w:color w:val="auto"/>
          <w:sz w:val="24"/>
          <w:szCs w:val="24"/>
          <w:highlight w:val="none"/>
          <w:lang w:val="en-US" w:eastAsia="zh-CN"/>
        </w:rPr>
        <w:t>一、项目概况</w:t>
      </w:r>
    </w:p>
    <w:p w14:paraId="3F9CFA2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宜良县中医院是一所二级甲等中医医院，位于宜良县振兴街37号，占地面积1.9亩，建筑面积17721.45㎡，现有职工153人。</w:t>
      </w:r>
    </w:p>
    <w:p w14:paraId="74EEE24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left"/>
        <w:textAlignment w:val="auto"/>
        <w:outlineLvl w:val="1"/>
        <w:rPr>
          <w:rFonts w:hint="eastAsia" w:cs="Times New Roman" w:asciiTheme="minorEastAsia" w:hAnsiTheme="minorEastAsia" w:eastAsiaTheme="minorEastAsia"/>
          <w:b/>
          <w:bCs w:val="0"/>
          <w:color w:val="auto"/>
          <w:sz w:val="24"/>
          <w:szCs w:val="24"/>
          <w:highlight w:val="none"/>
          <w:lang w:val="en-US" w:eastAsia="zh-CN"/>
        </w:rPr>
      </w:pPr>
      <w:r>
        <w:rPr>
          <w:rFonts w:hint="eastAsia" w:cs="Times New Roman" w:asciiTheme="minorEastAsia" w:hAnsiTheme="minorEastAsia" w:eastAsiaTheme="minorEastAsia"/>
          <w:b/>
          <w:bCs w:val="0"/>
          <w:color w:val="auto"/>
          <w:sz w:val="24"/>
          <w:szCs w:val="24"/>
          <w:highlight w:val="none"/>
          <w:lang w:val="en-US" w:eastAsia="zh-CN"/>
        </w:rPr>
        <w:t>二、采购需求</w:t>
      </w:r>
    </w:p>
    <w:p w14:paraId="39ECFB6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rPr>
      </w:pPr>
      <w:r>
        <w:rPr>
          <w:rFonts w:hint="eastAsia" w:cs="Times New Roman" w:asciiTheme="minorEastAsia" w:hAnsiTheme="minorEastAsia" w:eastAsiaTheme="minorEastAsia"/>
          <w:bCs/>
          <w:color w:val="auto"/>
          <w:szCs w:val="21"/>
          <w:highlight w:val="none"/>
          <w:lang w:val="en-US" w:eastAsia="zh-CN"/>
        </w:rPr>
        <w:t>负责宜良县中医院内的保安、保洁服务工作，共12人，包括保安员6名，保洁6名。</w:t>
      </w:r>
    </w:p>
    <w:p w14:paraId="4A3F90D3">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left"/>
        <w:textAlignment w:val="auto"/>
        <w:outlineLvl w:val="1"/>
        <w:rPr>
          <w:rFonts w:hint="eastAsia" w:cs="Times New Roman" w:asciiTheme="minorEastAsia" w:hAnsiTheme="minorEastAsia" w:eastAsiaTheme="minorEastAsia"/>
          <w:b/>
          <w:bCs w:val="0"/>
          <w:color w:val="auto"/>
          <w:sz w:val="24"/>
          <w:szCs w:val="24"/>
          <w:highlight w:val="none"/>
          <w:lang w:val="en-US" w:eastAsia="zh-CN"/>
        </w:rPr>
      </w:pPr>
      <w:r>
        <w:rPr>
          <w:rFonts w:hint="eastAsia" w:cs="Times New Roman" w:asciiTheme="minorEastAsia" w:hAnsiTheme="minorEastAsia" w:eastAsiaTheme="minorEastAsia"/>
          <w:b/>
          <w:bCs w:val="0"/>
          <w:color w:val="auto"/>
          <w:sz w:val="24"/>
          <w:szCs w:val="24"/>
          <w:highlight w:val="none"/>
          <w:lang w:val="en-US" w:eastAsia="zh-CN"/>
        </w:rPr>
        <w:t>三、执行的标准</w:t>
      </w:r>
    </w:p>
    <w:p w14:paraId="77C1D5E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《中华人民共和国政府采购法》、《政府采购货物和服务招标投标管理办法》（财政部令第87号）、《昆明市政府采购管理暂行办法》；</w:t>
      </w:r>
    </w:p>
    <w:p w14:paraId="5E7A4A5E">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left"/>
        <w:textAlignment w:val="auto"/>
        <w:outlineLvl w:val="1"/>
        <w:rPr>
          <w:rFonts w:hint="eastAsia" w:cs="Times New Roman" w:asciiTheme="minorEastAsia" w:hAnsiTheme="minorEastAsia" w:eastAsiaTheme="minorEastAsia"/>
          <w:b/>
          <w:bCs w:val="0"/>
          <w:color w:val="auto"/>
          <w:sz w:val="24"/>
          <w:szCs w:val="24"/>
          <w:highlight w:val="none"/>
          <w:lang w:val="en-US" w:eastAsia="zh-CN"/>
        </w:rPr>
      </w:pPr>
      <w:r>
        <w:rPr>
          <w:rFonts w:hint="eastAsia" w:cs="Times New Roman" w:asciiTheme="minorEastAsia" w:hAnsiTheme="minorEastAsia" w:eastAsiaTheme="minorEastAsia"/>
          <w:b/>
          <w:bCs w:val="0"/>
          <w:color w:val="auto"/>
          <w:sz w:val="24"/>
          <w:szCs w:val="24"/>
          <w:highlight w:val="none"/>
          <w:lang w:val="en-US" w:eastAsia="zh-CN"/>
        </w:rPr>
        <w:t>四、满足要求</w:t>
      </w:r>
    </w:p>
    <w:p w14:paraId="3BAED13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1.所有派驻到医院的安保人员必须全部政审合格并持保安证上岗，同时消控室现场值班人员必须持有消防监督管理部门认可的建（构）筑物消防员证上岗。</w:t>
      </w:r>
    </w:p>
    <w:p w14:paraId="3CDE065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2.保安员要求：男性，年龄18-55岁，身体健康，五官端正。</w:t>
      </w:r>
    </w:p>
    <w:p w14:paraId="0BEE39A2">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3.现场管理负责人若须离开项目地点，须提前向院方保卫科管理部门报备。</w:t>
      </w:r>
    </w:p>
    <w:p w14:paraId="3329946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4.因保卫工作涉及到的器械设备由医院提供，如对讲机、头盔、防刺背心、盾牌、橡胶棍等按（物资配备清单）要求配备。</w:t>
      </w:r>
    </w:p>
    <w:p w14:paraId="52F56FB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5.派驻安保人员严格落实24小时工作制，禁止拉班。</w:t>
      </w:r>
    </w:p>
    <w:p w14:paraId="4C7ED8BD">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6.根据院区的要求做好出入院区内的车辆和人员询问、登记、引导、安检等，指挥车辆按要求有序停放，看管好院区内的公物和财产，维护好院区内正常的医疗工作和生活秩序，维护院区的其它合法利益。</w:t>
      </w:r>
    </w:p>
    <w:p w14:paraId="493EC45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7.认真执行院区有关安全规则制度，能熟练操作火灾自动报警系统、视频监控安防系统、灭火器、室内外消火栓、熟知电源总开关位置和会使用应急电源。</w:t>
      </w:r>
    </w:p>
    <w:p w14:paraId="01DB3E0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8.定时或不定时对院区内及院区周围进行巡逻，及时发现并消除安全隐患，对不能及时整改的安全隐患要立即报告医院保卫部。</w:t>
      </w:r>
    </w:p>
    <w:p w14:paraId="17976A4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9.做好院区内配置的消防设施、设备、器材的检查、维护工作，发现问题及时报告医院办公室。</w:t>
      </w:r>
    </w:p>
    <w:p w14:paraId="778D9037">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10.及时制止处理在院区内发生的治安及其它事件，必要时及时向公安机关报告，并协助进行处理。</w:t>
      </w:r>
    </w:p>
    <w:p w14:paraId="12899FF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11.统一保安服装、佩戴统一标识上岗，自觉履行岗位工作职责，做到不脱岗、溜岗，上班执勤期间不做与工作无关的事，有事须向院区负责人和保安公司负责人请假，征得同意后方可离开岗位。做到爱岗敬业，忠于职守，文明服务，优质服务。</w:t>
      </w:r>
    </w:p>
    <w:p w14:paraId="5C468B7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12.积极配合完成院方临时下达的指令性工作。</w:t>
      </w:r>
    </w:p>
    <w:p w14:paraId="074FD6D9">
      <w:pPr>
        <w:rPr>
          <w:rFonts w:hint="eastAsia" w:cs="Times New Roman" w:asciiTheme="minorEastAsia" w:hAnsiTheme="minorEastAsia" w:eastAsiaTheme="minorEastAsia"/>
          <w:b/>
          <w:bCs w:val="0"/>
          <w:color w:val="auto"/>
          <w:szCs w:val="21"/>
          <w:highlight w:val="none"/>
          <w:lang w:val="en-US" w:eastAsia="zh-CN"/>
        </w:rPr>
      </w:pPr>
      <w:r>
        <w:rPr>
          <w:rFonts w:hint="eastAsia" w:cs="Times New Roman" w:asciiTheme="minorEastAsia" w:hAnsiTheme="minorEastAsia" w:eastAsiaTheme="minorEastAsia"/>
          <w:b/>
          <w:bCs w:val="0"/>
          <w:color w:val="auto"/>
          <w:szCs w:val="21"/>
          <w:highlight w:val="none"/>
          <w:lang w:val="en-US" w:eastAsia="zh-CN"/>
        </w:rPr>
        <w:br w:type="page"/>
      </w:r>
    </w:p>
    <w:p w14:paraId="3749900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left"/>
        <w:textAlignment w:val="auto"/>
        <w:outlineLvl w:val="1"/>
        <w:rPr>
          <w:rFonts w:hint="eastAsia" w:cs="Times New Roman" w:asciiTheme="minorEastAsia" w:hAnsiTheme="minorEastAsia" w:eastAsiaTheme="minorEastAsia"/>
          <w:b/>
          <w:bCs w:val="0"/>
          <w:color w:val="auto"/>
          <w:sz w:val="24"/>
          <w:szCs w:val="24"/>
          <w:highlight w:val="none"/>
          <w:lang w:val="en-US" w:eastAsia="zh-CN"/>
        </w:rPr>
      </w:pPr>
      <w:r>
        <w:rPr>
          <w:rFonts w:hint="eastAsia" w:cs="Times New Roman" w:asciiTheme="minorEastAsia" w:hAnsiTheme="minorEastAsia" w:eastAsiaTheme="minorEastAsia"/>
          <w:b/>
          <w:bCs w:val="0"/>
          <w:color w:val="auto"/>
          <w:sz w:val="24"/>
          <w:szCs w:val="24"/>
          <w:highlight w:val="none"/>
          <w:lang w:val="en-US" w:eastAsia="zh-CN"/>
        </w:rPr>
        <w:t>五、采购的数量</w:t>
      </w:r>
    </w:p>
    <w:p w14:paraId="76B502E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（一）保安岗位设置及工作时间</w:t>
      </w:r>
    </w:p>
    <w:tbl>
      <w:tblPr>
        <w:tblStyle w:val="53"/>
        <w:tblW w:w="852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302"/>
        <w:gridCol w:w="877"/>
        <w:gridCol w:w="426"/>
        <w:gridCol w:w="2633"/>
        <w:gridCol w:w="875"/>
        <w:gridCol w:w="1415"/>
      </w:tblGrid>
      <w:tr w14:paraId="0FE5E4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219"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1566A246">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firstLine="32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08:00-20:00</w:t>
            </w:r>
          </w:p>
        </w:tc>
        <w:tc>
          <w:tcPr>
            <w:tcW w:w="300"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top"/>
          </w:tcPr>
          <w:p w14:paraId="294BA6CC">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 </w:t>
            </w:r>
          </w:p>
        </w:tc>
        <w:tc>
          <w:tcPr>
            <w:tcW w:w="3573"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14:paraId="00392E4E">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20:00-次日08:00</w:t>
            </w:r>
          </w:p>
        </w:tc>
        <w:tc>
          <w:tcPr>
            <w:tcW w:w="1436" w:type="dxa"/>
            <w:tcBorders>
              <w:top w:val="single" w:color="auto" w:sz="8" w:space="0"/>
              <w:left w:val="nil"/>
              <w:bottom w:val="nil"/>
              <w:right w:val="single" w:color="auto" w:sz="8" w:space="0"/>
            </w:tcBorders>
            <w:shd w:val="clear" w:color="auto" w:fill="FFFFFF"/>
            <w:tcMar>
              <w:top w:w="0" w:type="dxa"/>
              <w:left w:w="108" w:type="dxa"/>
              <w:bottom w:w="0" w:type="dxa"/>
              <w:right w:w="108" w:type="dxa"/>
            </w:tcMar>
            <w:vAlign w:val="top"/>
          </w:tcPr>
          <w:p w14:paraId="331F3A44">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备注 </w:t>
            </w:r>
          </w:p>
        </w:tc>
      </w:tr>
      <w:tr w14:paraId="55CE19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9" w:hRule="atLeast"/>
          <w:jc w:val="center"/>
        </w:trPr>
        <w:tc>
          <w:tcPr>
            <w:tcW w:w="23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DD33085">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岗位</w:t>
            </w:r>
          </w:p>
        </w:tc>
        <w:tc>
          <w:tcPr>
            <w:tcW w:w="8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BC96793">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人数</w:t>
            </w:r>
          </w:p>
        </w:tc>
        <w:tc>
          <w:tcPr>
            <w:tcW w:w="30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6A7775">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 </w:t>
            </w:r>
          </w:p>
        </w:tc>
        <w:tc>
          <w:tcPr>
            <w:tcW w:w="26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274247E">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岗位</w:t>
            </w:r>
          </w:p>
        </w:tc>
        <w:tc>
          <w:tcPr>
            <w:tcW w:w="88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9B1F09">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人数</w:t>
            </w:r>
          </w:p>
        </w:tc>
        <w:tc>
          <w:tcPr>
            <w:tcW w:w="143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BFF68BB">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 </w:t>
            </w:r>
          </w:p>
        </w:tc>
      </w:tr>
      <w:tr w14:paraId="6F379C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3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7C0274ED">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门口+巡逻岗</w:t>
            </w:r>
          </w:p>
        </w:tc>
        <w:tc>
          <w:tcPr>
            <w:tcW w:w="8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0F511D">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1</w:t>
            </w:r>
          </w:p>
        </w:tc>
        <w:tc>
          <w:tcPr>
            <w:tcW w:w="30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18BC0F">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宋体" w:hAnsi="宋体" w:eastAsia="宋体" w:cs="宋体"/>
                <w:color w:val="auto"/>
                <w:sz w:val="21"/>
                <w:szCs w:val="21"/>
              </w:rPr>
            </w:pPr>
          </w:p>
        </w:tc>
        <w:tc>
          <w:tcPr>
            <w:tcW w:w="26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7B631488">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门口+院区巡逻岗</w:t>
            </w:r>
          </w:p>
        </w:tc>
        <w:tc>
          <w:tcPr>
            <w:tcW w:w="8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7BC2E8">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1</w:t>
            </w:r>
          </w:p>
        </w:tc>
        <w:tc>
          <w:tcPr>
            <w:tcW w:w="14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AE16CF8">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宋体" w:hAnsi="宋体" w:eastAsia="宋体" w:cs="宋体"/>
                <w:color w:val="auto"/>
                <w:sz w:val="21"/>
                <w:szCs w:val="21"/>
              </w:rPr>
            </w:pPr>
          </w:p>
        </w:tc>
      </w:tr>
      <w:tr w14:paraId="2D3382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23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14:paraId="54A6CEA3">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 门诊大厅</w:t>
            </w:r>
          </w:p>
        </w:tc>
        <w:tc>
          <w:tcPr>
            <w:tcW w:w="8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98A6384">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1</w:t>
            </w:r>
          </w:p>
        </w:tc>
        <w:tc>
          <w:tcPr>
            <w:tcW w:w="30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B0CA343">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宋体" w:hAnsi="宋体" w:eastAsia="宋体" w:cs="宋体"/>
                <w:color w:val="auto"/>
                <w:sz w:val="21"/>
                <w:szCs w:val="21"/>
              </w:rPr>
            </w:pPr>
          </w:p>
        </w:tc>
        <w:tc>
          <w:tcPr>
            <w:tcW w:w="26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14:paraId="09CA5B95">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门诊大厅</w:t>
            </w:r>
          </w:p>
        </w:tc>
        <w:tc>
          <w:tcPr>
            <w:tcW w:w="8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238F24">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1</w:t>
            </w:r>
          </w:p>
        </w:tc>
        <w:tc>
          <w:tcPr>
            <w:tcW w:w="1436"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D3911D">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宋体" w:hAnsi="宋体" w:eastAsia="宋体" w:cs="宋体"/>
                <w:color w:val="auto"/>
                <w:sz w:val="21"/>
                <w:szCs w:val="21"/>
              </w:rPr>
            </w:pPr>
          </w:p>
        </w:tc>
      </w:tr>
      <w:tr w14:paraId="688346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4" w:hRule="atLeast"/>
          <w:jc w:val="center"/>
        </w:trPr>
        <w:tc>
          <w:tcPr>
            <w:tcW w:w="23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F9D7EDB">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28" w:afterAutospacing="0" w:line="560" w:lineRule="exact"/>
              <w:ind w:left="0" w:right="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监控室+巡逻岗</w:t>
            </w:r>
          </w:p>
        </w:tc>
        <w:tc>
          <w:tcPr>
            <w:tcW w:w="8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F9A414">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1</w:t>
            </w:r>
          </w:p>
        </w:tc>
        <w:tc>
          <w:tcPr>
            <w:tcW w:w="3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BE14A3">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 </w:t>
            </w:r>
          </w:p>
        </w:tc>
        <w:tc>
          <w:tcPr>
            <w:tcW w:w="26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D4EF21">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监控室+巡逻岗</w:t>
            </w:r>
          </w:p>
        </w:tc>
        <w:tc>
          <w:tcPr>
            <w:tcW w:w="8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871E01">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1</w:t>
            </w:r>
          </w:p>
        </w:tc>
        <w:tc>
          <w:tcPr>
            <w:tcW w:w="14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FA249F">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 </w:t>
            </w:r>
          </w:p>
        </w:tc>
      </w:tr>
      <w:tr w14:paraId="1054E4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4" w:hRule="atLeast"/>
          <w:jc w:val="center"/>
        </w:trPr>
        <w:tc>
          <w:tcPr>
            <w:tcW w:w="23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A1F925D">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合计</w:t>
            </w:r>
          </w:p>
        </w:tc>
        <w:tc>
          <w:tcPr>
            <w:tcW w:w="8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232DF3D">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3</w:t>
            </w:r>
          </w:p>
        </w:tc>
        <w:tc>
          <w:tcPr>
            <w:tcW w:w="3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4F8699">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 </w:t>
            </w:r>
          </w:p>
        </w:tc>
        <w:tc>
          <w:tcPr>
            <w:tcW w:w="26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141349">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合计 </w:t>
            </w:r>
          </w:p>
        </w:tc>
        <w:tc>
          <w:tcPr>
            <w:tcW w:w="88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28AA99B">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3</w:t>
            </w:r>
          </w:p>
        </w:tc>
        <w:tc>
          <w:tcPr>
            <w:tcW w:w="143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9209F2">
            <w:pPr>
              <w:keepNext w:val="0"/>
              <w:keepLines w:val="0"/>
              <w:pageBreakBefore w:val="0"/>
              <w:widowControl/>
              <w:suppressLineNumbers w:val="0"/>
              <w:kinsoku/>
              <w:wordWrap/>
              <w:overflowPunct/>
              <w:topLinePunct w:val="0"/>
              <w:autoSpaceDE/>
              <w:autoSpaceDN/>
              <w:bidi w:val="0"/>
              <w:adjustRightInd/>
              <w:snapToGrid/>
              <w:spacing w:before="0" w:beforeAutospacing="0" w:after="128" w:afterAutospacing="0" w:line="56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 </w:t>
            </w:r>
          </w:p>
        </w:tc>
      </w:tr>
    </w:tbl>
    <w:p w14:paraId="6AA9CAA8">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工作时间及要求：每班安保人员须提前20分钟到场签到上岗，所有上岗保安人员须到岗做好交接班工作，工作时间为：</w:t>
      </w:r>
    </w:p>
    <w:p w14:paraId="5694EA4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08:00—20:00   20:00-08:00，遇特殊情况可根据工作要求，调整上岗时间。</w:t>
      </w:r>
    </w:p>
    <w:p w14:paraId="0668E46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cs="Times New Roman" w:asciiTheme="minorEastAsia" w:hAnsiTheme="minorEastAsia" w:eastAsiaTheme="minorEastAsia"/>
          <w:bCs/>
          <w:color w:val="auto"/>
          <w:szCs w:val="21"/>
          <w:highlight w:val="none"/>
          <w:lang w:val="en-US" w:eastAsia="zh-CN"/>
        </w:rPr>
        <w:t>（二）保洁岗位设置</w:t>
      </w:r>
    </w:p>
    <w:tbl>
      <w:tblPr>
        <w:tblStyle w:val="53"/>
        <w:tblW w:w="0" w:type="auto"/>
        <w:tblInd w:w="989"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071"/>
        <w:gridCol w:w="3505"/>
      </w:tblGrid>
      <w:tr w14:paraId="0E6069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trPr>
        <w:tc>
          <w:tcPr>
            <w:tcW w:w="407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D5C04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保洁</w:t>
            </w:r>
          </w:p>
        </w:tc>
        <w:tc>
          <w:tcPr>
            <w:tcW w:w="3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E1D8B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人数</w:t>
            </w:r>
          </w:p>
        </w:tc>
      </w:tr>
      <w:tr w14:paraId="1F30DD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trPr>
        <w:tc>
          <w:tcPr>
            <w:tcW w:w="40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8022C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2号楼1楼</w:t>
            </w:r>
          </w:p>
        </w:tc>
        <w:tc>
          <w:tcPr>
            <w:tcW w:w="3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3AD9DE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1</w:t>
            </w:r>
          </w:p>
        </w:tc>
      </w:tr>
      <w:tr w14:paraId="72EA44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trPr>
        <w:tc>
          <w:tcPr>
            <w:tcW w:w="40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F5F56C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2号楼2楼</w:t>
            </w:r>
          </w:p>
        </w:tc>
        <w:tc>
          <w:tcPr>
            <w:tcW w:w="3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0C9735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1</w:t>
            </w:r>
          </w:p>
        </w:tc>
      </w:tr>
      <w:tr w14:paraId="4B2153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trPr>
        <w:tc>
          <w:tcPr>
            <w:tcW w:w="40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5B796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2号楼3楼</w:t>
            </w:r>
          </w:p>
        </w:tc>
        <w:tc>
          <w:tcPr>
            <w:tcW w:w="3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E56398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1</w:t>
            </w:r>
          </w:p>
        </w:tc>
      </w:tr>
      <w:tr w14:paraId="4C801A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40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905E6E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2号楼4楼</w:t>
            </w:r>
          </w:p>
        </w:tc>
        <w:tc>
          <w:tcPr>
            <w:tcW w:w="3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034A9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1</w:t>
            </w:r>
          </w:p>
        </w:tc>
      </w:tr>
      <w:tr w14:paraId="477B69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trPr>
        <w:tc>
          <w:tcPr>
            <w:tcW w:w="40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286B7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2号楼5楼</w:t>
            </w:r>
          </w:p>
        </w:tc>
        <w:tc>
          <w:tcPr>
            <w:tcW w:w="3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2ABF07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1</w:t>
            </w:r>
          </w:p>
        </w:tc>
      </w:tr>
      <w:tr w14:paraId="1614F7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trPr>
        <w:tc>
          <w:tcPr>
            <w:tcW w:w="40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C62F94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1号楼</w:t>
            </w:r>
          </w:p>
        </w:tc>
        <w:tc>
          <w:tcPr>
            <w:tcW w:w="3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C811C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1</w:t>
            </w:r>
          </w:p>
        </w:tc>
      </w:tr>
      <w:tr w14:paraId="328663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407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C23D6D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合计</w:t>
            </w:r>
          </w:p>
        </w:tc>
        <w:tc>
          <w:tcPr>
            <w:tcW w:w="3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02C0CF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0" w:right="0"/>
              <w:jc w:val="center"/>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lang w:val="en-US" w:eastAsia="zh-CN" w:bidi="ar"/>
              </w:rPr>
              <w:t>6</w:t>
            </w:r>
          </w:p>
        </w:tc>
      </w:tr>
    </w:tbl>
    <w:p w14:paraId="07D1B57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jc w:val="left"/>
        <w:textAlignment w:val="auto"/>
        <w:outlineLvl w:val="1"/>
        <w:rPr>
          <w:rFonts w:hint="eastAsia" w:cs="Times New Roman" w:asciiTheme="minorEastAsia" w:hAnsiTheme="minorEastAsia" w:eastAsiaTheme="minorEastAsia"/>
          <w:b/>
          <w:bCs w:val="0"/>
          <w:color w:val="auto"/>
          <w:sz w:val="24"/>
          <w:szCs w:val="24"/>
          <w:highlight w:val="none"/>
          <w:lang w:val="en-US" w:eastAsia="zh-CN"/>
        </w:rPr>
      </w:pPr>
      <w:r>
        <w:rPr>
          <w:rFonts w:hint="eastAsia" w:cs="Times New Roman" w:asciiTheme="minorEastAsia" w:hAnsiTheme="minorEastAsia" w:eastAsiaTheme="minorEastAsia"/>
          <w:b/>
          <w:bCs w:val="0"/>
          <w:color w:val="auto"/>
          <w:sz w:val="24"/>
          <w:szCs w:val="24"/>
          <w:highlight w:val="none"/>
          <w:lang w:val="en-US" w:eastAsia="zh-CN"/>
        </w:rPr>
        <w:t>六、合同履行期限</w:t>
      </w:r>
    </w:p>
    <w:p w14:paraId="3777EF44">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1.采购保安人员共6人、保洁6人，共12人，每年委托服务费预算金额共40万元；</w:t>
      </w:r>
    </w:p>
    <w:p w14:paraId="60740FA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Cs/>
          <w:color w:val="auto"/>
          <w:szCs w:val="21"/>
          <w:highlight w:val="none"/>
          <w:lang w:val="en-US" w:eastAsia="zh-CN"/>
        </w:rPr>
      </w:pPr>
      <w:r>
        <w:rPr>
          <w:rFonts w:hint="eastAsia" w:cs="Times New Roman" w:asciiTheme="minorEastAsia" w:hAnsiTheme="minorEastAsia" w:eastAsiaTheme="minorEastAsia"/>
          <w:bCs/>
          <w:color w:val="auto"/>
          <w:szCs w:val="21"/>
          <w:highlight w:val="none"/>
          <w:lang w:val="en-US" w:eastAsia="zh-CN"/>
        </w:rPr>
        <w:t>2.合同履行期限：预招3年，合同一年一签（按年进行考核，考核合格后提出申请进行续签,考核内容由院方制定）</w:t>
      </w:r>
    </w:p>
    <w:p w14:paraId="2779472D">
      <w:pPr>
        <w:spacing w:line="360" w:lineRule="auto"/>
        <w:ind w:firstLine="420" w:firstLineChars="200"/>
        <w:rPr>
          <w:rFonts w:hint="eastAsia" w:ascii="宋体" w:hAnsi="宋体" w:cs="宋体"/>
          <w:color w:val="auto"/>
          <w:highlight w:val="none"/>
        </w:rPr>
      </w:pPr>
    </w:p>
    <w:p w14:paraId="491F04D0">
      <w:pPr>
        <w:widowControl/>
        <w:shd w:val="clear" w:color="auto" w:fill="FFFFFF"/>
        <w:spacing w:line="360" w:lineRule="auto"/>
        <w:ind w:firstLine="420" w:firstLineChars="200"/>
        <w:jc w:val="left"/>
        <w:rPr>
          <w:rFonts w:hint="eastAsia" w:ascii="宋体" w:hAnsi="宋体" w:cs="宋体"/>
          <w:color w:val="auto"/>
          <w:kern w:val="0"/>
          <w:szCs w:val="21"/>
          <w:highlight w:val="none"/>
          <w:shd w:val="clear" w:color="auto" w:fill="FFFFFF"/>
          <w:lang w:bidi="ar"/>
        </w:rPr>
      </w:pPr>
    </w:p>
    <w:p w14:paraId="778D7B76">
      <w:pPr>
        <w:widowControl/>
        <w:spacing w:line="360" w:lineRule="auto"/>
        <w:jc w:val="left"/>
        <w:rPr>
          <w:rFonts w:hint="eastAsia" w:asciiTheme="minorEastAsia" w:hAnsiTheme="minorEastAsia" w:eastAsiaTheme="minorEastAsia"/>
          <w:b/>
          <w:bCs/>
          <w:color w:val="auto"/>
          <w:sz w:val="32"/>
          <w:szCs w:val="32"/>
          <w:highlight w:val="none"/>
        </w:rPr>
      </w:pPr>
      <w:r>
        <w:rPr>
          <w:rFonts w:asciiTheme="minorEastAsia" w:hAnsiTheme="minorEastAsia" w:eastAsiaTheme="minorEastAsia"/>
          <w:b/>
          <w:bCs/>
          <w:color w:val="auto"/>
          <w:sz w:val="32"/>
          <w:szCs w:val="32"/>
          <w:highlight w:val="none"/>
        </w:rPr>
        <w:br w:type="page"/>
      </w:r>
    </w:p>
    <w:p w14:paraId="48A8F20F">
      <w:pPr>
        <w:spacing w:line="360" w:lineRule="auto"/>
        <w:jc w:val="center"/>
        <w:outlineLvl w:val="0"/>
        <w:rPr>
          <w:rFonts w:hint="eastAsia" w:asciiTheme="minorEastAsia" w:hAnsiTheme="minorEastAsia" w:eastAsiaTheme="minorEastAsia"/>
          <w:b/>
          <w:bCs/>
          <w:color w:val="auto"/>
          <w:sz w:val="32"/>
          <w:szCs w:val="32"/>
          <w:highlight w:val="none"/>
        </w:rPr>
      </w:pPr>
      <w:bookmarkStart w:id="1233" w:name="_Toc20304"/>
      <w:r>
        <w:rPr>
          <w:rFonts w:hint="eastAsia" w:asciiTheme="minorEastAsia" w:hAnsiTheme="minorEastAsia" w:eastAsiaTheme="minorEastAsia"/>
          <w:b/>
          <w:bCs/>
          <w:color w:val="auto"/>
          <w:sz w:val="32"/>
          <w:szCs w:val="32"/>
          <w:highlight w:val="none"/>
        </w:rPr>
        <w:t>第六章 评审办法（最低评标价法）</w:t>
      </w:r>
      <w:bookmarkEnd w:id="1232"/>
      <w:bookmarkEnd w:id="1233"/>
    </w:p>
    <w:p w14:paraId="145AFB33">
      <w:pPr>
        <w:pStyle w:val="4"/>
        <w:spacing w:line="360" w:lineRule="auto"/>
        <w:rPr>
          <w:rFonts w:hint="eastAsia" w:asciiTheme="minorEastAsia" w:hAnsiTheme="minorEastAsia" w:eastAsiaTheme="minorEastAsia"/>
          <w:b w:val="0"/>
          <w:bCs/>
          <w:color w:val="auto"/>
          <w:szCs w:val="28"/>
          <w:highlight w:val="none"/>
        </w:rPr>
      </w:pPr>
      <w:bookmarkStart w:id="1234" w:name="_Toc388013682"/>
      <w:bookmarkStart w:id="1235" w:name="_Toc87543857"/>
      <w:bookmarkStart w:id="1236" w:name="_Toc153670647"/>
      <w:bookmarkStart w:id="1237" w:name="_Toc9290724"/>
      <w:bookmarkStart w:id="1238" w:name="_Toc388013369"/>
      <w:bookmarkStart w:id="1239" w:name="_Toc87538406"/>
      <w:bookmarkStart w:id="1240" w:name="_Toc84356289"/>
      <w:bookmarkStart w:id="1241" w:name="_Toc23555"/>
      <w:bookmarkStart w:id="1242" w:name="_Toc110405174"/>
      <w:bookmarkStart w:id="1243" w:name="_Toc83753929"/>
      <w:bookmarkStart w:id="1244" w:name="_Toc302769231"/>
      <w:bookmarkStart w:id="1245" w:name="_Toc388014371"/>
      <w:bookmarkStart w:id="1246" w:name="_Toc447640828"/>
      <w:bookmarkStart w:id="1247" w:name="_Toc42205031"/>
      <w:bookmarkStart w:id="1248" w:name="_Toc37603109"/>
      <w:r>
        <w:rPr>
          <w:rFonts w:hint="eastAsia" w:asciiTheme="minorEastAsia" w:hAnsiTheme="minorEastAsia" w:eastAsiaTheme="minorEastAsia"/>
          <w:b w:val="0"/>
          <w:bCs/>
          <w:color w:val="auto"/>
          <w:szCs w:val="28"/>
          <w:highlight w:val="none"/>
        </w:rPr>
        <w:t>一、评审办法</w:t>
      </w:r>
      <w:r>
        <w:rPr>
          <w:rFonts w:asciiTheme="minorEastAsia" w:hAnsiTheme="minorEastAsia" w:eastAsiaTheme="minorEastAsia"/>
          <w:b w:val="0"/>
          <w:bCs/>
          <w:color w:val="auto"/>
          <w:szCs w:val="28"/>
          <w:highlight w:val="none"/>
        </w:rPr>
        <w:t>前附表</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tbl>
      <w:tblPr>
        <w:tblStyle w:val="53"/>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527"/>
        <w:gridCol w:w="2391"/>
        <w:gridCol w:w="5018"/>
      </w:tblGrid>
      <w:tr w14:paraId="08E7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37" w:type="dxa"/>
            <w:vAlign w:val="center"/>
          </w:tcPr>
          <w:p w14:paraId="01638D87">
            <w:pPr>
              <w:autoSpaceDE w:val="0"/>
              <w:autoSpaceDN w:val="0"/>
              <w:adjustRightInd w:val="0"/>
              <w:jc w:val="center"/>
              <w:rPr>
                <w:rFonts w:hint="eastAsia" w:cs="UPNQIO+ËÎÌå" w:asciiTheme="minorEastAsia" w:hAnsiTheme="minorEastAsia" w:eastAsiaTheme="minorEastAsia"/>
                <w:b/>
                <w:color w:val="auto"/>
                <w:spacing w:val="1"/>
                <w:kern w:val="0"/>
                <w:szCs w:val="21"/>
                <w:highlight w:val="none"/>
              </w:rPr>
            </w:pPr>
            <w:r>
              <w:rPr>
                <w:rFonts w:hint="eastAsia" w:cs="宋体" w:asciiTheme="minorEastAsia" w:hAnsiTheme="minorEastAsia" w:eastAsiaTheme="minorEastAsia"/>
                <w:b/>
                <w:color w:val="auto"/>
                <w:spacing w:val="1"/>
                <w:kern w:val="0"/>
                <w:szCs w:val="21"/>
                <w:highlight w:val="none"/>
              </w:rPr>
              <w:t>条款号</w:t>
            </w:r>
          </w:p>
        </w:tc>
        <w:tc>
          <w:tcPr>
            <w:tcW w:w="1527" w:type="dxa"/>
            <w:vAlign w:val="center"/>
          </w:tcPr>
          <w:p w14:paraId="633917C8">
            <w:pPr>
              <w:autoSpaceDE w:val="0"/>
              <w:autoSpaceDN w:val="0"/>
              <w:adjustRightInd w:val="0"/>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评审因素</w:t>
            </w:r>
          </w:p>
        </w:tc>
        <w:tc>
          <w:tcPr>
            <w:tcW w:w="2391" w:type="dxa"/>
            <w:vAlign w:val="center"/>
          </w:tcPr>
          <w:p w14:paraId="20524626">
            <w:pPr>
              <w:autoSpaceDE w:val="0"/>
              <w:autoSpaceDN w:val="0"/>
              <w:adjustRightInd w:val="0"/>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评审内容</w:t>
            </w:r>
          </w:p>
        </w:tc>
        <w:tc>
          <w:tcPr>
            <w:tcW w:w="5018" w:type="dxa"/>
            <w:vAlign w:val="center"/>
          </w:tcPr>
          <w:p w14:paraId="0F59F3BA">
            <w:pPr>
              <w:autoSpaceDE w:val="0"/>
              <w:autoSpaceDN w:val="0"/>
              <w:adjustRightInd w:val="0"/>
              <w:jc w:val="center"/>
              <w:rPr>
                <w:rFonts w:hint="eastAsia" w:asciiTheme="minorEastAsia" w:hAnsiTheme="minorEastAsia" w:eastAsiaTheme="minorEastAsia"/>
                <w:b/>
                <w:color w:val="auto"/>
                <w:szCs w:val="21"/>
                <w:highlight w:val="none"/>
              </w:rPr>
            </w:pPr>
            <w:r>
              <w:rPr>
                <w:rFonts w:cs="UPNQIO+ËÎÌå" w:asciiTheme="minorEastAsia" w:hAnsiTheme="minorEastAsia" w:eastAsiaTheme="minorEastAsia"/>
                <w:b/>
                <w:color w:val="auto"/>
                <w:spacing w:val="9"/>
                <w:szCs w:val="21"/>
                <w:highlight w:val="none"/>
              </w:rPr>
              <w:t>评审标准</w:t>
            </w:r>
          </w:p>
        </w:tc>
      </w:tr>
      <w:tr w14:paraId="7605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restart"/>
            <w:vAlign w:val="center"/>
          </w:tcPr>
          <w:p w14:paraId="4428B310">
            <w:pPr>
              <w:snapToGrid w:val="0"/>
              <w:spacing w:line="360" w:lineRule="auto"/>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2.1.1</w:t>
            </w:r>
          </w:p>
        </w:tc>
        <w:tc>
          <w:tcPr>
            <w:tcW w:w="1527" w:type="dxa"/>
            <w:vMerge w:val="restart"/>
            <w:vAlign w:val="center"/>
          </w:tcPr>
          <w:p w14:paraId="686A43CD">
            <w:pPr>
              <w:snapToGrid w:val="0"/>
              <w:spacing w:line="276"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资格审查</w:t>
            </w:r>
          </w:p>
          <w:p w14:paraId="4FB80B41">
            <w:pPr>
              <w:snapToGrid w:val="0"/>
              <w:spacing w:line="276"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标准</w:t>
            </w:r>
          </w:p>
        </w:tc>
        <w:tc>
          <w:tcPr>
            <w:tcW w:w="2391" w:type="dxa"/>
            <w:vAlign w:val="center"/>
          </w:tcPr>
          <w:p w14:paraId="62949926">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具有独立承担民事责任的能力</w:t>
            </w:r>
          </w:p>
        </w:tc>
        <w:tc>
          <w:tcPr>
            <w:tcW w:w="5018" w:type="dxa"/>
            <w:vAlign w:val="center"/>
          </w:tcPr>
          <w:p w14:paraId="79C42D27">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符合第二章“供应商须知</w:t>
            </w:r>
            <w:r>
              <w:rPr>
                <w:rFonts w:hint="eastAsia" w:asciiTheme="minorEastAsia" w:hAnsiTheme="minorEastAsia" w:eastAsiaTheme="minorEastAsia"/>
                <w:color w:val="auto"/>
                <w:szCs w:val="21"/>
                <w:highlight w:val="none"/>
              </w:rPr>
              <w:t>前附表</w:t>
            </w:r>
            <w:r>
              <w:rPr>
                <w:rFonts w:asciiTheme="minorEastAsia" w:hAnsiTheme="minorEastAsia" w:eastAsiaTheme="minorEastAsia"/>
                <w:color w:val="auto"/>
                <w:szCs w:val="21"/>
                <w:highlight w:val="none"/>
              </w:rPr>
              <w:t>”第</w:t>
            </w:r>
            <w:r>
              <w:rPr>
                <w:rFonts w:hint="eastAsia" w:asciiTheme="minorEastAsia" w:hAnsiTheme="minorEastAsia" w:eastAsiaTheme="minorEastAsia"/>
                <w:color w:val="auto"/>
                <w:szCs w:val="21"/>
                <w:highlight w:val="none"/>
              </w:rPr>
              <w:t>1.4.1</w:t>
            </w:r>
            <w:r>
              <w:rPr>
                <w:rFonts w:asciiTheme="minorEastAsia" w:hAnsiTheme="minorEastAsia" w:eastAsiaTheme="minorEastAsia"/>
                <w:color w:val="auto"/>
                <w:szCs w:val="21"/>
                <w:highlight w:val="none"/>
              </w:rPr>
              <w:t>项</w:t>
            </w:r>
            <w:r>
              <w:rPr>
                <w:rFonts w:hint="eastAsia" w:asciiTheme="minorEastAsia" w:hAnsiTheme="minorEastAsia" w:eastAsiaTheme="minorEastAsia"/>
                <w:color w:val="auto"/>
                <w:szCs w:val="21"/>
                <w:highlight w:val="none"/>
              </w:rPr>
              <w:t>规定</w:t>
            </w:r>
          </w:p>
        </w:tc>
      </w:tr>
      <w:tr w14:paraId="30AF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37" w:type="dxa"/>
            <w:vMerge w:val="continue"/>
            <w:vAlign w:val="center"/>
          </w:tcPr>
          <w:p w14:paraId="40F6133E">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3B4CF8A2">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12EB20CB">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具有良好的商业信誉和健全的财务会计制度</w:t>
            </w:r>
          </w:p>
        </w:tc>
        <w:tc>
          <w:tcPr>
            <w:tcW w:w="5018" w:type="dxa"/>
            <w:vAlign w:val="center"/>
          </w:tcPr>
          <w:p w14:paraId="6155B93A">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符合第二章“供应商须知</w:t>
            </w:r>
            <w:r>
              <w:rPr>
                <w:rFonts w:hint="eastAsia" w:asciiTheme="minorEastAsia" w:hAnsiTheme="minorEastAsia" w:eastAsiaTheme="minorEastAsia"/>
                <w:color w:val="auto"/>
                <w:szCs w:val="21"/>
                <w:highlight w:val="none"/>
              </w:rPr>
              <w:t>前附表</w:t>
            </w:r>
            <w:r>
              <w:rPr>
                <w:rFonts w:asciiTheme="minorEastAsia" w:hAnsiTheme="minorEastAsia" w:eastAsiaTheme="minorEastAsia"/>
                <w:color w:val="auto"/>
                <w:szCs w:val="21"/>
                <w:highlight w:val="none"/>
              </w:rPr>
              <w:t>”第</w:t>
            </w:r>
            <w:r>
              <w:rPr>
                <w:rFonts w:hint="eastAsia" w:asciiTheme="minorEastAsia" w:hAnsiTheme="minorEastAsia" w:eastAsiaTheme="minorEastAsia"/>
                <w:color w:val="auto"/>
                <w:szCs w:val="21"/>
                <w:highlight w:val="none"/>
              </w:rPr>
              <w:t>1.4.1</w:t>
            </w:r>
            <w:r>
              <w:rPr>
                <w:rFonts w:asciiTheme="minorEastAsia" w:hAnsiTheme="minorEastAsia" w:eastAsiaTheme="minorEastAsia"/>
                <w:color w:val="auto"/>
                <w:szCs w:val="21"/>
                <w:highlight w:val="none"/>
              </w:rPr>
              <w:t>项</w:t>
            </w:r>
            <w:r>
              <w:rPr>
                <w:rFonts w:hint="eastAsia" w:asciiTheme="minorEastAsia" w:hAnsiTheme="minorEastAsia" w:eastAsiaTheme="minorEastAsia"/>
                <w:color w:val="auto"/>
                <w:szCs w:val="21"/>
                <w:highlight w:val="none"/>
              </w:rPr>
              <w:t>规定</w:t>
            </w:r>
          </w:p>
        </w:tc>
      </w:tr>
      <w:tr w14:paraId="26B4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37" w:type="dxa"/>
            <w:vMerge w:val="continue"/>
            <w:vAlign w:val="center"/>
          </w:tcPr>
          <w:p w14:paraId="62DAAE5F">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7A606F7D">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60A20DB6">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履行合同所必需的设备和专业技术能力</w:t>
            </w:r>
          </w:p>
        </w:tc>
        <w:tc>
          <w:tcPr>
            <w:tcW w:w="5018" w:type="dxa"/>
            <w:vAlign w:val="center"/>
          </w:tcPr>
          <w:p w14:paraId="43F4F055">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符合第二章“供应商须知</w:t>
            </w:r>
            <w:r>
              <w:rPr>
                <w:rFonts w:hint="eastAsia" w:asciiTheme="minorEastAsia" w:hAnsiTheme="minorEastAsia" w:eastAsiaTheme="minorEastAsia"/>
                <w:color w:val="auto"/>
                <w:szCs w:val="21"/>
                <w:highlight w:val="none"/>
              </w:rPr>
              <w:t>前附表</w:t>
            </w:r>
            <w:r>
              <w:rPr>
                <w:rFonts w:asciiTheme="minorEastAsia" w:hAnsiTheme="minorEastAsia" w:eastAsiaTheme="minorEastAsia"/>
                <w:color w:val="auto"/>
                <w:szCs w:val="21"/>
                <w:highlight w:val="none"/>
              </w:rPr>
              <w:t>”第</w:t>
            </w:r>
            <w:r>
              <w:rPr>
                <w:rFonts w:hint="eastAsia" w:asciiTheme="minorEastAsia" w:hAnsiTheme="minorEastAsia" w:eastAsiaTheme="minorEastAsia"/>
                <w:color w:val="auto"/>
                <w:szCs w:val="21"/>
                <w:highlight w:val="none"/>
              </w:rPr>
              <w:t>1.4.1</w:t>
            </w:r>
            <w:r>
              <w:rPr>
                <w:rFonts w:asciiTheme="minorEastAsia" w:hAnsiTheme="minorEastAsia" w:eastAsiaTheme="minorEastAsia"/>
                <w:color w:val="auto"/>
                <w:szCs w:val="21"/>
                <w:highlight w:val="none"/>
              </w:rPr>
              <w:t>项</w:t>
            </w:r>
            <w:r>
              <w:rPr>
                <w:rFonts w:hint="eastAsia" w:asciiTheme="minorEastAsia" w:hAnsiTheme="minorEastAsia" w:eastAsiaTheme="minorEastAsia"/>
                <w:color w:val="auto"/>
                <w:szCs w:val="21"/>
                <w:highlight w:val="none"/>
              </w:rPr>
              <w:t>规定</w:t>
            </w:r>
          </w:p>
        </w:tc>
      </w:tr>
      <w:tr w14:paraId="3708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37" w:type="dxa"/>
            <w:vMerge w:val="continue"/>
            <w:vAlign w:val="center"/>
          </w:tcPr>
          <w:p w14:paraId="02DBD421">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46659FA6">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43AA7CD9">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有依法缴纳税收和社会保障资金的良好记录</w:t>
            </w:r>
          </w:p>
        </w:tc>
        <w:tc>
          <w:tcPr>
            <w:tcW w:w="5018" w:type="dxa"/>
            <w:vAlign w:val="center"/>
          </w:tcPr>
          <w:p w14:paraId="7E845DA1">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符合第二章“供应商须知</w:t>
            </w:r>
            <w:r>
              <w:rPr>
                <w:rFonts w:hint="eastAsia" w:asciiTheme="minorEastAsia" w:hAnsiTheme="minorEastAsia" w:eastAsiaTheme="minorEastAsia"/>
                <w:color w:val="auto"/>
                <w:szCs w:val="21"/>
                <w:highlight w:val="none"/>
              </w:rPr>
              <w:t>前附表</w:t>
            </w:r>
            <w:r>
              <w:rPr>
                <w:rFonts w:asciiTheme="minorEastAsia" w:hAnsiTheme="minorEastAsia" w:eastAsiaTheme="minorEastAsia"/>
                <w:color w:val="auto"/>
                <w:szCs w:val="21"/>
                <w:highlight w:val="none"/>
              </w:rPr>
              <w:t>”第</w:t>
            </w:r>
            <w:r>
              <w:rPr>
                <w:rFonts w:hint="eastAsia" w:asciiTheme="minorEastAsia" w:hAnsiTheme="minorEastAsia" w:eastAsiaTheme="minorEastAsia"/>
                <w:color w:val="auto"/>
                <w:szCs w:val="21"/>
                <w:highlight w:val="none"/>
              </w:rPr>
              <w:t>1.4.1</w:t>
            </w:r>
            <w:r>
              <w:rPr>
                <w:rFonts w:asciiTheme="minorEastAsia" w:hAnsiTheme="minorEastAsia" w:eastAsiaTheme="minorEastAsia"/>
                <w:color w:val="auto"/>
                <w:szCs w:val="21"/>
                <w:highlight w:val="none"/>
              </w:rPr>
              <w:t>项</w:t>
            </w:r>
            <w:r>
              <w:rPr>
                <w:rFonts w:hint="eastAsia" w:asciiTheme="minorEastAsia" w:hAnsiTheme="minorEastAsia" w:eastAsiaTheme="minorEastAsia"/>
                <w:color w:val="auto"/>
                <w:szCs w:val="21"/>
                <w:highlight w:val="none"/>
              </w:rPr>
              <w:t>规定</w:t>
            </w:r>
          </w:p>
        </w:tc>
      </w:tr>
      <w:tr w14:paraId="4D3E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37" w:type="dxa"/>
            <w:vMerge w:val="continue"/>
            <w:vAlign w:val="center"/>
          </w:tcPr>
          <w:p w14:paraId="6D0550F1">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7FFF2DAD">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7B883710">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参加政府采购活动前三年内，在经营活动中没有重大违法记录</w:t>
            </w:r>
          </w:p>
        </w:tc>
        <w:tc>
          <w:tcPr>
            <w:tcW w:w="5018" w:type="dxa"/>
            <w:vAlign w:val="center"/>
          </w:tcPr>
          <w:p w14:paraId="33B54C56">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符合第二章“供应商须知</w:t>
            </w:r>
            <w:r>
              <w:rPr>
                <w:rFonts w:hint="eastAsia" w:asciiTheme="minorEastAsia" w:hAnsiTheme="minorEastAsia" w:eastAsiaTheme="minorEastAsia"/>
                <w:color w:val="auto"/>
                <w:szCs w:val="21"/>
                <w:highlight w:val="none"/>
              </w:rPr>
              <w:t>前附表</w:t>
            </w:r>
            <w:r>
              <w:rPr>
                <w:rFonts w:asciiTheme="minorEastAsia" w:hAnsiTheme="minorEastAsia" w:eastAsiaTheme="minorEastAsia"/>
                <w:color w:val="auto"/>
                <w:szCs w:val="21"/>
                <w:highlight w:val="none"/>
              </w:rPr>
              <w:t>”第</w:t>
            </w:r>
            <w:r>
              <w:rPr>
                <w:rFonts w:hint="eastAsia" w:asciiTheme="minorEastAsia" w:hAnsiTheme="minorEastAsia" w:eastAsiaTheme="minorEastAsia"/>
                <w:color w:val="auto"/>
                <w:szCs w:val="21"/>
                <w:highlight w:val="none"/>
              </w:rPr>
              <w:t>1.4.1</w:t>
            </w:r>
            <w:r>
              <w:rPr>
                <w:rFonts w:asciiTheme="minorEastAsia" w:hAnsiTheme="minorEastAsia" w:eastAsiaTheme="minorEastAsia"/>
                <w:color w:val="auto"/>
                <w:szCs w:val="21"/>
                <w:highlight w:val="none"/>
              </w:rPr>
              <w:t>项</w:t>
            </w:r>
            <w:r>
              <w:rPr>
                <w:rFonts w:hint="eastAsia" w:asciiTheme="minorEastAsia" w:hAnsiTheme="minorEastAsia" w:eastAsiaTheme="minorEastAsia"/>
                <w:color w:val="auto"/>
                <w:szCs w:val="21"/>
                <w:highlight w:val="none"/>
              </w:rPr>
              <w:t>规定</w:t>
            </w:r>
          </w:p>
        </w:tc>
      </w:tr>
      <w:tr w14:paraId="4477D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37" w:type="dxa"/>
            <w:vMerge w:val="continue"/>
            <w:vAlign w:val="center"/>
          </w:tcPr>
          <w:p w14:paraId="69F2630F">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12CF329C">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31D53D53">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宋体" w:hAnsi="宋体"/>
                <w:color w:val="auto"/>
                <w:szCs w:val="21"/>
                <w:highlight w:val="none"/>
              </w:rPr>
              <w:t>法律、行政法规规定的其他条件</w:t>
            </w:r>
          </w:p>
        </w:tc>
        <w:tc>
          <w:tcPr>
            <w:tcW w:w="5018" w:type="dxa"/>
            <w:vAlign w:val="center"/>
          </w:tcPr>
          <w:p w14:paraId="5C9E6AE6">
            <w:pPr>
              <w:spacing w:before="120" w:beforeLines="50" w:after="120" w:afterLines="50" w:line="276" w:lineRule="auto"/>
              <w:rPr>
                <w:rFonts w:hint="eastAsia" w:asciiTheme="minorEastAsia" w:hAnsiTheme="minorEastAsia" w:eastAsiaTheme="minorEastAsia"/>
                <w:color w:val="auto"/>
                <w:szCs w:val="21"/>
                <w:highlight w:val="none"/>
              </w:rPr>
            </w:pPr>
            <w:r>
              <w:rPr>
                <w:rFonts w:ascii="宋体" w:hAnsi="宋体"/>
                <w:color w:val="auto"/>
                <w:szCs w:val="21"/>
                <w:highlight w:val="none"/>
              </w:rPr>
              <w:t>符合第二章“</w:t>
            </w:r>
            <w:r>
              <w:rPr>
                <w:rFonts w:hint="eastAsia" w:ascii="宋体" w:hAnsi="宋体"/>
                <w:color w:val="auto"/>
                <w:szCs w:val="21"/>
                <w:highlight w:val="none"/>
              </w:rPr>
              <w:t>供应商</w:t>
            </w:r>
            <w:r>
              <w:rPr>
                <w:rFonts w:ascii="宋体" w:hAnsi="宋体"/>
                <w:color w:val="auto"/>
                <w:szCs w:val="21"/>
                <w:highlight w:val="none"/>
              </w:rPr>
              <w:t>须知</w:t>
            </w:r>
            <w:r>
              <w:rPr>
                <w:rFonts w:hint="eastAsia" w:ascii="宋体" w:hAnsi="宋体"/>
                <w:color w:val="auto"/>
                <w:szCs w:val="21"/>
                <w:highlight w:val="none"/>
              </w:rPr>
              <w:t>前附表</w:t>
            </w:r>
            <w:r>
              <w:rPr>
                <w:rFonts w:ascii="宋体" w:hAnsi="宋体"/>
                <w:color w:val="auto"/>
                <w:szCs w:val="21"/>
                <w:highlight w:val="none"/>
              </w:rPr>
              <w:t>”第1.4.1项</w:t>
            </w:r>
            <w:r>
              <w:rPr>
                <w:rFonts w:hint="eastAsia" w:ascii="宋体" w:hAnsi="宋体"/>
                <w:color w:val="auto"/>
                <w:szCs w:val="21"/>
                <w:highlight w:val="none"/>
              </w:rPr>
              <w:t>规定</w:t>
            </w:r>
          </w:p>
        </w:tc>
      </w:tr>
      <w:tr w14:paraId="15CC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restart"/>
            <w:vAlign w:val="center"/>
          </w:tcPr>
          <w:p w14:paraId="5ACF0A8C">
            <w:pPr>
              <w:snapToGrid w:val="0"/>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2.1.2</w:t>
            </w:r>
          </w:p>
        </w:tc>
        <w:tc>
          <w:tcPr>
            <w:tcW w:w="1527" w:type="dxa"/>
            <w:vMerge w:val="restart"/>
            <w:vAlign w:val="center"/>
          </w:tcPr>
          <w:p w14:paraId="53D47400">
            <w:pPr>
              <w:snapToGrid w:val="0"/>
              <w:spacing w:line="276"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符合性审查</w:t>
            </w:r>
          </w:p>
          <w:p w14:paraId="1873075C">
            <w:pPr>
              <w:snapToGrid w:val="0"/>
              <w:spacing w:line="276"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标准</w:t>
            </w:r>
          </w:p>
        </w:tc>
        <w:tc>
          <w:tcPr>
            <w:tcW w:w="2391" w:type="dxa"/>
            <w:vAlign w:val="center"/>
          </w:tcPr>
          <w:p w14:paraId="0FEE025B">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谈判函</w:t>
            </w:r>
          </w:p>
        </w:tc>
        <w:tc>
          <w:tcPr>
            <w:tcW w:w="5018" w:type="dxa"/>
            <w:vAlign w:val="center"/>
          </w:tcPr>
          <w:p w14:paraId="38DD1DCC">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w:t>
            </w:r>
            <w:r>
              <w:rPr>
                <w:rFonts w:hint="eastAsia" w:asciiTheme="minorEastAsia" w:hAnsiTheme="minorEastAsia" w:eastAsiaTheme="minorEastAsia"/>
                <w:color w:val="auto"/>
                <w:szCs w:val="21"/>
                <w:highlight w:val="none"/>
              </w:rPr>
              <w:t>第四章“响应文件格式”中“商务报价文件”第（一）项规定</w:t>
            </w:r>
          </w:p>
        </w:tc>
      </w:tr>
      <w:tr w14:paraId="6AF6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7" w:type="dxa"/>
            <w:vMerge w:val="continue"/>
            <w:vAlign w:val="center"/>
          </w:tcPr>
          <w:p w14:paraId="65F2C5CD">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2D9B29E8">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34A37A5B">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宋体" w:hAnsi="宋体"/>
                <w:color w:val="auto"/>
                <w:szCs w:val="21"/>
                <w:highlight w:val="none"/>
              </w:rPr>
              <w:t>法定代表人身份证明及法人授权委托书</w:t>
            </w:r>
          </w:p>
        </w:tc>
        <w:tc>
          <w:tcPr>
            <w:tcW w:w="5018" w:type="dxa"/>
            <w:vAlign w:val="center"/>
          </w:tcPr>
          <w:p w14:paraId="7E99BD10">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w:t>
            </w:r>
            <w:r>
              <w:rPr>
                <w:rFonts w:hint="eastAsia" w:asciiTheme="minorEastAsia" w:hAnsiTheme="minorEastAsia" w:eastAsiaTheme="minorEastAsia"/>
                <w:color w:val="auto"/>
                <w:szCs w:val="21"/>
                <w:highlight w:val="none"/>
              </w:rPr>
              <w:t>第四章“响应</w:t>
            </w:r>
            <w:r>
              <w:rPr>
                <w:rFonts w:asciiTheme="minorEastAsia" w:hAnsiTheme="minorEastAsia" w:eastAsiaTheme="minorEastAsia"/>
                <w:color w:val="auto"/>
                <w:szCs w:val="21"/>
                <w:highlight w:val="none"/>
              </w:rPr>
              <w:t>文件</w:t>
            </w:r>
            <w:r>
              <w:rPr>
                <w:rFonts w:hint="eastAsia" w:asciiTheme="minorEastAsia" w:hAnsiTheme="minorEastAsia" w:eastAsiaTheme="minorEastAsia"/>
                <w:color w:val="auto"/>
                <w:szCs w:val="21"/>
                <w:highlight w:val="none"/>
              </w:rPr>
              <w:t>格式”中“商务报价文件”第（二）项规定，并且有效</w:t>
            </w:r>
          </w:p>
        </w:tc>
      </w:tr>
      <w:tr w14:paraId="201B5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14:paraId="29691AC2">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40345BEB">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33B71F3D">
            <w:pPr>
              <w:spacing w:before="120" w:beforeLines="50" w:after="120" w:afterLines="50" w:line="276" w:lineRule="auto"/>
              <w:rPr>
                <w:color w:val="auto"/>
                <w:szCs w:val="21"/>
                <w:highlight w:val="none"/>
              </w:rPr>
            </w:pPr>
            <w:r>
              <w:rPr>
                <w:rFonts w:hint="eastAsia" w:asciiTheme="minorEastAsia" w:hAnsiTheme="minorEastAsia" w:eastAsiaTheme="minorEastAsia"/>
                <w:color w:val="auto"/>
                <w:szCs w:val="21"/>
                <w:highlight w:val="none"/>
              </w:rPr>
              <w:t>供应商承诺书</w:t>
            </w:r>
          </w:p>
        </w:tc>
        <w:tc>
          <w:tcPr>
            <w:tcW w:w="5018" w:type="dxa"/>
            <w:vAlign w:val="center"/>
          </w:tcPr>
          <w:p w14:paraId="13362AF9">
            <w:pPr>
              <w:spacing w:before="120" w:beforeLines="50" w:after="120" w:afterLines="50" w:line="276" w:lineRule="auto"/>
              <w:rPr>
                <w:rFonts w:hint="eastAsia" w:ascii="宋体" w:hAnsi="宋体"/>
                <w:color w:val="auto"/>
                <w:szCs w:val="21"/>
                <w:highlight w:val="none"/>
              </w:rPr>
            </w:pPr>
            <w:r>
              <w:rPr>
                <w:rFonts w:asciiTheme="minorEastAsia" w:hAnsiTheme="minorEastAsia" w:eastAsiaTheme="minorEastAsia"/>
                <w:color w:val="auto"/>
                <w:szCs w:val="21"/>
                <w:highlight w:val="none"/>
              </w:rPr>
              <w:t>符合</w:t>
            </w:r>
            <w:r>
              <w:rPr>
                <w:rFonts w:hint="eastAsia" w:asciiTheme="minorEastAsia" w:hAnsiTheme="minorEastAsia" w:eastAsiaTheme="minorEastAsia"/>
                <w:color w:val="auto"/>
                <w:szCs w:val="21"/>
                <w:highlight w:val="none"/>
              </w:rPr>
              <w:t>第四章“响应文件格式”中“商务报价文件”第（三）项规定</w:t>
            </w:r>
          </w:p>
        </w:tc>
      </w:tr>
      <w:tr w14:paraId="2CEF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14:paraId="37C1163F">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057F3AF1">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7D04F109">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谈判报价</w:t>
            </w:r>
          </w:p>
        </w:tc>
        <w:tc>
          <w:tcPr>
            <w:tcW w:w="5018" w:type="dxa"/>
            <w:vAlign w:val="center"/>
          </w:tcPr>
          <w:p w14:paraId="419FDD08">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符合第二章“供应商须知前附表”第3.2</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项规定</w:t>
            </w:r>
          </w:p>
        </w:tc>
      </w:tr>
      <w:tr w14:paraId="2E83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14:paraId="65D87B34">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3CFB73E0">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15992721">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拟派服务人员表</w:t>
            </w:r>
          </w:p>
        </w:tc>
        <w:tc>
          <w:tcPr>
            <w:tcW w:w="5018" w:type="dxa"/>
            <w:vAlign w:val="center"/>
          </w:tcPr>
          <w:p w14:paraId="2F7ECCCB">
            <w:pPr>
              <w:spacing w:before="120" w:beforeLines="50" w:after="120" w:afterLines="50" w:line="276" w:lineRule="auto"/>
              <w:rPr>
                <w:rFonts w:hint="eastAsia" w:ascii="宋体" w:hAnsi="宋体"/>
                <w:color w:val="auto"/>
                <w:szCs w:val="21"/>
                <w:highlight w:val="none"/>
              </w:rPr>
            </w:pPr>
            <w:r>
              <w:rPr>
                <w:rFonts w:asciiTheme="minorEastAsia" w:hAnsiTheme="minorEastAsia" w:eastAsiaTheme="minorEastAsia"/>
                <w:color w:val="auto"/>
                <w:szCs w:val="21"/>
                <w:highlight w:val="none"/>
              </w:rPr>
              <w:t>符合</w:t>
            </w:r>
            <w:r>
              <w:rPr>
                <w:rFonts w:hint="eastAsia" w:asciiTheme="minorEastAsia" w:hAnsiTheme="minorEastAsia" w:eastAsiaTheme="minorEastAsia"/>
                <w:color w:val="auto"/>
                <w:szCs w:val="21"/>
                <w:highlight w:val="none"/>
              </w:rPr>
              <w:t>第四章“响应文件格式”中“商务报价文件”第（五）项规定</w:t>
            </w:r>
          </w:p>
        </w:tc>
      </w:tr>
      <w:tr w14:paraId="7586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14:paraId="00B3B8B6">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09C1E0E2">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6DDCEB82">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采购需求响应承诺书</w:t>
            </w:r>
          </w:p>
        </w:tc>
        <w:tc>
          <w:tcPr>
            <w:tcW w:w="5018" w:type="dxa"/>
            <w:vAlign w:val="center"/>
          </w:tcPr>
          <w:p w14:paraId="4F43C26A">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按第四章“响应文件格式”中“商务报价文件”第（六）项规定提供了承诺书</w:t>
            </w:r>
          </w:p>
        </w:tc>
      </w:tr>
      <w:tr w14:paraId="0C1A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14:paraId="538CFA05">
            <w:pPr>
              <w:snapToGrid w:val="0"/>
              <w:spacing w:line="360" w:lineRule="auto"/>
              <w:jc w:val="center"/>
              <w:rPr>
                <w:rFonts w:hint="eastAsia" w:asciiTheme="minorEastAsia" w:hAnsiTheme="minorEastAsia" w:eastAsiaTheme="minorEastAsia"/>
                <w:color w:val="auto"/>
                <w:szCs w:val="21"/>
                <w:highlight w:val="none"/>
              </w:rPr>
            </w:pPr>
          </w:p>
        </w:tc>
        <w:tc>
          <w:tcPr>
            <w:tcW w:w="1527" w:type="dxa"/>
            <w:vMerge w:val="continue"/>
            <w:vAlign w:val="center"/>
          </w:tcPr>
          <w:p w14:paraId="626064FC">
            <w:pPr>
              <w:snapToGrid w:val="0"/>
              <w:spacing w:line="276" w:lineRule="auto"/>
              <w:jc w:val="center"/>
              <w:rPr>
                <w:rFonts w:hint="eastAsia" w:asciiTheme="minorEastAsia" w:hAnsiTheme="minorEastAsia" w:eastAsiaTheme="minorEastAsia"/>
                <w:color w:val="auto"/>
                <w:szCs w:val="21"/>
                <w:highlight w:val="none"/>
              </w:rPr>
            </w:pPr>
          </w:p>
        </w:tc>
        <w:tc>
          <w:tcPr>
            <w:tcW w:w="2391" w:type="dxa"/>
            <w:vAlign w:val="center"/>
          </w:tcPr>
          <w:p w14:paraId="270F0937">
            <w:pPr>
              <w:spacing w:before="120" w:beforeLines="50" w:after="120" w:afterLines="50" w:line="276" w:lineRule="auto"/>
              <w:rPr>
                <w:color w:val="auto"/>
                <w:szCs w:val="21"/>
                <w:highlight w:val="none"/>
              </w:rPr>
            </w:pPr>
            <w:r>
              <w:rPr>
                <w:rFonts w:hint="eastAsia" w:asciiTheme="minorEastAsia" w:hAnsiTheme="minorEastAsia" w:eastAsiaTheme="minorEastAsia"/>
                <w:color w:val="auto"/>
                <w:szCs w:val="21"/>
                <w:highlight w:val="none"/>
              </w:rPr>
              <w:t>其他</w:t>
            </w:r>
          </w:p>
        </w:tc>
        <w:tc>
          <w:tcPr>
            <w:tcW w:w="5018" w:type="dxa"/>
            <w:vAlign w:val="center"/>
          </w:tcPr>
          <w:p w14:paraId="06E14B84">
            <w:pPr>
              <w:spacing w:before="120" w:beforeLines="50" w:after="120" w:afterLines="50" w:line="276" w:lineRule="auto"/>
              <w:rPr>
                <w:rFonts w:hint="eastAsia" w:ascii="宋体" w:hAnsi="宋体"/>
                <w:color w:val="auto"/>
                <w:szCs w:val="21"/>
                <w:highlight w:val="none"/>
              </w:rPr>
            </w:pPr>
            <w:r>
              <w:rPr>
                <w:rFonts w:hint="eastAsia" w:ascii="宋体" w:hAnsi="宋体"/>
                <w:color w:val="auto"/>
                <w:szCs w:val="21"/>
                <w:highlight w:val="none"/>
              </w:rPr>
              <w:t>不存在</w:t>
            </w:r>
            <w:r>
              <w:rPr>
                <w:rFonts w:ascii="宋体" w:hAnsi="宋体"/>
                <w:color w:val="auto"/>
                <w:szCs w:val="21"/>
                <w:highlight w:val="none"/>
              </w:rPr>
              <w:t>第</w:t>
            </w:r>
            <w:r>
              <w:rPr>
                <w:rFonts w:hint="eastAsia" w:ascii="宋体" w:hAnsi="宋体"/>
                <w:color w:val="auto"/>
                <w:szCs w:val="21"/>
                <w:highlight w:val="none"/>
                <w:lang w:val="en-US" w:eastAsia="zh-CN"/>
              </w:rPr>
              <w:t>六</w:t>
            </w:r>
            <w:r>
              <w:rPr>
                <w:rFonts w:ascii="宋体" w:hAnsi="宋体"/>
                <w:color w:val="auto"/>
                <w:szCs w:val="21"/>
                <w:highlight w:val="none"/>
              </w:rPr>
              <w:t>章“</w:t>
            </w:r>
            <w:r>
              <w:rPr>
                <w:rFonts w:hint="eastAsia" w:ascii="宋体" w:hAnsi="宋体"/>
                <w:color w:val="auto"/>
                <w:szCs w:val="21"/>
                <w:highlight w:val="none"/>
              </w:rPr>
              <w:t>评审办法</w:t>
            </w:r>
            <w:r>
              <w:rPr>
                <w:rFonts w:ascii="宋体" w:hAnsi="宋体"/>
                <w:color w:val="auto"/>
                <w:szCs w:val="21"/>
                <w:highlight w:val="none"/>
              </w:rPr>
              <w:t>”附件B</w:t>
            </w:r>
            <w:r>
              <w:rPr>
                <w:rFonts w:hint="eastAsia" w:ascii="宋体" w:hAnsi="宋体"/>
                <w:color w:val="auto"/>
                <w:szCs w:val="21"/>
                <w:highlight w:val="none"/>
                <w:lang w:val="en-US" w:eastAsia="zh-CN"/>
              </w:rPr>
              <w:t>否决条件</w:t>
            </w:r>
            <w:r>
              <w:rPr>
                <w:rFonts w:ascii="宋体" w:hAnsi="宋体"/>
                <w:color w:val="auto"/>
                <w:szCs w:val="21"/>
                <w:highlight w:val="none"/>
              </w:rPr>
              <w:t>的</w:t>
            </w:r>
            <w:r>
              <w:rPr>
                <w:rFonts w:hint="eastAsia" w:ascii="宋体" w:hAnsi="宋体"/>
                <w:color w:val="auto"/>
                <w:szCs w:val="21"/>
                <w:highlight w:val="none"/>
              </w:rPr>
              <w:t>任何一种情形</w:t>
            </w:r>
          </w:p>
        </w:tc>
      </w:tr>
    </w:tbl>
    <w:p w14:paraId="4F568D35">
      <w:pPr>
        <w:rPr>
          <w:color w:val="auto"/>
          <w:highlight w:val="none"/>
        </w:rPr>
      </w:pPr>
      <w:bookmarkStart w:id="1249" w:name="_Toc153670648"/>
      <w:bookmarkStart w:id="1250" w:name="_Toc110405175"/>
      <w:bookmarkStart w:id="1251" w:name="_Toc84356290"/>
      <w:bookmarkStart w:id="1252" w:name="_Toc87543858"/>
      <w:bookmarkStart w:id="1253" w:name="_Toc87538407"/>
      <w:bookmarkStart w:id="1254" w:name="_Toc83753930"/>
      <w:bookmarkStart w:id="1255" w:name="_Hlk83753665"/>
      <w:bookmarkStart w:id="1256" w:name="_Toc81330978"/>
      <w:bookmarkStart w:id="1257" w:name="_Toc42205032"/>
      <w:bookmarkStart w:id="1258" w:name="_Toc45791393"/>
    </w:p>
    <w:p w14:paraId="6B45547E">
      <w:pPr>
        <w:widowControl/>
        <w:jc w:val="left"/>
        <w:rPr>
          <w:rFonts w:hint="eastAsia" w:asciiTheme="minorEastAsia" w:hAnsiTheme="minorEastAsia" w:eastAsiaTheme="minorEastAsia"/>
          <w:b/>
          <w:color w:val="auto"/>
          <w:kern w:val="0"/>
          <w:sz w:val="30"/>
          <w:szCs w:val="28"/>
          <w:highlight w:val="none"/>
        </w:rPr>
      </w:pPr>
      <w:r>
        <w:rPr>
          <w:rFonts w:hint="eastAsia" w:asciiTheme="minorEastAsia" w:hAnsiTheme="minorEastAsia" w:eastAsiaTheme="minorEastAsia"/>
          <w:color w:val="auto"/>
          <w:szCs w:val="28"/>
          <w:highlight w:val="none"/>
        </w:rPr>
        <w:br w:type="page"/>
      </w:r>
    </w:p>
    <w:p w14:paraId="7771EB03">
      <w:pPr>
        <w:pStyle w:val="4"/>
        <w:spacing w:before="120" w:beforeLines="50" w:line="360" w:lineRule="auto"/>
        <w:rPr>
          <w:rFonts w:hint="eastAsia" w:asciiTheme="minorEastAsia" w:hAnsiTheme="minorEastAsia" w:eastAsiaTheme="minorEastAsia"/>
          <w:color w:val="auto"/>
          <w:szCs w:val="28"/>
          <w:highlight w:val="none"/>
        </w:rPr>
      </w:pPr>
      <w:bookmarkStart w:id="1259" w:name="_Toc29924"/>
      <w:r>
        <w:rPr>
          <w:rFonts w:hint="eastAsia" w:asciiTheme="minorEastAsia" w:hAnsiTheme="minorEastAsia" w:eastAsiaTheme="minorEastAsia"/>
          <w:color w:val="auto"/>
          <w:szCs w:val="28"/>
          <w:highlight w:val="none"/>
        </w:rPr>
        <w:t>二、评审办法正文部分</w:t>
      </w:r>
      <w:bookmarkEnd w:id="1249"/>
      <w:bookmarkEnd w:id="1250"/>
      <w:bookmarkEnd w:id="1251"/>
      <w:bookmarkEnd w:id="1252"/>
      <w:bookmarkEnd w:id="1253"/>
      <w:bookmarkEnd w:id="1254"/>
      <w:bookmarkEnd w:id="1259"/>
    </w:p>
    <w:bookmarkEnd w:id="1255"/>
    <w:p w14:paraId="6851BCDC">
      <w:pPr>
        <w:spacing w:before="120" w:beforeLines="50" w:line="360" w:lineRule="auto"/>
        <w:outlineLvl w:val="2"/>
        <w:rPr>
          <w:rFonts w:hint="eastAsia" w:asciiTheme="minorEastAsia" w:hAnsiTheme="minorEastAsia" w:eastAsiaTheme="minorEastAsia"/>
          <w:b/>
          <w:color w:val="auto"/>
          <w:sz w:val="24"/>
          <w:szCs w:val="24"/>
          <w:highlight w:val="none"/>
        </w:rPr>
      </w:pPr>
      <w:bookmarkStart w:id="1260" w:name="_Toc98033975"/>
      <w:bookmarkStart w:id="1261" w:name="_Toc87543859"/>
      <w:bookmarkStart w:id="1262" w:name="_Toc87538408"/>
      <w:bookmarkStart w:id="1263" w:name="_Toc84356291"/>
      <w:bookmarkStart w:id="1264" w:name="_Toc4075"/>
      <w:bookmarkStart w:id="1265" w:name="_Toc116584043"/>
      <w:bookmarkStart w:id="1266" w:name="_Toc109809353"/>
      <w:bookmarkStart w:id="1267" w:name="_Toc83753931"/>
      <w:bookmarkStart w:id="1268" w:name="_Toc110405176"/>
      <w:bookmarkStart w:id="1269" w:name="_Toc14468"/>
      <w:bookmarkStart w:id="1270" w:name="_Toc98865052"/>
      <w:r>
        <w:rPr>
          <w:rFonts w:hint="eastAsia" w:asciiTheme="minorEastAsia" w:hAnsiTheme="minorEastAsia" w:eastAsiaTheme="minorEastAsia"/>
          <w:b/>
          <w:color w:val="auto"/>
          <w:sz w:val="24"/>
          <w:szCs w:val="24"/>
          <w:highlight w:val="none"/>
        </w:rPr>
        <w:t>1.评审方法</w:t>
      </w:r>
      <w:bookmarkEnd w:id="1256"/>
      <w:bookmarkEnd w:id="1257"/>
      <w:bookmarkEnd w:id="1258"/>
      <w:bookmarkEnd w:id="1260"/>
      <w:bookmarkEnd w:id="1261"/>
      <w:bookmarkEnd w:id="1262"/>
      <w:bookmarkEnd w:id="1263"/>
      <w:bookmarkEnd w:id="1264"/>
      <w:bookmarkEnd w:id="1265"/>
      <w:bookmarkEnd w:id="1266"/>
      <w:bookmarkEnd w:id="1267"/>
      <w:bookmarkEnd w:id="1268"/>
      <w:bookmarkEnd w:id="1269"/>
      <w:bookmarkEnd w:id="1270"/>
      <w:r>
        <w:rPr>
          <w:rFonts w:hint="eastAsia" w:asciiTheme="minorEastAsia" w:hAnsiTheme="minorEastAsia" w:eastAsiaTheme="minorEastAsia"/>
          <w:b/>
          <w:color w:val="auto"/>
          <w:sz w:val="24"/>
          <w:szCs w:val="24"/>
          <w:highlight w:val="none"/>
        </w:rPr>
        <w:t xml:space="preserve"> </w:t>
      </w:r>
    </w:p>
    <w:p w14:paraId="22C73DFB">
      <w:pPr>
        <w:spacing w:line="360" w:lineRule="auto"/>
        <w:ind w:firstLine="435"/>
        <w:rPr>
          <w:rFonts w:hint="eastAsia" w:asciiTheme="minorEastAsia" w:hAnsiTheme="minorEastAsia" w:eastAsiaTheme="minorEastAsia"/>
          <w:color w:val="auto"/>
          <w:szCs w:val="21"/>
          <w:highlight w:val="none"/>
        </w:rPr>
      </w:pPr>
      <w:r>
        <w:rPr>
          <w:rFonts w:hint="eastAsia" w:ascii="宋体" w:hAnsi="宋体" w:cs="宋体"/>
          <w:color w:val="auto"/>
          <w:szCs w:val="21"/>
          <w:highlight w:val="none"/>
        </w:rPr>
        <w:t>本评审方法依据</w:t>
      </w:r>
      <w:r>
        <w:rPr>
          <w:rFonts w:hint="eastAsia" w:ascii="宋体" w:hAnsi="宋体"/>
          <w:color w:val="auto"/>
          <w:szCs w:val="21"/>
          <w:highlight w:val="none"/>
        </w:rPr>
        <w:t>《中华人民共和国政府采购法》、《中华人民共和国政府采购法实施条例》（国务院令第658号）以及</w:t>
      </w:r>
      <w:r>
        <w:rPr>
          <w:rFonts w:hint="eastAsia" w:asciiTheme="minorEastAsia" w:hAnsiTheme="minorEastAsia" w:eastAsiaTheme="minorEastAsia"/>
          <w:color w:val="auto"/>
          <w:szCs w:val="21"/>
          <w:highlight w:val="none"/>
        </w:rPr>
        <w:t>《政府采购非招标采购方式管理办法》（财政部令第74号）</w:t>
      </w:r>
      <w:r>
        <w:rPr>
          <w:rFonts w:hint="eastAsia" w:ascii="宋体" w:hAnsi="宋体" w:cs="宋体"/>
          <w:color w:val="auto"/>
          <w:szCs w:val="21"/>
          <w:highlight w:val="none"/>
        </w:rPr>
        <w:t>等相关法律法规制定，采用“最低评标价法”进行评审。</w:t>
      </w:r>
    </w:p>
    <w:p w14:paraId="50A19BE7">
      <w:pPr>
        <w:spacing w:line="360" w:lineRule="auto"/>
        <w:outlineLvl w:val="2"/>
        <w:rPr>
          <w:rFonts w:hint="eastAsia" w:asciiTheme="minorEastAsia" w:hAnsiTheme="minorEastAsia" w:eastAsiaTheme="minorEastAsia"/>
          <w:b/>
          <w:color w:val="auto"/>
          <w:sz w:val="24"/>
          <w:szCs w:val="24"/>
          <w:highlight w:val="none"/>
        </w:rPr>
      </w:pPr>
      <w:bookmarkStart w:id="1271" w:name="_Toc81330979"/>
      <w:bookmarkStart w:id="1272" w:name="_Toc83753932"/>
      <w:bookmarkStart w:id="1273" w:name="_Toc109809354"/>
      <w:bookmarkStart w:id="1274" w:name="_Toc87538409"/>
      <w:bookmarkStart w:id="1275" w:name="_Toc110405177"/>
      <w:bookmarkStart w:id="1276" w:name="_Toc98865053"/>
      <w:bookmarkStart w:id="1277" w:name="_Toc12572"/>
      <w:bookmarkStart w:id="1278" w:name="_Toc116584044"/>
      <w:bookmarkStart w:id="1279" w:name="_Toc87543860"/>
      <w:bookmarkStart w:id="1280" w:name="_Toc42205033"/>
      <w:bookmarkStart w:id="1281" w:name="_Toc45791394"/>
      <w:bookmarkStart w:id="1282" w:name="_Toc8518"/>
      <w:bookmarkStart w:id="1283" w:name="_Toc84356292"/>
      <w:bookmarkStart w:id="1284" w:name="_Toc98033976"/>
      <w:r>
        <w:rPr>
          <w:rFonts w:hint="eastAsia" w:asciiTheme="minorEastAsia" w:hAnsiTheme="minorEastAsia" w:eastAsiaTheme="minorEastAsia"/>
          <w:b/>
          <w:color w:val="auto"/>
          <w:sz w:val="24"/>
          <w:szCs w:val="24"/>
          <w:highlight w:val="none"/>
        </w:rPr>
        <w:t>2.评审标准</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r>
        <w:rPr>
          <w:rFonts w:hint="eastAsia" w:asciiTheme="minorEastAsia" w:hAnsiTheme="minorEastAsia" w:eastAsiaTheme="minorEastAsia"/>
          <w:b/>
          <w:color w:val="auto"/>
          <w:sz w:val="24"/>
          <w:szCs w:val="24"/>
          <w:highlight w:val="none"/>
        </w:rPr>
        <w:t xml:space="preserve"> </w:t>
      </w:r>
    </w:p>
    <w:p w14:paraId="62E6BEF6">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2.1资格审查标准：见评审办法前附表。</w:t>
      </w:r>
    </w:p>
    <w:p w14:paraId="4938DF99">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2.2符合性审查标准：见评审办法前附表。</w:t>
      </w:r>
    </w:p>
    <w:p w14:paraId="25E6D091">
      <w:pPr>
        <w:spacing w:line="360" w:lineRule="auto"/>
        <w:outlineLvl w:val="2"/>
        <w:rPr>
          <w:rFonts w:hint="eastAsia" w:asciiTheme="minorEastAsia" w:hAnsiTheme="minorEastAsia" w:eastAsiaTheme="minorEastAsia"/>
          <w:b/>
          <w:color w:val="auto"/>
          <w:sz w:val="24"/>
          <w:szCs w:val="24"/>
          <w:highlight w:val="none"/>
        </w:rPr>
      </w:pPr>
      <w:bookmarkStart w:id="1285" w:name="_Toc109809355"/>
      <w:bookmarkStart w:id="1286" w:name="_Toc81330980"/>
      <w:bookmarkStart w:id="1287" w:name="_Toc6028"/>
      <w:bookmarkStart w:id="1288" w:name="_Toc83753933"/>
      <w:bookmarkStart w:id="1289" w:name="_Toc116584045"/>
      <w:bookmarkStart w:id="1290" w:name="_Toc45791395"/>
      <w:bookmarkStart w:id="1291" w:name="_Toc98865054"/>
      <w:bookmarkStart w:id="1292" w:name="_Toc84356293"/>
      <w:bookmarkStart w:id="1293" w:name="_Toc28876"/>
      <w:bookmarkStart w:id="1294" w:name="_Toc87538410"/>
      <w:bookmarkStart w:id="1295" w:name="_Toc98033977"/>
      <w:bookmarkStart w:id="1296" w:name="_Toc87543861"/>
      <w:bookmarkStart w:id="1297" w:name="_Toc42205034"/>
      <w:bookmarkStart w:id="1298" w:name="_Toc110405178"/>
      <w:r>
        <w:rPr>
          <w:rFonts w:hint="eastAsia" w:asciiTheme="minorEastAsia" w:hAnsiTheme="minorEastAsia" w:eastAsiaTheme="minorEastAsia"/>
          <w:b/>
          <w:color w:val="auto"/>
          <w:sz w:val="24"/>
          <w:szCs w:val="24"/>
          <w:highlight w:val="none"/>
        </w:rPr>
        <w:t>3.评审程序</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r>
        <w:rPr>
          <w:rFonts w:hint="eastAsia" w:asciiTheme="minorEastAsia" w:hAnsiTheme="minorEastAsia" w:eastAsiaTheme="minorEastAsia"/>
          <w:b/>
          <w:color w:val="auto"/>
          <w:sz w:val="24"/>
          <w:szCs w:val="24"/>
          <w:highlight w:val="none"/>
        </w:rPr>
        <w:t xml:space="preserve"> </w:t>
      </w:r>
    </w:p>
    <w:p w14:paraId="22DC184E">
      <w:pPr>
        <w:spacing w:line="360" w:lineRule="auto"/>
        <w:ind w:firstLine="437"/>
        <w:outlineLvl w:val="3"/>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3.1</w:t>
      </w:r>
      <w:r>
        <w:rPr>
          <w:rFonts w:hint="eastAsia" w:asciiTheme="minorEastAsia" w:hAnsiTheme="minorEastAsia" w:eastAsiaTheme="minorEastAsia"/>
          <w:b/>
          <w:color w:val="auto"/>
          <w:szCs w:val="21"/>
          <w:highlight w:val="none"/>
        </w:rPr>
        <w:t xml:space="preserve">资格审查 </w:t>
      </w:r>
    </w:p>
    <w:p w14:paraId="709D22B4">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谈判小组依据本章第2.</w:t>
      </w:r>
      <w:r>
        <w:rPr>
          <w:rFonts w:asciiTheme="minorEastAsia" w:hAnsiTheme="minorEastAsia" w:eastAsiaTheme="minorEastAsia"/>
          <w:color w:val="auto"/>
          <w:szCs w:val="21"/>
          <w:highlight w:val="none"/>
        </w:rPr>
        <w:t>1.1</w:t>
      </w:r>
      <w:r>
        <w:rPr>
          <w:rFonts w:hint="eastAsia" w:asciiTheme="minorEastAsia" w:hAnsiTheme="minorEastAsia" w:eastAsiaTheme="minorEastAsia"/>
          <w:color w:val="auto"/>
          <w:szCs w:val="21"/>
          <w:highlight w:val="none"/>
        </w:rPr>
        <w:t>款规定的审查标准对所有供应商的响应文件进行资格审查，有一项不符合审查标准的，响应文件按否决处理。</w:t>
      </w:r>
    </w:p>
    <w:p w14:paraId="57494056">
      <w:pPr>
        <w:spacing w:line="360" w:lineRule="auto"/>
        <w:ind w:firstLine="437"/>
        <w:outlineLvl w:val="3"/>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3.2符合性审查 </w:t>
      </w:r>
    </w:p>
    <w:p w14:paraId="30360147">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谈判小组依据本章第2.</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2款规定的审查标准对所有供应商的响应文件进行符合性审查，有一项不符合审查标准的，响应文件按否决处理。</w:t>
      </w:r>
    </w:p>
    <w:p w14:paraId="22DBD910">
      <w:pPr>
        <w:spacing w:line="360" w:lineRule="auto"/>
        <w:ind w:firstLine="437"/>
        <w:outlineLvl w:val="3"/>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3.3报价评审</w:t>
      </w:r>
    </w:p>
    <w:p w14:paraId="6722ED3D">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.3.1</w:t>
      </w:r>
      <w:r>
        <w:rPr>
          <w:rFonts w:hint="eastAsia" w:ascii="宋体" w:hAnsi="宋体"/>
          <w:color w:val="auto"/>
          <w:highlight w:val="none"/>
        </w:rPr>
        <w:t>谈判小组</w:t>
      </w:r>
      <w:r>
        <w:rPr>
          <w:rFonts w:hint="eastAsia" w:asciiTheme="minorEastAsia" w:hAnsiTheme="minorEastAsia" w:eastAsiaTheme="minorEastAsia"/>
          <w:color w:val="auto"/>
          <w:szCs w:val="21"/>
          <w:highlight w:val="none"/>
        </w:rPr>
        <w:t>对通过资格审查和符合性审查的供应商的响应文件进行报价评审</w:t>
      </w:r>
      <w:r>
        <w:rPr>
          <w:rFonts w:hint="eastAsia" w:ascii="宋体" w:hAnsi="宋体" w:cs="宋体"/>
          <w:color w:val="auto"/>
          <w:szCs w:val="21"/>
          <w:highlight w:val="none"/>
        </w:rPr>
        <w:t>。</w:t>
      </w:r>
    </w:p>
    <w:p w14:paraId="41F4205E">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.3.2</w:t>
      </w:r>
      <w:r>
        <w:rPr>
          <w:rFonts w:hint="eastAsia" w:asciiTheme="minorEastAsia" w:hAnsiTheme="minorEastAsia" w:eastAsiaTheme="minorEastAsia"/>
          <w:color w:val="auto"/>
          <w:szCs w:val="21"/>
          <w:highlight w:val="none"/>
        </w:rPr>
        <w:t>任何有选择的报价将不予接受，本次谈判只允许供应商有一个有效的谈判报价。供应商投报两个或多个谈判报价，又未书面声明其中哪一个有效的，按否决处理。</w:t>
      </w:r>
    </w:p>
    <w:p w14:paraId="690C0B51">
      <w:pPr>
        <w:spacing w:line="360" w:lineRule="auto"/>
        <w:ind w:firstLine="420" w:firstLineChars="200"/>
        <w:rPr>
          <w:rFonts w:hint="eastAsia" w:asciiTheme="minorEastAsia" w:hAnsiTheme="minorEastAsia" w:eastAsiaTheme="minorEastAsia"/>
          <w:color w:val="auto"/>
          <w:szCs w:val="21"/>
          <w:highlight w:val="none"/>
        </w:rPr>
      </w:pPr>
      <w:r>
        <w:rPr>
          <w:rFonts w:hint="eastAsia" w:ascii="宋体" w:hAnsi="宋体"/>
          <w:color w:val="auto"/>
          <w:szCs w:val="21"/>
          <w:highlight w:val="none"/>
        </w:rPr>
        <w:t>3</w:t>
      </w:r>
      <w:r>
        <w:rPr>
          <w:rFonts w:ascii="宋体" w:hAnsi="宋体"/>
          <w:color w:val="auto"/>
          <w:szCs w:val="21"/>
          <w:highlight w:val="none"/>
        </w:rPr>
        <w:t>.3.3通过</w:t>
      </w:r>
      <w:r>
        <w:rPr>
          <w:rFonts w:hint="eastAsia" w:ascii="宋体" w:hAnsi="宋体"/>
          <w:color w:val="auto"/>
          <w:szCs w:val="21"/>
          <w:highlight w:val="none"/>
        </w:rPr>
        <w:t>资格审查和符合性审查</w:t>
      </w:r>
      <w:r>
        <w:rPr>
          <w:rFonts w:ascii="宋体" w:hAnsi="宋体"/>
          <w:color w:val="auto"/>
          <w:szCs w:val="21"/>
          <w:highlight w:val="none"/>
        </w:rPr>
        <w:t>的供应商将进行</w:t>
      </w:r>
      <w:r>
        <w:rPr>
          <w:rFonts w:hint="eastAsia" w:ascii="宋体" w:hAnsi="宋体"/>
          <w:color w:val="auto"/>
          <w:szCs w:val="21"/>
          <w:highlight w:val="none"/>
        </w:rPr>
        <w:t>二次报价，供应商的二次报价作为响应文件的重要组成部分</w:t>
      </w:r>
      <w:r>
        <w:rPr>
          <w:rFonts w:hint="eastAsia" w:asciiTheme="minorEastAsia" w:hAnsiTheme="minorEastAsia" w:eastAsiaTheme="minorEastAsia"/>
          <w:color w:val="auto"/>
          <w:szCs w:val="21"/>
          <w:highlight w:val="none"/>
        </w:rPr>
        <w:t>。</w:t>
      </w:r>
    </w:p>
    <w:p w14:paraId="7B8C2EA3">
      <w:pPr>
        <w:spacing w:line="360" w:lineRule="auto"/>
        <w:ind w:firstLine="422" w:firstLineChars="200"/>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3.4</w:t>
      </w:r>
      <w:r>
        <w:rPr>
          <w:rFonts w:hint="eastAsia" w:asciiTheme="minorEastAsia" w:hAnsiTheme="minorEastAsia" w:eastAsiaTheme="minorEastAsia"/>
          <w:b/>
          <w:color w:val="auto"/>
          <w:szCs w:val="21"/>
          <w:highlight w:val="none"/>
        </w:rPr>
        <w:t>采购项目需要落实的政府采购政策</w:t>
      </w:r>
    </w:p>
    <w:p w14:paraId="3270978E">
      <w:pPr>
        <w:spacing w:line="360" w:lineRule="auto"/>
        <w:ind w:firstLine="42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color w:val="auto"/>
          <w:highlight w:val="none"/>
        </w:rPr>
        <w:t>（1）中小企业：本项目</w:t>
      </w:r>
      <w:r>
        <w:rPr>
          <w:rFonts w:hint="eastAsia" w:asciiTheme="minorEastAsia" w:hAnsiTheme="minorEastAsia" w:eastAsiaTheme="minorEastAsia"/>
          <w:b/>
          <w:color w:val="auto"/>
          <w:highlight w:val="none"/>
          <w:lang w:val="en-US" w:eastAsia="zh-CN"/>
        </w:rPr>
        <w:t>不</w:t>
      </w:r>
      <w:r>
        <w:rPr>
          <w:rFonts w:hint="eastAsia" w:asciiTheme="minorEastAsia" w:hAnsiTheme="minorEastAsia" w:eastAsiaTheme="minorEastAsia"/>
          <w:b/>
          <w:color w:val="auto"/>
          <w:highlight w:val="none"/>
        </w:rPr>
        <w:t>专门面向中小微企业采购。</w:t>
      </w:r>
    </w:p>
    <w:p w14:paraId="429D3C26">
      <w:pPr>
        <w:spacing w:line="360" w:lineRule="auto"/>
        <w:ind w:firstLine="422" w:firstLineChars="20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（2）监狱企业</w:t>
      </w:r>
    </w:p>
    <w:p w14:paraId="283C207C">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根据《财政部司法部关于政府采购支持监狱企业发展有关问题的通知》（财库〔2014〕68号）文的规定，在政府采购活动中，监狱企业视同小型、微型企业，评审时报价同小型、微型企业的报价扣除方式进行扣除，用扣除后的报价参与评审。监狱企业是指由司法部认定的为罪犯、戒毒人员提供生产项目和劳动对象，且全部产权属于司法部监狱管理局、戒毒管理局、直属煤矿管理局，各省、自治区、直辖市监狱管理局、戒毒管理局，各地(设区的 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4970576">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未递交监狱企业的证明文件的在报价评审时不对二次报价进行扣除。（注：提供相关证明文件的扫描件。）</w:t>
      </w:r>
    </w:p>
    <w:p w14:paraId="25B7072C">
      <w:pPr>
        <w:spacing w:line="360" w:lineRule="auto"/>
        <w:ind w:firstLine="422" w:firstLineChars="200"/>
        <w:rPr>
          <w:rFonts w:hint="eastAsia"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（3）残疾人福利性单位</w:t>
      </w:r>
    </w:p>
    <w:p w14:paraId="799AD974">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根据《财政部 民政部 中国残疾人联合会关于促进残疾人就业政府采购政策的通知》（财库〔2017〕141号）文的规定，在政府采购活动中，残疾人福利性单位视同小型、微型企业，评审时报价同小型、微型企业的报价扣除方式进行扣除，用扣除后的报价参与评审。享受政府采购支持政策的残疾人福利性单位应当同时满足以下条件： </w:t>
      </w:r>
    </w:p>
    <w:p w14:paraId="4495395E">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①安置的残疾人占本单位在职职工人数的比例不低于25%（含25%），并且安置的残疾人人数不少于10 人（含10人）； </w:t>
      </w:r>
    </w:p>
    <w:p w14:paraId="2BC6994D">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②依法与安置的每位残疾人签订了一年以上（含一年）的劳动合同或服务协议； </w:t>
      </w:r>
    </w:p>
    <w:p w14:paraId="7CF3E3C1">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③为安置的每位残疾人按月足额缴纳了基本养老保险、基本医疗保险、失业保险、工伤保险和生育保 险等社会保险费； </w:t>
      </w:r>
    </w:p>
    <w:p w14:paraId="33755993">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④通过银行等金融机构向安置的每位残疾人，按月支付了不低于单位所在区县适用的经省级人民政府 批准的月最低工资标准的工资； </w:t>
      </w:r>
    </w:p>
    <w:p w14:paraId="16026E8F">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⑤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07EE92">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符合条件的残疾人福利性单位在参加政府采购活动时，应当提供《残疾人福利性单位声明函》，声明函格式见</w:t>
      </w:r>
      <w:r>
        <w:rPr>
          <w:rFonts w:hint="eastAsia" w:asciiTheme="minorEastAsia" w:hAnsiTheme="minorEastAsia" w:eastAsiaTheme="minorEastAsia"/>
          <w:color w:val="auto"/>
          <w:szCs w:val="21"/>
          <w:highlight w:val="none"/>
        </w:rPr>
        <w:t>第四章</w:t>
      </w:r>
      <w:r>
        <w:rPr>
          <w:rFonts w:hint="eastAsia" w:asciiTheme="minorEastAsia" w:hAnsiTheme="minorEastAsia" w:eastAsiaTheme="minorEastAsia"/>
          <w:color w:val="auto"/>
          <w:highlight w:val="none"/>
        </w:rPr>
        <w:t>响应文件格式“商务报价文件”中第（四）项谈判报价“残疾人福利性单位声明函”。未递交声明函的在报价评审时不对二次报价进行扣除。</w:t>
      </w:r>
    </w:p>
    <w:p w14:paraId="665E9372">
      <w:pPr>
        <w:pageBreakBefore w:val="0"/>
        <w:widowControl w:val="0"/>
        <w:kinsoku/>
        <w:wordWrap/>
        <w:overflowPunct/>
        <w:topLinePunct w:val="0"/>
        <w:autoSpaceDE/>
        <w:autoSpaceDN/>
        <w:bidi w:val="0"/>
        <w:adjustRightInd w:val="0"/>
        <w:snapToGrid/>
        <w:spacing w:line="384" w:lineRule="auto"/>
        <w:ind w:firstLine="422" w:firstLineChars="200"/>
        <w:textAlignment w:val="auto"/>
        <w:rPr>
          <w:rFonts w:hint="eastAsia" w:ascii="宋体" w:hAnsi="宋体" w:eastAsia="宋体" w:cs="宋体"/>
          <w:color w:val="auto"/>
          <w:sz w:val="21"/>
          <w:szCs w:val="21"/>
          <w:highlight w:val="none"/>
        </w:rPr>
      </w:pPr>
      <w:r>
        <w:rPr>
          <w:rFonts w:hint="eastAsia" w:asciiTheme="minorEastAsia" w:hAnsiTheme="minorEastAsia" w:eastAsiaTheme="minorEastAsia"/>
          <w:b/>
          <w:color w:val="auto"/>
          <w:highlight w:val="none"/>
        </w:rPr>
        <w:t>注：</w:t>
      </w:r>
      <w:r>
        <w:rPr>
          <w:rFonts w:hint="eastAsia" w:ascii="宋体" w:hAnsi="宋体" w:eastAsia="宋体" w:cs="宋体"/>
          <w:color w:val="auto"/>
          <w:sz w:val="21"/>
          <w:szCs w:val="21"/>
          <w:highlight w:val="none"/>
        </w:rPr>
        <w:t>本项目按照《政府采购促进中小企业发展管理办法》（财库〔2020〕46 ）、《关于进一步加大政府采购支持中小企业力度的通知》（财库〔2022〕19号）、《财政部司法部关于政府采购支持监狱企业发展有关问题的通知》（财库[2014]68号）、《三部门联合发布关于促进残疾人就业政府采购政策的通知》（财库〔2017〕141号）规定，执行促进中小企业发展政策、监狱企业、残疾人福利性单位扶持政策，即评审时小型和微型企业享受10%的价格折扣，监狱企业、残疾人福利性单位视同小型、微型企业。参加本项目符合上述文件要求的企业应当提供相应的声明（声明函格式见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章投标文件格式），未提交声明函的在价格评比时不对报价进行扣除。</w:t>
      </w:r>
    </w:p>
    <w:p w14:paraId="7E6F1C71">
      <w:pPr>
        <w:pageBreakBefore w:val="0"/>
        <w:widowControl w:val="0"/>
        <w:kinsoku/>
        <w:wordWrap/>
        <w:overflowPunct/>
        <w:topLinePunct w:val="0"/>
        <w:autoSpaceDE/>
        <w:autoSpaceDN/>
        <w:bidi w:val="0"/>
        <w:adjustRightInd w:val="0"/>
        <w:snapToGrid/>
        <w:spacing w:line="384" w:lineRule="auto"/>
        <w:ind w:firstLine="420" w:firstLineChars="200"/>
        <w:textAlignment w:val="auto"/>
        <w:rPr>
          <w:rFonts w:hint="eastAsia" w:asciiTheme="minorEastAsia" w:hAnsiTheme="minorEastAsia" w:eastAsiaTheme="minorEastAsia"/>
          <w:b/>
          <w:color w:val="auto"/>
          <w:szCs w:val="21"/>
          <w:highlight w:val="none"/>
        </w:rPr>
      </w:pPr>
      <w:r>
        <w:rPr>
          <w:rFonts w:hint="eastAsia" w:ascii="宋体" w:hAnsi="宋体" w:eastAsia="宋体" w:cs="宋体"/>
          <w:color w:val="auto"/>
          <w:sz w:val="21"/>
          <w:szCs w:val="21"/>
          <w:highlight w:val="none"/>
        </w:rPr>
        <w:t>价格扣除公式：评标价=最终报价×(1-价格扣除)。</w:t>
      </w:r>
    </w:p>
    <w:p w14:paraId="7FF2F9B8">
      <w:pPr>
        <w:spacing w:line="360" w:lineRule="auto"/>
        <w:outlineLvl w:val="3"/>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3.4算术性错误修正</w:t>
      </w:r>
    </w:p>
    <w:p w14:paraId="276315FC">
      <w:pPr>
        <w:spacing w:line="360" w:lineRule="auto"/>
        <w:ind w:firstLine="437"/>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供应商的响应文件中的谈判报价出现前后不一致的，除采购文件另有规定外，谈判小组依法对其按照下列规定进行修正：</w:t>
      </w:r>
    </w:p>
    <w:p w14:paraId="1F4F2E0E">
      <w:pPr>
        <w:spacing w:line="360" w:lineRule="auto"/>
        <w:ind w:firstLine="437"/>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（1）大写金额和小写金额不一致的，以大写金额为准；</w:t>
      </w:r>
    </w:p>
    <w:p w14:paraId="3BA689D5">
      <w:pPr>
        <w:spacing w:line="360" w:lineRule="auto"/>
        <w:ind w:firstLine="437"/>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（2）单价金额小数点或百分比有明显错位的，以“报价一览表”中的报价为准，并修改单价；</w:t>
      </w:r>
    </w:p>
    <w:p w14:paraId="7F027370">
      <w:pPr>
        <w:spacing w:line="360" w:lineRule="auto"/>
        <w:ind w:firstLine="437"/>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（3）总价金额与按单价汇总金额不一致的，以单价金额计算结果为准。</w:t>
      </w:r>
    </w:p>
    <w:p w14:paraId="1C137F55">
      <w:pPr>
        <w:spacing w:line="360" w:lineRule="auto"/>
        <w:ind w:firstLine="437"/>
        <w:rPr>
          <w:rFonts w:hint="eastAsia" w:ascii="宋体" w:hAnsi="宋体" w:cs="宋体"/>
          <w:color w:val="auto"/>
          <w:szCs w:val="21"/>
          <w:highlight w:val="none"/>
        </w:rPr>
      </w:pPr>
      <w:r>
        <w:rPr>
          <w:rFonts w:hint="eastAsia" w:asciiTheme="minorEastAsia" w:hAnsiTheme="minorEastAsia" w:eastAsiaTheme="minorEastAsia"/>
          <w:color w:val="auto"/>
          <w:szCs w:val="21"/>
          <w:highlight w:val="none"/>
        </w:rPr>
        <w:t>同时出现两种以上不一致的，按照前款规定的顺序修正。修正后的报价按照以下第3.</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条的规定经供应商确认后产生约束力，供应商不确认的，其谈判无效。</w:t>
      </w:r>
      <w:r>
        <w:rPr>
          <w:rFonts w:hint="eastAsia" w:ascii="宋体" w:hAnsi="宋体" w:cs="宋体"/>
          <w:color w:val="auto"/>
          <w:szCs w:val="21"/>
          <w:highlight w:val="none"/>
        </w:rPr>
        <w:t xml:space="preserve"> </w:t>
      </w:r>
    </w:p>
    <w:p w14:paraId="3308AC3B">
      <w:pPr>
        <w:spacing w:line="360" w:lineRule="auto"/>
        <w:outlineLvl w:val="3"/>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5</w:t>
      </w:r>
      <w:r>
        <w:rPr>
          <w:rFonts w:hint="eastAsia" w:asciiTheme="minorEastAsia" w:hAnsiTheme="minorEastAsia" w:eastAsiaTheme="minorEastAsia"/>
          <w:b/>
          <w:color w:val="auto"/>
          <w:szCs w:val="21"/>
          <w:highlight w:val="none"/>
        </w:rPr>
        <w:t>响应文件的澄清、说明或者补正</w:t>
      </w:r>
    </w:p>
    <w:p w14:paraId="6EC430CB">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asciiTheme="minorEastAsia" w:hAnsiTheme="minorEastAsia" w:eastAsiaTheme="minorEastAsia"/>
          <w:color w:val="auto"/>
          <w:highlight w:val="none"/>
        </w:rPr>
        <w:t>.5.1</w:t>
      </w:r>
      <w:r>
        <w:rPr>
          <w:rFonts w:hint="eastAsia" w:asciiTheme="minorEastAsia" w:hAnsiTheme="minorEastAsia" w:eastAsiaTheme="minorEastAsia"/>
          <w:color w:val="auto"/>
          <w:highlight w:val="none"/>
        </w:rPr>
        <w:t>在评审过程中，谈判小组对于供应商的响应文件中含义不明确、同类问题表述不一致或者有明显文字和计算错误的内容，应当以书面形式要求供应商做出必要的澄清、说明或者补正。</w:t>
      </w:r>
    </w:p>
    <w:p w14:paraId="7790C205">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asciiTheme="minorEastAsia" w:hAnsiTheme="minorEastAsia" w:eastAsiaTheme="minorEastAsia"/>
          <w:color w:val="auto"/>
          <w:highlight w:val="none"/>
        </w:rPr>
        <w:t>.5.2</w:t>
      </w:r>
      <w:r>
        <w:rPr>
          <w:rFonts w:hint="eastAsia" w:asciiTheme="minorEastAsia" w:hAnsiTheme="minorEastAsia" w:eastAsiaTheme="minorEastAsia"/>
          <w:color w:val="auto"/>
          <w:highlight w:val="none"/>
        </w:rPr>
        <w:t>供应商的澄清、说明或者补正应当采用书面形式并加盖公章，或者由法定代表人或其授权的代表签字。供应商的澄清、说明或者补正不得超出响应文件的范围或改变响应文件的实质性内容（算术性错误修正的除外）。供应商的书面澄清、说明或者补正属于响应文件的组成部分。</w:t>
      </w:r>
    </w:p>
    <w:p w14:paraId="077037C6">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asciiTheme="minorEastAsia" w:hAnsiTheme="minorEastAsia" w:eastAsiaTheme="minorEastAsia"/>
          <w:color w:val="auto"/>
          <w:highlight w:val="none"/>
        </w:rPr>
        <w:t>.5.3</w:t>
      </w:r>
      <w:r>
        <w:rPr>
          <w:rFonts w:hint="eastAsia" w:asciiTheme="minorEastAsia" w:hAnsiTheme="minorEastAsia" w:eastAsiaTheme="minorEastAsia"/>
          <w:color w:val="auto"/>
          <w:highlight w:val="none"/>
        </w:rPr>
        <w:t>谈判小组对供应商提交的澄清、说明或者补正有疑问的，可以要求供应商进一步澄清、说明或者补正，直至满足谈判小组的要求。</w:t>
      </w:r>
    </w:p>
    <w:p w14:paraId="77186771">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3</w:t>
      </w:r>
      <w:r>
        <w:rPr>
          <w:rFonts w:asciiTheme="minorEastAsia" w:hAnsiTheme="minorEastAsia" w:eastAsiaTheme="minorEastAsia"/>
          <w:color w:val="auto"/>
          <w:highlight w:val="none"/>
        </w:rPr>
        <w:t>.5.4</w:t>
      </w:r>
      <w:r>
        <w:rPr>
          <w:rFonts w:hint="eastAsia" w:asciiTheme="minorEastAsia" w:hAnsiTheme="minorEastAsia" w:eastAsiaTheme="minorEastAsia"/>
          <w:color w:val="auto"/>
          <w:highlight w:val="none"/>
        </w:rPr>
        <w:t>凡超出采购文件规定的或给采购人带来未曾要求的利益的变化、偏离或其他因素在评审时不予考虑。</w:t>
      </w:r>
    </w:p>
    <w:p w14:paraId="7E4542F2">
      <w:pPr>
        <w:spacing w:line="360" w:lineRule="auto"/>
        <w:outlineLvl w:val="3"/>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3.</w:t>
      </w:r>
      <w:r>
        <w:rPr>
          <w:rFonts w:asciiTheme="minorEastAsia" w:hAnsiTheme="minorEastAsia" w:eastAsiaTheme="minorEastAsia"/>
          <w:b/>
          <w:color w:val="auto"/>
          <w:szCs w:val="21"/>
          <w:highlight w:val="none"/>
        </w:rPr>
        <w:t>6</w:t>
      </w:r>
      <w:r>
        <w:rPr>
          <w:rFonts w:hint="eastAsia" w:asciiTheme="minorEastAsia" w:hAnsiTheme="minorEastAsia" w:eastAsiaTheme="minorEastAsia"/>
          <w:b/>
          <w:color w:val="auto"/>
          <w:szCs w:val="21"/>
          <w:highlight w:val="none"/>
        </w:rPr>
        <w:t xml:space="preserve">响应文件相关信息的核查 </w:t>
      </w:r>
    </w:p>
    <w:p w14:paraId="42264981">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谈判小组对在评审过程中发现的供应商与供应商之间、供应商与采购人之间存在的串通谈判的情形进行评审和认定。若供应商存在串通谈判、弄虚作假、行贿等违法行为的，谈判小组应否决其谈判。</w:t>
      </w:r>
    </w:p>
    <w:p w14:paraId="51DEC2FD">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.1有下列情形之一的，属于供应商相互串通谈判：</w:t>
      </w:r>
    </w:p>
    <w:p w14:paraId="69EB37AE">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（1）供应商之间协商谈判报价等响应文件的实质性内容；</w:t>
      </w:r>
    </w:p>
    <w:p w14:paraId="7FC3EAE5">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（2）供应商之间约定成交供应商；</w:t>
      </w:r>
    </w:p>
    <w:p w14:paraId="1A17477C">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（3）供应商之间约定部分供应商放弃谈判或成交；</w:t>
      </w:r>
    </w:p>
    <w:p w14:paraId="0A1E0FEE">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（4）属于同一集团、协会、商会等组织成员的供应商按照该组织要求协同谈判；</w:t>
      </w:r>
    </w:p>
    <w:p w14:paraId="3E55D38F">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（5）供应商之间为谋取成交或排斥特定供应商而采取的其他联合行动。</w:t>
      </w:r>
    </w:p>
    <w:p w14:paraId="7DA1F454">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.2有下列情形之一的，视为供应商相互串通谈判：</w:t>
      </w:r>
    </w:p>
    <w:p w14:paraId="4927437C">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（1）不同供应商的响应文件由同一单位或个人编制；</w:t>
      </w:r>
    </w:p>
    <w:p w14:paraId="0254C763">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（2）不同供应商委托同一单位或个人办理谈判事宜；</w:t>
      </w:r>
    </w:p>
    <w:p w14:paraId="0971E48E">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（3）不同供应商的响应文件载明的项目组成员为同一人；</w:t>
      </w:r>
    </w:p>
    <w:p w14:paraId="7159C8EB">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（4）不同供应商的响应文件异常一致或谈判报价呈规律性差异；</w:t>
      </w:r>
    </w:p>
    <w:p w14:paraId="1C7DCC16">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（5）不同供应商的谈判保证金从同一单位或个人的账户转出。</w:t>
      </w:r>
    </w:p>
    <w:p w14:paraId="210B21C4">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.3有下列情形之一的，属于采购人与供应商串通谈判：</w:t>
      </w:r>
    </w:p>
    <w:p w14:paraId="431B1167">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（1）采购人在开标前开启响应文件并将有关信息泄露给其他供应商；</w:t>
      </w:r>
    </w:p>
    <w:p w14:paraId="007774EA">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（2）采购人直接或间接向供应商泄露标底、谈判小组成员等信息；</w:t>
      </w:r>
    </w:p>
    <w:p w14:paraId="01CCD5FB">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（3）采购人明示或暗示供应商压低或抬高谈判报价；</w:t>
      </w:r>
    </w:p>
    <w:p w14:paraId="2A39AEAA">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（4）采购人授意供应商撤换、修改响应文件；</w:t>
      </w:r>
    </w:p>
    <w:p w14:paraId="01EE82BE">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（5）采购人明示或暗示供应商为特定供应商成交提供方便；</w:t>
      </w:r>
    </w:p>
    <w:p w14:paraId="361A6916">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（6）采购人与供应商为谋求特定供应商成交而采取的其他串通行为。</w:t>
      </w:r>
    </w:p>
    <w:p w14:paraId="2E3E39B7">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.4供应商有下列情形之一的，属于弄虚作假的行为：</w:t>
      </w:r>
    </w:p>
    <w:p w14:paraId="2438E392">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（1）使用通过受让或租借等方式获取的资格、资质证书谈判；</w:t>
      </w:r>
    </w:p>
    <w:p w14:paraId="357F1375">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（2）使用伪造、变造的许可证件；</w:t>
      </w:r>
    </w:p>
    <w:p w14:paraId="671A4AEA">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（3）提供虚假的财务状况或业绩或其他证明材料或证件等；</w:t>
      </w:r>
    </w:p>
    <w:p w14:paraId="76B8E3EC">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（4）提供虚假的信用状况；</w:t>
      </w:r>
    </w:p>
    <w:p w14:paraId="2E0CCAAC">
      <w:pPr>
        <w:spacing w:line="360" w:lineRule="auto"/>
        <w:ind w:firstLine="43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（5）其他弄虚作假的行为。</w:t>
      </w:r>
    </w:p>
    <w:p w14:paraId="3BC7FEBA">
      <w:pPr>
        <w:spacing w:line="360" w:lineRule="auto"/>
        <w:outlineLvl w:val="3"/>
        <w:rPr>
          <w:rFonts w:hint="eastAsia" w:asciiTheme="minorEastAsia" w:hAnsiTheme="minorEastAsia" w:eastAsiaTheme="minorEastAsia"/>
          <w:b/>
          <w:color w:val="auto"/>
          <w:szCs w:val="21"/>
          <w:highlight w:val="none"/>
        </w:rPr>
      </w:pPr>
      <w:bookmarkStart w:id="1299" w:name="_Toc87538411"/>
      <w:bookmarkStart w:id="1300" w:name="_Toc45976942"/>
      <w:bookmarkStart w:id="1301" w:name="_Toc42205035"/>
      <w:bookmarkStart w:id="1302" w:name="_Toc84356294"/>
      <w:bookmarkStart w:id="1303" w:name="_Toc116584046"/>
      <w:bookmarkStart w:id="1304" w:name="_Toc87543862"/>
      <w:bookmarkStart w:id="1305" w:name="_Toc110405179"/>
      <w:bookmarkStart w:id="1306" w:name="_Toc83753934"/>
      <w:bookmarkStart w:id="1307" w:name="_Toc98865055"/>
      <w:bookmarkStart w:id="1308" w:name="_Toc109809356"/>
      <w:bookmarkStart w:id="1309" w:name="_Toc45791396"/>
      <w:bookmarkStart w:id="1310" w:name="_Toc81330981"/>
      <w:bookmarkStart w:id="1311" w:name="_Toc53412258"/>
      <w:bookmarkStart w:id="1312" w:name="_Toc30376"/>
      <w:bookmarkStart w:id="1313" w:name="_Toc98033978"/>
      <w:r>
        <w:rPr>
          <w:rFonts w:hint="eastAsia" w:asciiTheme="minorEastAsia" w:hAnsiTheme="minorEastAsia" w:eastAsiaTheme="minorEastAsia"/>
          <w:b/>
          <w:color w:val="auto"/>
          <w:szCs w:val="21"/>
          <w:highlight w:val="none"/>
        </w:rPr>
        <w:t xml:space="preserve">3.7 重新采购 </w:t>
      </w:r>
    </w:p>
    <w:p w14:paraId="02840209">
      <w:pPr>
        <w:spacing w:line="360" w:lineRule="auto"/>
        <w:ind w:firstLine="420" w:firstLineChars="200"/>
        <w:contextualSpacing/>
        <w:rPr>
          <w:rFonts w:hint="eastAsia"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响应文件提交截止时间止，提交响应文件的供应商少于3个的，采购人将重新采购。</w:t>
      </w:r>
    </w:p>
    <w:p w14:paraId="1D4ECC4B">
      <w:pPr>
        <w:spacing w:line="360" w:lineRule="auto"/>
        <w:ind w:firstLine="420" w:firstLineChars="200"/>
        <w:contextualSpacing/>
        <w:rPr>
          <w:rFonts w:hint="eastAsia"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经谈判小组评审后合格供应商少于3个的。</w:t>
      </w:r>
    </w:p>
    <w:p w14:paraId="7300157D">
      <w:pPr>
        <w:spacing w:line="360" w:lineRule="auto"/>
        <w:outlineLvl w:val="3"/>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 xml:space="preserve">3.8评审结果 </w:t>
      </w:r>
    </w:p>
    <w:p w14:paraId="65454EC0">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3.8.1 除第二章“供应商须知前附表”授权谈判小组可以直接确定成交供应商外，</w:t>
      </w:r>
      <w:r>
        <w:rPr>
          <w:rFonts w:hint="eastAsia" w:ascii="宋体" w:hAnsi="宋体"/>
          <w:color w:val="auto"/>
          <w:szCs w:val="21"/>
          <w:highlight w:val="none"/>
        </w:rPr>
        <w:t>谈判小组对通过</w:t>
      </w:r>
      <w:bookmarkStart w:id="1314" w:name="_Hlk67327295"/>
      <w:r>
        <w:rPr>
          <w:rFonts w:hint="eastAsia" w:ascii="宋体" w:hAnsi="宋体"/>
          <w:color w:val="auto"/>
          <w:szCs w:val="21"/>
          <w:highlight w:val="none"/>
        </w:rPr>
        <w:t>资格审查和符合性审查的响应文件</w:t>
      </w:r>
      <w:bookmarkEnd w:id="1314"/>
      <w:r>
        <w:rPr>
          <w:rFonts w:hint="eastAsia" w:ascii="宋体" w:hAnsi="宋体"/>
          <w:color w:val="auto"/>
          <w:szCs w:val="21"/>
          <w:highlight w:val="none"/>
        </w:rPr>
        <w:t>，按照供应商的二次报价由低到高的顺序推荐1～3名成交候选人。若出现二次报价相同时，由</w:t>
      </w:r>
      <w:r>
        <w:rPr>
          <w:rFonts w:hint="eastAsia" w:ascii="宋体" w:hAnsi="宋体"/>
          <w:color w:val="auto"/>
          <w:highlight w:val="none"/>
        </w:rPr>
        <w:t>谈判小组</w:t>
      </w:r>
      <w:r>
        <w:rPr>
          <w:rFonts w:hint="eastAsia" w:ascii="宋体" w:hAnsi="宋体"/>
          <w:color w:val="auto"/>
          <w:szCs w:val="21"/>
          <w:highlight w:val="none"/>
        </w:rPr>
        <w:t>以不记名投票的方式推荐成交候选人顺序。</w:t>
      </w:r>
    </w:p>
    <w:p w14:paraId="2EEAFCC9">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3.8.2 谈判小组完成评审后，应当向采购人提交书面评审报告。</w:t>
      </w:r>
    </w:p>
    <w:p w14:paraId="07F0671E">
      <w:pP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3.8.3评审报告应当由谈判小组全体成员签章确认。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章又未书面说明其不同意见和理由的，视为同意评审报告。</w:t>
      </w:r>
      <w:r>
        <w:rPr>
          <w:rFonts w:hint="eastAsia" w:ascii="宋体" w:hAnsi="宋体" w:cs="宋体"/>
          <w:b/>
          <w:color w:val="auto"/>
          <w:sz w:val="28"/>
          <w:szCs w:val="28"/>
          <w:highlight w:val="none"/>
        </w:rPr>
        <w:br w:type="page"/>
      </w:r>
    </w:p>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14:paraId="2CB090F0">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附件B</w:t>
      </w:r>
      <w:r>
        <w:rPr>
          <w:rFonts w:asciiTheme="minorEastAsia" w:hAnsiTheme="minorEastAsia" w:eastAsiaTheme="minorEastAsia"/>
          <w:b/>
          <w:color w:val="auto"/>
          <w:sz w:val="24"/>
          <w:szCs w:val="24"/>
          <w:highlight w:val="none"/>
        </w:rPr>
        <w:t>:</w:t>
      </w:r>
    </w:p>
    <w:p w14:paraId="0CB5130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否决条件</w:t>
      </w:r>
    </w:p>
    <w:p w14:paraId="19A753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附件所集中列示的否决条件，是本章“评审办法”的组成部分，是对第二章“供应商须知”、本章正文部分和第五章“采购需求及要求”的技术参数要求所规定的否决条件的总结和补充，若采购文件中关于否决条件的内容，出现前后不一致或矛盾的，以本节的规定为准。</w:t>
      </w:r>
    </w:p>
    <w:p w14:paraId="48AA55AA">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B1.未按</w:t>
      </w:r>
      <w:r>
        <w:rPr>
          <w:rFonts w:hint="eastAsia" w:asciiTheme="minorEastAsia" w:hAnsiTheme="minorEastAsia" w:eastAsiaTheme="minorEastAsia"/>
          <w:color w:val="auto"/>
          <w:highlight w:val="none"/>
        </w:rPr>
        <w:t>谈判小组</w:t>
      </w:r>
      <w:r>
        <w:rPr>
          <w:rFonts w:asciiTheme="minorEastAsia" w:hAnsiTheme="minorEastAsia" w:eastAsiaTheme="minorEastAsia"/>
          <w:color w:val="auto"/>
          <w:highlight w:val="none"/>
        </w:rPr>
        <w:t>要求澄清、说明或补正的；</w:t>
      </w:r>
    </w:p>
    <w:p w14:paraId="49A53891">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B2</w:t>
      </w:r>
      <w:r>
        <w:rPr>
          <w:rFonts w:hint="eastAsia" w:asciiTheme="minorEastAsia" w:hAnsiTheme="minorEastAsia" w:eastAsiaTheme="minorEastAsia"/>
          <w:color w:val="auto"/>
          <w:highlight w:val="none"/>
        </w:rPr>
        <w:t>.供应商的名称与所提供的资料上的名称不一致的；</w:t>
      </w:r>
    </w:p>
    <w:p w14:paraId="6277FC66">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B3</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分包不符合第二章“供应商须知”第1.11项规定的；</w:t>
      </w:r>
    </w:p>
    <w:p w14:paraId="301ABA36">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B4</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偏离不符合第二章“供应商须知”第1.12项规定的；</w:t>
      </w:r>
    </w:p>
    <w:p w14:paraId="0C666557">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B5</w:t>
      </w:r>
      <w:r>
        <w:rPr>
          <w:rFonts w:hint="eastAsia" w:asciiTheme="minorEastAsia" w:hAnsiTheme="minorEastAsia" w:eastAsiaTheme="minorEastAsia"/>
          <w:color w:val="auto"/>
          <w:highlight w:val="none"/>
        </w:rPr>
        <w:t>.谈判内容不符合第二章“供应商须知前附表”第1.3.1项规定的；</w:t>
      </w:r>
    </w:p>
    <w:p w14:paraId="4F4A652A">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B6</w:t>
      </w:r>
      <w:r>
        <w:rPr>
          <w:rFonts w:hint="eastAsia" w:asciiTheme="minorEastAsia" w:hAnsiTheme="minorEastAsia" w:eastAsiaTheme="minorEastAsia"/>
          <w:color w:val="auto"/>
          <w:highlight w:val="none"/>
        </w:rPr>
        <w:t>.合同履行期限不符合第二章“供应商须知前附表”第1.3.2项规定的；</w:t>
      </w:r>
    </w:p>
    <w:p w14:paraId="7417DCB0">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B7</w:t>
      </w:r>
      <w:r>
        <w:rPr>
          <w:rFonts w:hint="eastAsia" w:asciiTheme="minorEastAsia" w:hAnsiTheme="minorEastAsia" w:eastAsiaTheme="minorEastAsia"/>
          <w:color w:val="auto"/>
          <w:highlight w:val="none"/>
        </w:rPr>
        <w:t>.质量标准不符合第二章“供应商须知前附表”第1.3.3项规定的；</w:t>
      </w:r>
    </w:p>
    <w:p w14:paraId="527A435F">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B8</w:t>
      </w:r>
      <w:r>
        <w:rPr>
          <w:rFonts w:hint="eastAsia" w:asciiTheme="minorEastAsia" w:hAnsiTheme="minorEastAsia" w:eastAsiaTheme="minorEastAsia"/>
          <w:color w:val="auto"/>
          <w:highlight w:val="none"/>
        </w:rPr>
        <w:t>.联合体不符合第二章“供应商须知前附表”第1.4.</w:t>
      </w: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项规定的；</w:t>
      </w:r>
    </w:p>
    <w:p w14:paraId="37778208">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B9</w:t>
      </w:r>
      <w:r>
        <w:rPr>
          <w:rFonts w:hint="eastAsia" w:asciiTheme="minorEastAsia" w:hAnsiTheme="minorEastAsia" w:eastAsiaTheme="minorEastAsia"/>
          <w:color w:val="auto"/>
          <w:highlight w:val="none"/>
        </w:rPr>
        <w:t>.在响应文件中，供应商投报两个或多个谈判报价，又未书面声明其中哪一个有效的；</w:t>
      </w:r>
    </w:p>
    <w:p w14:paraId="7EC443AB">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B10</w:t>
      </w:r>
      <w:r>
        <w:rPr>
          <w:rFonts w:hint="eastAsia" w:asciiTheme="minorEastAsia" w:hAnsiTheme="minorEastAsia" w:eastAsiaTheme="minorEastAsia"/>
          <w:color w:val="auto"/>
          <w:highlight w:val="none"/>
        </w:rPr>
        <w:t>.响应文件的签署不符合第二章“供应商须知前附表”第</w:t>
      </w: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7</w:t>
      </w:r>
      <w:r>
        <w:rPr>
          <w:rFonts w:hint="eastAsia" w:asciiTheme="minorEastAsia" w:hAnsiTheme="minorEastAsia" w:eastAsiaTheme="minorEastAsia"/>
          <w:color w:val="auto"/>
          <w:highlight w:val="none"/>
        </w:rPr>
        <w:t>.3项规定的；</w:t>
      </w:r>
    </w:p>
    <w:p w14:paraId="4A65045C">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B11</w:t>
      </w:r>
      <w:r>
        <w:rPr>
          <w:rFonts w:hint="eastAsia" w:asciiTheme="minorEastAsia" w:hAnsiTheme="minorEastAsia" w:eastAsiaTheme="minorEastAsia"/>
          <w:color w:val="auto"/>
          <w:highlight w:val="none"/>
        </w:rPr>
        <w:t>.供应商的信誉不符合第二章“供应商须知前附表”第1.4.2项规定</w:t>
      </w:r>
      <w:r>
        <w:rPr>
          <w:rFonts w:hint="eastAsia" w:asciiTheme="minorEastAsia" w:hAnsiTheme="minorEastAsia" w:eastAsiaTheme="minorEastAsia"/>
          <w:color w:val="auto"/>
          <w:szCs w:val="21"/>
          <w:highlight w:val="none"/>
        </w:rPr>
        <w:t>第2条规定</w:t>
      </w:r>
      <w:r>
        <w:rPr>
          <w:rFonts w:hint="eastAsia" w:asciiTheme="minorEastAsia" w:hAnsiTheme="minorEastAsia" w:eastAsiaTheme="minorEastAsia"/>
          <w:color w:val="auto"/>
          <w:highlight w:val="none"/>
        </w:rPr>
        <w:t>的；</w:t>
      </w:r>
    </w:p>
    <w:p w14:paraId="20652666">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B12</w:t>
      </w:r>
      <w:r>
        <w:rPr>
          <w:rFonts w:hint="eastAsia" w:asciiTheme="minorEastAsia" w:hAnsiTheme="minorEastAsia" w:eastAsiaTheme="minorEastAsia"/>
          <w:color w:val="auto"/>
          <w:highlight w:val="none"/>
        </w:rPr>
        <w:t>.参与谈判的供应商的单位负责人为同一人或存在直接控股、管理关系的；</w:t>
      </w:r>
    </w:p>
    <w:p w14:paraId="637EDCE3">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B13</w:t>
      </w:r>
      <w:r>
        <w:rPr>
          <w:rFonts w:hint="eastAsia" w:asciiTheme="minorEastAsia" w:hAnsiTheme="minorEastAsia" w:eastAsiaTheme="minorEastAsia"/>
          <w:color w:val="auto"/>
          <w:highlight w:val="none"/>
        </w:rPr>
        <w:t>.谈判有效期不符合第二章“供应商须知前附表”第3.3.1项规定的；</w:t>
      </w:r>
    </w:p>
    <w:p w14:paraId="3CD08C94">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B14</w:t>
      </w:r>
      <w:r>
        <w:rPr>
          <w:rFonts w:hint="eastAsia" w:asciiTheme="minorEastAsia" w:hAnsiTheme="minorEastAsia" w:eastAsiaTheme="minorEastAsia"/>
          <w:color w:val="auto"/>
          <w:highlight w:val="none"/>
        </w:rPr>
        <w:t>.谈判保证金不符合第二章“供应商须知前附表”第3.4.1项规定的，或</w:t>
      </w:r>
      <w:r>
        <w:rPr>
          <w:rFonts w:asciiTheme="minorEastAsia" w:hAnsiTheme="minorEastAsia" w:eastAsiaTheme="minorEastAsia"/>
          <w:color w:val="auto"/>
          <w:highlight w:val="none"/>
        </w:rPr>
        <w:t>未按</w:t>
      </w:r>
      <w:r>
        <w:rPr>
          <w:rFonts w:hint="eastAsia" w:asciiTheme="minorEastAsia" w:hAnsiTheme="minorEastAsia" w:eastAsiaTheme="minorEastAsia"/>
          <w:color w:val="auto"/>
          <w:highlight w:val="none"/>
        </w:rPr>
        <w:t>采购文件</w:t>
      </w:r>
      <w:r>
        <w:rPr>
          <w:rFonts w:asciiTheme="minorEastAsia" w:hAnsiTheme="minorEastAsia" w:eastAsiaTheme="minorEastAsia"/>
          <w:color w:val="auto"/>
          <w:highlight w:val="none"/>
        </w:rPr>
        <w:t>要求递交</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保证金</w:t>
      </w:r>
      <w:r>
        <w:rPr>
          <w:rFonts w:hint="eastAsia" w:asciiTheme="minorEastAsia" w:hAnsiTheme="minorEastAsia" w:eastAsiaTheme="minorEastAsia"/>
          <w:color w:val="auto"/>
          <w:highlight w:val="none"/>
        </w:rPr>
        <w:t>；</w:t>
      </w:r>
    </w:p>
    <w:p w14:paraId="5CC350DE">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B1</w:t>
      </w:r>
      <w:r>
        <w:rPr>
          <w:rFonts w:hint="eastAsia" w:asciiTheme="minorEastAsia" w:hAnsiTheme="minorEastAsia" w:eastAsiaTheme="minorEastAsia"/>
          <w:color w:val="auto"/>
          <w:highlight w:val="none"/>
          <w:lang w:val="en-US" w:eastAsia="zh-CN"/>
        </w:rPr>
        <w:t>5</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未按</w:t>
      </w:r>
      <w:r>
        <w:rPr>
          <w:rFonts w:hint="eastAsia" w:asciiTheme="minorEastAsia" w:hAnsiTheme="minorEastAsia" w:eastAsiaTheme="minorEastAsia"/>
          <w:color w:val="auto"/>
          <w:highlight w:val="none"/>
        </w:rPr>
        <w:t>采购文件</w:t>
      </w:r>
      <w:r>
        <w:rPr>
          <w:rFonts w:asciiTheme="minorEastAsia" w:hAnsiTheme="minorEastAsia" w:eastAsiaTheme="minorEastAsia"/>
          <w:color w:val="auto"/>
          <w:highlight w:val="none"/>
        </w:rPr>
        <w:t>的要求采用单位和个人数字证书电子签章的；</w:t>
      </w:r>
    </w:p>
    <w:p w14:paraId="4C0231EF">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B1</w:t>
      </w:r>
      <w:r>
        <w:rPr>
          <w:rFonts w:hint="eastAsia" w:asciiTheme="minorEastAsia" w:hAnsiTheme="minorEastAsia" w:eastAsiaTheme="minorEastAsia"/>
          <w:color w:val="auto"/>
          <w:highlight w:val="none"/>
          <w:lang w:val="en-US" w:eastAsia="zh-CN"/>
        </w:rPr>
        <w:t>6</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未按</w:t>
      </w:r>
      <w:r>
        <w:rPr>
          <w:rFonts w:hint="eastAsia" w:asciiTheme="minorEastAsia" w:hAnsiTheme="minorEastAsia" w:eastAsiaTheme="minorEastAsia"/>
          <w:color w:val="auto"/>
          <w:highlight w:val="none"/>
        </w:rPr>
        <w:t>采购文件</w:t>
      </w:r>
      <w:r>
        <w:rPr>
          <w:rFonts w:asciiTheme="minorEastAsia" w:hAnsiTheme="minorEastAsia" w:eastAsiaTheme="minorEastAsia"/>
          <w:color w:val="auto"/>
          <w:highlight w:val="none"/>
        </w:rPr>
        <w:t>规定的格式填写，内容不全或关键字迹模糊、无法辨认的；</w:t>
      </w:r>
    </w:p>
    <w:p w14:paraId="0B427D23">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B1</w:t>
      </w:r>
      <w:r>
        <w:rPr>
          <w:rFonts w:hint="eastAsia" w:asciiTheme="minorEastAsia" w:hAnsiTheme="minorEastAsia" w:eastAsiaTheme="minorEastAsia"/>
          <w:color w:val="auto"/>
          <w:highlight w:val="none"/>
          <w:lang w:val="en-US" w:eastAsia="zh-CN"/>
        </w:rPr>
        <w:t>7</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供应商递交两份或多份内容不同的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的；</w:t>
      </w:r>
    </w:p>
    <w:p w14:paraId="10C75CFE">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B1</w:t>
      </w:r>
      <w:r>
        <w:rPr>
          <w:rFonts w:hint="eastAsia" w:asciiTheme="minorEastAsia" w:hAnsiTheme="minorEastAsia" w:eastAsiaTheme="minorEastAsia"/>
          <w:color w:val="auto"/>
          <w:highlight w:val="none"/>
          <w:lang w:val="en-US" w:eastAsia="zh-CN"/>
        </w:rPr>
        <w:t>8</w:t>
      </w:r>
      <w:r>
        <w:rPr>
          <w:rFonts w:hint="eastAsia" w:asciiTheme="minorEastAsia" w:hAnsiTheme="minorEastAsia" w:eastAsiaTheme="minorEastAsia"/>
          <w:color w:val="auto"/>
          <w:highlight w:val="none"/>
        </w:rPr>
        <w:t>.谈判小组</w:t>
      </w:r>
      <w:r>
        <w:rPr>
          <w:rFonts w:asciiTheme="minorEastAsia" w:hAnsiTheme="minorEastAsia" w:eastAsiaTheme="minorEastAsia"/>
          <w:color w:val="auto"/>
          <w:highlight w:val="none"/>
        </w:rPr>
        <w:t>评审时若发现供应商报价存在有重大漏项、缺项，且在</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中没有明确的阐述和承诺的；</w:t>
      </w:r>
    </w:p>
    <w:p w14:paraId="4B47355E">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B</w:t>
      </w:r>
      <w:r>
        <w:rPr>
          <w:rFonts w:hint="eastAsia" w:asciiTheme="minorEastAsia" w:hAnsiTheme="minorEastAsia" w:eastAsiaTheme="minorEastAsia"/>
          <w:color w:val="auto"/>
          <w:highlight w:val="none"/>
          <w:lang w:val="en-US" w:eastAsia="zh-CN"/>
        </w:rPr>
        <w:t>19</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有下列情形之一的，经</w:t>
      </w:r>
      <w:r>
        <w:rPr>
          <w:rFonts w:hint="eastAsia" w:asciiTheme="minorEastAsia" w:hAnsiTheme="minorEastAsia" w:eastAsiaTheme="minorEastAsia"/>
          <w:color w:val="auto"/>
          <w:highlight w:val="none"/>
        </w:rPr>
        <w:t>谈判小组</w:t>
      </w:r>
      <w:r>
        <w:rPr>
          <w:rFonts w:asciiTheme="minorEastAsia" w:hAnsiTheme="minorEastAsia" w:eastAsiaTheme="minorEastAsia"/>
          <w:color w:val="auto"/>
          <w:highlight w:val="none"/>
        </w:rPr>
        <w:t>集体表决后认定，视作串通</w:t>
      </w:r>
      <w:r>
        <w:rPr>
          <w:rFonts w:hint="eastAsia" w:asciiTheme="minorEastAsia" w:hAnsiTheme="minorEastAsia" w:eastAsiaTheme="minorEastAsia"/>
          <w:color w:val="auto"/>
          <w:highlight w:val="none"/>
        </w:rPr>
        <w:t>投标</w:t>
      </w:r>
      <w:r>
        <w:rPr>
          <w:rFonts w:asciiTheme="minorEastAsia" w:hAnsiTheme="minorEastAsia" w:eastAsiaTheme="minorEastAsia"/>
          <w:color w:val="auto"/>
          <w:highlight w:val="none"/>
        </w:rPr>
        <w:t>处理，并提请行政监督管理部门依法予以处罚：</w:t>
      </w:r>
    </w:p>
    <w:p w14:paraId="05D740BA">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（1）不同供应商的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内容存在非正常一致的；</w:t>
      </w:r>
    </w:p>
    <w:p w14:paraId="2DDAD06D">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（2）不同供应商的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两处以上错漏一致的；</w:t>
      </w:r>
    </w:p>
    <w:p w14:paraId="3E7AA98F">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（3）不同供应商的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由同一企业或者同一个人编制的；</w:t>
      </w:r>
    </w:p>
    <w:p w14:paraId="02C7A320">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（4）不同供应商的</w:t>
      </w:r>
      <w:r>
        <w:rPr>
          <w:rFonts w:hint="eastAsia" w:asciiTheme="minorEastAsia" w:hAnsiTheme="minorEastAsia" w:eastAsiaTheme="minorEastAsia"/>
          <w:color w:val="auto"/>
          <w:highlight w:val="none"/>
        </w:rPr>
        <w:t>响应文件</w:t>
      </w:r>
      <w:r>
        <w:rPr>
          <w:rFonts w:asciiTheme="minorEastAsia" w:hAnsiTheme="minorEastAsia" w:eastAsiaTheme="minorEastAsia"/>
          <w:color w:val="auto"/>
          <w:highlight w:val="none"/>
        </w:rPr>
        <w:t>相互混装的；</w:t>
      </w:r>
    </w:p>
    <w:p w14:paraId="3FC9C3BD">
      <w:pPr>
        <w:spacing w:line="360" w:lineRule="auto"/>
        <w:ind w:firstLine="420" w:firstLineChars="200"/>
        <w:jc w:val="left"/>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t>（5）不同供应商委托同一人</w:t>
      </w:r>
      <w:r>
        <w:rPr>
          <w:rFonts w:hint="eastAsia" w:asciiTheme="minorEastAsia" w:hAnsiTheme="minorEastAsia" w:eastAsiaTheme="minorEastAsia"/>
          <w:color w:val="auto"/>
          <w:highlight w:val="none"/>
        </w:rPr>
        <w:t>谈判</w:t>
      </w:r>
      <w:r>
        <w:rPr>
          <w:rFonts w:asciiTheme="minorEastAsia" w:hAnsiTheme="minorEastAsia" w:eastAsiaTheme="minorEastAsia"/>
          <w:color w:val="auto"/>
          <w:highlight w:val="none"/>
        </w:rPr>
        <w:t>的；</w:t>
      </w:r>
    </w:p>
    <w:p w14:paraId="503AD2DB">
      <w:pPr>
        <w:spacing w:line="360" w:lineRule="auto"/>
        <w:ind w:firstLine="420" w:firstLineChars="200"/>
        <w:jc w:val="left"/>
        <w:rPr>
          <w:rFonts w:hint="eastAsia" w:asciiTheme="minorEastAsia" w:hAnsiTheme="minorEastAsia" w:eastAsiaTheme="minorEastAsia"/>
          <w:color w:val="auto"/>
          <w:szCs w:val="21"/>
          <w:highlight w:val="none"/>
        </w:rPr>
      </w:pP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6</w:t>
      </w:r>
      <w:r>
        <w:rPr>
          <w:rFonts w:asciiTheme="minorEastAsia" w:hAnsiTheme="minorEastAsia" w:eastAsiaTheme="minorEastAsia"/>
          <w:color w:val="auto"/>
          <w:highlight w:val="none"/>
        </w:rPr>
        <w:t>）</w:t>
      </w:r>
      <w:r>
        <w:rPr>
          <w:rFonts w:hint="eastAsia" w:asciiTheme="minorEastAsia" w:hAnsiTheme="minorEastAsia" w:eastAsiaTheme="minorEastAsia"/>
          <w:color w:val="auto"/>
          <w:highlight w:val="none"/>
        </w:rPr>
        <w:t>谈判小组</w:t>
      </w:r>
      <w:r>
        <w:rPr>
          <w:rFonts w:asciiTheme="minorEastAsia" w:hAnsiTheme="minorEastAsia" w:eastAsiaTheme="minorEastAsia"/>
          <w:color w:val="auto"/>
          <w:highlight w:val="none"/>
        </w:rPr>
        <w:t>认定的其他串通</w:t>
      </w:r>
      <w:r>
        <w:rPr>
          <w:rFonts w:hint="eastAsia" w:asciiTheme="minorEastAsia" w:hAnsiTheme="minorEastAsia" w:eastAsiaTheme="minorEastAsia"/>
          <w:color w:val="auto"/>
          <w:highlight w:val="none"/>
        </w:rPr>
        <w:t>投标的</w:t>
      </w:r>
      <w:r>
        <w:rPr>
          <w:rFonts w:asciiTheme="minorEastAsia" w:hAnsiTheme="minorEastAsia" w:eastAsiaTheme="minorEastAsia"/>
          <w:color w:val="auto"/>
          <w:highlight w:val="none"/>
        </w:rPr>
        <w:t>情形。</w:t>
      </w:r>
    </w:p>
    <w:sectPr>
      <w:headerReference r:id="rId15" w:type="first"/>
      <w:footerReference r:id="rId16" w:type="first"/>
      <w:pgSz w:w="11906" w:h="16838"/>
      <w:pgMar w:top="1157" w:right="1474" w:bottom="1157" w:left="1474" w:header="510"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 w:name="UPNQIO+ËÎÌå">
    <w:altName w:val="微软雅黑"/>
    <w:panose1 w:val="00000000000000000000"/>
    <w:charset w:val="01"/>
    <w:family w:val="auto"/>
    <w:pitch w:val="default"/>
    <w:sig w:usb0="00000000" w:usb1="0000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5737858"/>
    </w:sdtPr>
    <w:sdtContent>
      <w:p w14:paraId="58CD5266">
        <w:pPr>
          <w:pStyle w:val="33"/>
          <w:jc w:val="center"/>
        </w:pPr>
        <w:r>
          <w:fldChar w:fldCharType="begin"/>
        </w:r>
        <w:r>
          <w:instrText xml:space="preserve">PAGE   \* MERGEFORMAT</w:instrText>
        </w:r>
        <w:r>
          <w:fldChar w:fldCharType="separate"/>
        </w:r>
        <w:r>
          <w:rPr>
            <w:lang w:val="zh-CN"/>
          </w:rPr>
          <w:t>24</w:t>
        </w:r>
        <w:r>
          <w:fldChar w:fldCharType="end"/>
        </w:r>
      </w:p>
      <w:p w14:paraId="57DEEC5E">
        <w:pPr>
          <w:pStyle w:val="33"/>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C23F8">
    <w:pPr>
      <w:pStyle w:val="33"/>
      <w:framePr w:wrap="around" w:vAnchor="text" w:hAnchor="margin" w:xAlign="right" w:y="1"/>
      <w:rPr>
        <w:rStyle w:val="57"/>
      </w:rPr>
    </w:pPr>
    <w:r>
      <w:fldChar w:fldCharType="begin"/>
    </w:r>
    <w:r>
      <w:rPr>
        <w:rStyle w:val="57"/>
      </w:rPr>
      <w:instrText xml:space="preserve">PAGE  </w:instrText>
    </w:r>
    <w:r>
      <w:fldChar w:fldCharType="separate"/>
    </w:r>
    <w:r>
      <w:rPr>
        <w:rStyle w:val="57"/>
      </w:rPr>
      <w:t>1</w:t>
    </w:r>
    <w:r>
      <w:fldChar w:fldCharType="end"/>
    </w:r>
  </w:p>
  <w:p w14:paraId="6DACBBC1">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6690898"/>
    </w:sdtPr>
    <w:sdtContent>
      <w:p w14:paraId="0AA942EA">
        <w:pPr>
          <w:pStyle w:val="33"/>
          <w:jc w:val="center"/>
        </w:pPr>
        <w:r>
          <w:fldChar w:fldCharType="begin"/>
        </w:r>
        <w:r>
          <w:instrText xml:space="preserve">PAGE   \* MERGEFORMAT</w:instrText>
        </w:r>
        <w:r>
          <w:fldChar w:fldCharType="separate"/>
        </w:r>
        <w:r>
          <w:rPr>
            <w:lang w:val="zh-CN"/>
          </w:rPr>
          <w:t>2</w:t>
        </w:r>
        <w:r>
          <w:fldChar w:fldCharType="end"/>
        </w:r>
      </w:p>
    </w:sdtContent>
  </w:sdt>
  <w:p w14:paraId="7F090931">
    <w:pPr>
      <w:pStyle w:val="3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939829"/>
    </w:sdtPr>
    <w:sdtContent>
      <w:p w14:paraId="22F2CA55">
        <w:pPr>
          <w:pStyle w:val="33"/>
          <w:jc w:val="center"/>
        </w:pPr>
        <w:r>
          <w:fldChar w:fldCharType="begin"/>
        </w:r>
        <w:r>
          <w:instrText xml:space="preserve">PAGE   \* MERGEFORMAT</w:instrText>
        </w:r>
        <w:r>
          <w:fldChar w:fldCharType="separate"/>
        </w:r>
        <w:r>
          <w:rPr>
            <w:lang w:val="zh-CN"/>
          </w:rPr>
          <w:t>1</w:t>
        </w:r>
        <w:r>
          <w:fldChar w:fldCharType="end"/>
        </w:r>
      </w:p>
    </w:sdtContent>
  </w:sdt>
  <w:p w14:paraId="5748E10A">
    <w:pPr>
      <w:pStyle w:val="33"/>
    </w:pPr>
  </w:p>
  <w:p w14:paraId="21EE2562"/>
  <w:p w14:paraId="481CF7E5"/>
  <w:p w14:paraId="1A5ED7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4862613"/>
    </w:sdtPr>
    <w:sdtContent>
      <w:p w14:paraId="54B87FEA">
        <w:pPr>
          <w:pStyle w:val="33"/>
          <w:jc w:val="center"/>
        </w:pPr>
        <w:r>
          <w:fldChar w:fldCharType="begin"/>
        </w:r>
        <w:r>
          <w:instrText xml:space="preserve">PAGE   \* MERGEFORMAT</w:instrText>
        </w:r>
        <w:r>
          <w:fldChar w:fldCharType="separate"/>
        </w:r>
        <w:r>
          <w:rPr>
            <w:lang w:val="zh-CN"/>
          </w:rPr>
          <w:t>24</w:t>
        </w:r>
        <w:r>
          <w:fldChar w:fldCharType="end"/>
        </w:r>
      </w:p>
      <w:p w14:paraId="3015A7A4">
        <w:pPr>
          <w:pStyle w:val="33"/>
          <w:jc w:val="right"/>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341592"/>
    </w:sdtPr>
    <w:sdtContent>
      <w:p w14:paraId="3F86185D">
        <w:pPr>
          <w:pStyle w:val="33"/>
          <w:jc w:val="center"/>
        </w:pPr>
        <w:r>
          <w:fldChar w:fldCharType="begin"/>
        </w:r>
        <w:r>
          <w:instrText xml:space="preserve">PAGE   \* MERGEFORMAT</w:instrText>
        </w:r>
        <w:r>
          <w:fldChar w:fldCharType="separate"/>
        </w:r>
        <w:r>
          <w:rPr>
            <w:lang w:val="zh-CN"/>
          </w:rPr>
          <w:t>1</w:t>
        </w:r>
        <w:r>
          <w:fldChar w:fldCharType="end"/>
        </w:r>
      </w:p>
    </w:sdtContent>
  </w:sdt>
  <w:p w14:paraId="16618DB1">
    <w:pPr>
      <w:pStyle w:val="33"/>
    </w:pPr>
  </w:p>
  <w:p w14:paraId="378573FA"/>
  <w:p w14:paraId="15BF0BE6"/>
  <w:p w14:paraId="5D38345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3119853"/>
    </w:sdtPr>
    <w:sdtContent>
      <w:p w14:paraId="1D95AF9A">
        <w:pPr>
          <w:pStyle w:val="33"/>
          <w:jc w:val="center"/>
        </w:pPr>
        <w:r>
          <w:fldChar w:fldCharType="begin"/>
        </w:r>
        <w:r>
          <w:instrText xml:space="preserve">PAGE   \* MERGEFORMAT</w:instrText>
        </w:r>
        <w:r>
          <w:fldChar w:fldCharType="separate"/>
        </w:r>
        <w:r>
          <w:rPr>
            <w:lang w:val="zh-CN"/>
          </w:rPr>
          <w:t>1</w:t>
        </w:r>
        <w:r>
          <w:fldChar w:fldCharType="end"/>
        </w:r>
      </w:p>
    </w:sdtContent>
  </w:sdt>
  <w:p w14:paraId="127E5614">
    <w:pPr>
      <w:pStyle w:val="33"/>
    </w:pPr>
  </w:p>
  <w:p w14:paraId="13B8FA69"/>
  <w:p w14:paraId="3A6B4A03"/>
  <w:p w14:paraId="410333F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3439997"/>
    </w:sdtPr>
    <w:sdtContent>
      <w:p w14:paraId="74DC8854">
        <w:pPr>
          <w:pStyle w:val="33"/>
          <w:jc w:val="center"/>
        </w:pPr>
        <w:r>
          <w:fldChar w:fldCharType="begin"/>
        </w:r>
        <w:r>
          <w:instrText xml:space="preserve">PAGE   \* MERGEFORMAT</w:instrText>
        </w:r>
        <w:r>
          <w:fldChar w:fldCharType="separate"/>
        </w:r>
        <w:r>
          <w:rPr>
            <w:lang w:val="zh-CN"/>
          </w:rPr>
          <w:t>1</w:t>
        </w:r>
        <w:r>
          <w:fldChar w:fldCharType="end"/>
        </w:r>
      </w:p>
    </w:sdtContent>
  </w:sdt>
  <w:p w14:paraId="4B66EE75">
    <w:pPr>
      <w:pStyle w:val="33"/>
    </w:pPr>
  </w:p>
  <w:p w14:paraId="46D6E6BB"/>
  <w:p w14:paraId="3D5E60CF"/>
  <w:p w14:paraId="68B4CCF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025A">
    <w:pPr>
      <w:pStyle w:val="44"/>
      <w:keepNext w:val="0"/>
      <w:keepLines w:val="0"/>
      <w:pageBreakBefore w:val="0"/>
      <w:widowControl w:val="0"/>
      <w:pBdr>
        <w:bottom w:val="single" w:color="auto" w:sz="4" w:space="0"/>
      </w:pBdr>
      <w:kinsoku/>
      <w:wordWrap/>
      <w:overflowPunct/>
      <w:topLinePunct w:val="0"/>
      <w:bidi w:val="0"/>
      <w:adjustRightInd/>
      <w:snapToGrid/>
      <w:spacing w:line="240" w:lineRule="auto"/>
      <w:ind w:left="0" w:leftChars="0" w:firstLine="0" w:firstLineChars="0"/>
      <w:jc w:val="left"/>
      <w:textAlignment w:val="auto"/>
      <w:rPr>
        <w:rFonts w:hint="eastAsia" w:ascii="宋体" w:hAnsi="宋体" w:cs="宋体"/>
      </w:rPr>
    </w:pPr>
    <w:r>
      <w:rPr>
        <w:rFonts w:hint="eastAsia" w:ascii="宋体" w:hAnsi="宋体" w:eastAsia="宋体" w:cs="宋体"/>
        <w:sz w:val="21"/>
        <w:szCs w:val="21"/>
        <w:lang w:val="en-US" w:eastAsia="zh-CN"/>
      </w:rPr>
      <w:t>宜良县中医医院保安、保洁服务项目采购                                  竞争性谈判文件</w:t>
    </w:r>
    <w:r>
      <w:rPr>
        <w:rFonts w:hint="eastAsia" w:ascii="宋体" w:hAnsi="宋体" w:eastAsia="宋体" w:cs="宋体"/>
        <w:sz w:val="21"/>
        <w:szCs w:val="21"/>
      </w:rPr>
      <w:t xml:space="preserve"> </w:t>
    </w:r>
    <w:r>
      <w:rPr>
        <w:rFonts w:hint="eastAsia" w:ascii="宋体" w:hAnsi="宋体" w:cs="宋体"/>
        <w:sz w:val="24"/>
        <w:szCs w:val="24"/>
      </w:rPr>
      <w:t xml:space="preserve">                            </w:t>
    </w: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13B4E">
    <w:pPr>
      <w:pStyle w:val="34"/>
      <w:framePr w:wrap="around" w:vAnchor="text" w:hAnchor="margin" w:xAlign="right" w:y="1"/>
      <w:rPr>
        <w:rStyle w:val="57"/>
      </w:rPr>
    </w:pPr>
    <w:r>
      <w:fldChar w:fldCharType="begin"/>
    </w:r>
    <w:r>
      <w:rPr>
        <w:rStyle w:val="57"/>
      </w:rPr>
      <w:instrText xml:space="preserve">PAGE  </w:instrText>
    </w:r>
    <w:r>
      <w:fldChar w:fldCharType="separate"/>
    </w:r>
    <w:r>
      <w:rPr>
        <w:rStyle w:val="57"/>
      </w:rPr>
      <w:t>5</w:t>
    </w:r>
    <w:r>
      <w:fldChar w:fldCharType="end"/>
    </w:r>
  </w:p>
  <w:p w14:paraId="1C3CEC4A">
    <w:pPr>
      <w:pStyle w:val="3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CD3D6">
    <w:pPr>
      <w:pStyle w:val="34"/>
      <w:tabs>
        <w:tab w:val="right" w:pos="9638"/>
      </w:tabs>
      <w:jc w:val="left"/>
    </w:pPr>
    <w:r>
      <w:rPr>
        <w:rFonts w:hint="eastAsia"/>
      </w:rPr>
      <w:t xml:space="preserve">                    </w:t>
    </w:r>
    <w:r>
      <w:t xml:space="preserve">          </w:t>
    </w:r>
    <w:r>
      <w:rPr>
        <w:rFonts w:hint="eastAsia"/>
      </w:rPr>
      <w:t>竞争性谈判文</w:t>
    </w:r>
  </w:p>
  <w:p w14:paraId="349792BC"/>
  <w:p w14:paraId="35E5068C"/>
  <w:p w14:paraId="2E38F0F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6C0EA">
    <w:pPr>
      <w:pStyle w:val="34"/>
      <w:tabs>
        <w:tab w:val="right" w:pos="9638"/>
      </w:tabs>
      <w:jc w:val="left"/>
    </w:pPr>
    <w:r>
      <w:rPr>
        <w:rFonts w:hint="eastAsia"/>
      </w:rPr>
      <w:t xml:space="preserve">                    </w:t>
    </w:r>
    <w:r>
      <w:t xml:space="preserve">          </w:t>
    </w:r>
    <w:r>
      <w:rPr>
        <w:rFonts w:hint="eastAsia"/>
      </w:rPr>
      <w:t>竞争性谈判文</w:t>
    </w:r>
  </w:p>
  <w:p w14:paraId="6603A167"/>
  <w:p w14:paraId="3453E8CD"/>
  <w:p w14:paraId="1216C80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28A10">
    <w:pPr>
      <w:pStyle w:val="34"/>
      <w:tabs>
        <w:tab w:val="right" w:pos="9638"/>
      </w:tabs>
      <w:jc w:val="left"/>
    </w:pPr>
    <w:r>
      <w:rPr>
        <w:rFonts w:hint="eastAsia"/>
      </w:rPr>
      <w:t xml:space="preserve">                    </w:t>
    </w:r>
    <w:r>
      <w:t xml:space="preserve">          </w:t>
    </w:r>
    <w:r>
      <w:rPr>
        <w:rFonts w:hint="eastAsia"/>
      </w:rPr>
      <w:t>竞争性谈判文</w:t>
    </w:r>
  </w:p>
  <w:p w14:paraId="54D789BD"/>
  <w:p w14:paraId="6BCBF04C"/>
  <w:p w14:paraId="09CE8F3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DA670">
    <w:pPr>
      <w:pStyle w:val="34"/>
      <w:tabs>
        <w:tab w:val="right" w:pos="9638"/>
      </w:tabs>
      <w:jc w:val="left"/>
    </w:pPr>
    <w:r>
      <w:rPr>
        <w:rFonts w:hint="eastAsia"/>
      </w:rPr>
      <w:t xml:space="preserve">                    </w:t>
    </w:r>
    <w:r>
      <w:t xml:space="preserve">          </w:t>
    </w:r>
    <w:r>
      <w:rPr>
        <w:rFonts w:hint="eastAsia"/>
      </w:rPr>
      <w:t>竞争性谈判文</w:t>
    </w:r>
  </w:p>
  <w:p w14:paraId="0936F40D"/>
  <w:p w14:paraId="1C3D56A4"/>
  <w:p w14:paraId="783182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D8663"/>
    <w:multiLevelType w:val="singleLevel"/>
    <w:tmpl w:val="20BD8663"/>
    <w:lvl w:ilvl="0" w:tentative="0">
      <w:start w:val="2"/>
      <w:numFmt w:val="chineseCounting"/>
      <w:suff w:val="space"/>
      <w:lvlText w:val="第%1条"/>
      <w:lvlJc w:val="left"/>
      <w:rPr>
        <w:rFonts w:hint="eastAsia"/>
      </w:rPr>
    </w:lvl>
  </w:abstractNum>
  <w:abstractNum w:abstractNumId="1">
    <w:nsid w:val="5F7F52D8"/>
    <w:multiLevelType w:val="multilevel"/>
    <w:tmpl w:val="5F7F52D8"/>
    <w:lvl w:ilvl="0" w:tentative="0">
      <w:start w:val="1"/>
      <w:numFmt w:val="decimal"/>
      <w:lvlText w:val="（%1）"/>
      <w:lvlJc w:val="left"/>
      <w:pPr>
        <w:tabs>
          <w:tab w:val="left" w:pos="1252"/>
        </w:tabs>
        <w:ind w:left="1252" w:hanging="720"/>
      </w:pPr>
      <w:rPr>
        <w:rFonts w:hint="eastAsia"/>
      </w:rPr>
    </w:lvl>
    <w:lvl w:ilvl="1" w:tentative="0">
      <w:start w:val="1"/>
      <w:numFmt w:val="decimal"/>
      <w:lvlText w:val="（%2）"/>
      <w:lvlJc w:val="left"/>
      <w:pPr>
        <w:tabs>
          <w:tab w:val="left" w:pos="1672"/>
        </w:tabs>
        <w:ind w:left="1672" w:hanging="720"/>
      </w:pPr>
      <w:rPr>
        <w:rFonts w:hint="default"/>
      </w:rPr>
    </w:lvl>
    <w:lvl w:ilvl="2" w:tentative="0">
      <w:start w:val="4"/>
      <w:numFmt w:val="decimal"/>
      <w:lvlText w:val="(%3)"/>
      <w:lvlJc w:val="left"/>
      <w:pPr>
        <w:tabs>
          <w:tab w:val="left" w:pos="1732"/>
        </w:tabs>
        <w:ind w:left="1732" w:hanging="360"/>
      </w:pPr>
      <w:rPr>
        <w:rFonts w:hint="default"/>
      </w:rPr>
    </w:lvl>
    <w:lvl w:ilvl="3" w:tentative="0">
      <w:start w:val="1"/>
      <w:numFmt w:val="decimal"/>
      <w:lvlText w:val="%4."/>
      <w:lvlJc w:val="left"/>
      <w:pPr>
        <w:tabs>
          <w:tab w:val="left" w:pos="2212"/>
        </w:tabs>
        <w:ind w:left="2212" w:hanging="420"/>
      </w:pPr>
    </w:lvl>
    <w:lvl w:ilvl="4" w:tentative="0">
      <w:start w:val="1"/>
      <w:numFmt w:val="lowerLetter"/>
      <w:lvlText w:val="%5)"/>
      <w:lvlJc w:val="left"/>
      <w:pPr>
        <w:tabs>
          <w:tab w:val="left" w:pos="2632"/>
        </w:tabs>
        <w:ind w:left="2632" w:hanging="420"/>
      </w:pPr>
    </w:lvl>
    <w:lvl w:ilvl="5" w:tentative="0">
      <w:start w:val="1"/>
      <w:numFmt w:val="lowerRoman"/>
      <w:pStyle w:val="9"/>
      <w:lvlText w:val="%6."/>
      <w:lvlJc w:val="right"/>
      <w:pPr>
        <w:tabs>
          <w:tab w:val="left" w:pos="3052"/>
        </w:tabs>
        <w:ind w:left="3052" w:hanging="420"/>
      </w:pPr>
    </w:lvl>
    <w:lvl w:ilvl="6" w:tentative="0">
      <w:start w:val="1"/>
      <w:numFmt w:val="decimal"/>
      <w:lvlText w:val="%7."/>
      <w:lvlJc w:val="left"/>
      <w:pPr>
        <w:tabs>
          <w:tab w:val="left" w:pos="3472"/>
        </w:tabs>
        <w:ind w:left="3472" w:hanging="420"/>
      </w:pPr>
    </w:lvl>
    <w:lvl w:ilvl="7" w:tentative="0">
      <w:start w:val="1"/>
      <w:numFmt w:val="lowerLetter"/>
      <w:lvlText w:val="%8)"/>
      <w:lvlJc w:val="left"/>
      <w:pPr>
        <w:tabs>
          <w:tab w:val="left" w:pos="3892"/>
        </w:tabs>
        <w:ind w:left="3892" w:hanging="420"/>
      </w:pPr>
    </w:lvl>
    <w:lvl w:ilvl="8" w:tentative="0">
      <w:start w:val="1"/>
      <w:numFmt w:val="lowerRoman"/>
      <w:lvlText w:val="%9."/>
      <w:lvlJc w:val="right"/>
      <w:pPr>
        <w:tabs>
          <w:tab w:val="left" w:pos="4312"/>
        </w:tabs>
        <w:ind w:left="43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NmFlMWM0NGIyN2E0YzkzNDE0MmNiODM4NDE1MjgifQ=="/>
  </w:docVars>
  <w:rsids>
    <w:rsidRoot w:val="00172A27"/>
    <w:rsid w:val="000009E3"/>
    <w:rsid w:val="00000F1F"/>
    <w:rsid w:val="00001097"/>
    <w:rsid w:val="000013C9"/>
    <w:rsid w:val="00001776"/>
    <w:rsid w:val="00001BDA"/>
    <w:rsid w:val="00001C52"/>
    <w:rsid w:val="00001E10"/>
    <w:rsid w:val="000024C2"/>
    <w:rsid w:val="00002712"/>
    <w:rsid w:val="00002DA2"/>
    <w:rsid w:val="0000372C"/>
    <w:rsid w:val="00003B16"/>
    <w:rsid w:val="00004137"/>
    <w:rsid w:val="00004FB7"/>
    <w:rsid w:val="000050D0"/>
    <w:rsid w:val="00005A47"/>
    <w:rsid w:val="00005CE3"/>
    <w:rsid w:val="00006216"/>
    <w:rsid w:val="000068DF"/>
    <w:rsid w:val="00007227"/>
    <w:rsid w:val="0000722C"/>
    <w:rsid w:val="000073DE"/>
    <w:rsid w:val="00010B6D"/>
    <w:rsid w:val="0001125C"/>
    <w:rsid w:val="0001182D"/>
    <w:rsid w:val="00011A49"/>
    <w:rsid w:val="00012432"/>
    <w:rsid w:val="00012F7D"/>
    <w:rsid w:val="00013B08"/>
    <w:rsid w:val="00014134"/>
    <w:rsid w:val="00014325"/>
    <w:rsid w:val="0001480F"/>
    <w:rsid w:val="000148B8"/>
    <w:rsid w:val="00015754"/>
    <w:rsid w:val="00015952"/>
    <w:rsid w:val="00016217"/>
    <w:rsid w:val="000162C1"/>
    <w:rsid w:val="000163C5"/>
    <w:rsid w:val="0001668B"/>
    <w:rsid w:val="00017D8E"/>
    <w:rsid w:val="00020F93"/>
    <w:rsid w:val="00021A04"/>
    <w:rsid w:val="00021C8F"/>
    <w:rsid w:val="00021EB3"/>
    <w:rsid w:val="00022267"/>
    <w:rsid w:val="00023396"/>
    <w:rsid w:val="00024596"/>
    <w:rsid w:val="00024AF0"/>
    <w:rsid w:val="000255E2"/>
    <w:rsid w:val="0002743D"/>
    <w:rsid w:val="00027888"/>
    <w:rsid w:val="00027B7C"/>
    <w:rsid w:val="000312D6"/>
    <w:rsid w:val="000315CC"/>
    <w:rsid w:val="0003181B"/>
    <w:rsid w:val="0003195A"/>
    <w:rsid w:val="00031B31"/>
    <w:rsid w:val="00031E69"/>
    <w:rsid w:val="000324BE"/>
    <w:rsid w:val="00032551"/>
    <w:rsid w:val="000326C5"/>
    <w:rsid w:val="000327A4"/>
    <w:rsid w:val="00032F1F"/>
    <w:rsid w:val="00032F48"/>
    <w:rsid w:val="00032FD7"/>
    <w:rsid w:val="000335F8"/>
    <w:rsid w:val="00033778"/>
    <w:rsid w:val="000338FF"/>
    <w:rsid w:val="00033DB0"/>
    <w:rsid w:val="00033E2E"/>
    <w:rsid w:val="00034193"/>
    <w:rsid w:val="000342EC"/>
    <w:rsid w:val="0003430B"/>
    <w:rsid w:val="00034993"/>
    <w:rsid w:val="000350C6"/>
    <w:rsid w:val="00035B03"/>
    <w:rsid w:val="000366AD"/>
    <w:rsid w:val="00037B5F"/>
    <w:rsid w:val="00037E86"/>
    <w:rsid w:val="00037F01"/>
    <w:rsid w:val="00040029"/>
    <w:rsid w:val="000409F0"/>
    <w:rsid w:val="000410EC"/>
    <w:rsid w:val="00041BD7"/>
    <w:rsid w:val="00042033"/>
    <w:rsid w:val="000422EA"/>
    <w:rsid w:val="00042BFA"/>
    <w:rsid w:val="00043192"/>
    <w:rsid w:val="000439E0"/>
    <w:rsid w:val="00043A98"/>
    <w:rsid w:val="00043DF0"/>
    <w:rsid w:val="000443FF"/>
    <w:rsid w:val="00044454"/>
    <w:rsid w:val="0004451E"/>
    <w:rsid w:val="00044D5E"/>
    <w:rsid w:val="00044D95"/>
    <w:rsid w:val="00044E14"/>
    <w:rsid w:val="000456E2"/>
    <w:rsid w:val="000458BE"/>
    <w:rsid w:val="000459E1"/>
    <w:rsid w:val="00046183"/>
    <w:rsid w:val="000465D0"/>
    <w:rsid w:val="00046ACA"/>
    <w:rsid w:val="00046B9F"/>
    <w:rsid w:val="00046CF8"/>
    <w:rsid w:val="00047050"/>
    <w:rsid w:val="00047662"/>
    <w:rsid w:val="00047A01"/>
    <w:rsid w:val="00047CE9"/>
    <w:rsid w:val="00047CF2"/>
    <w:rsid w:val="00047EC1"/>
    <w:rsid w:val="00047F10"/>
    <w:rsid w:val="00050075"/>
    <w:rsid w:val="000500A5"/>
    <w:rsid w:val="0005105C"/>
    <w:rsid w:val="00051632"/>
    <w:rsid w:val="0005165C"/>
    <w:rsid w:val="00052174"/>
    <w:rsid w:val="00052D5C"/>
    <w:rsid w:val="00053E3A"/>
    <w:rsid w:val="0005465A"/>
    <w:rsid w:val="00054ED6"/>
    <w:rsid w:val="00054FB6"/>
    <w:rsid w:val="00055611"/>
    <w:rsid w:val="00055B7F"/>
    <w:rsid w:val="00056142"/>
    <w:rsid w:val="000561C5"/>
    <w:rsid w:val="0005620E"/>
    <w:rsid w:val="000569A3"/>
    <w:rsid w:val="00057159"/>
    <w:rsid w:val="0005771E"/>
    <w:rsid w:val="00057851"/>
    <w:rsid w:val="00057E67"/>
    <w:rsid w:val="000608EC"/>
    <w:rsid w:val="00060998"/>
    <w:rsid w:val="00060ACE"/>
    <w:rsid w:val="000612E0"/>
    <w:rsid w:val="0006205D"/>
    <w:rsid w:val="000626F2"/>
    <w:rsid w:val="00062D92"/>
    <w:rsid w:val="00063227"/>
    <w:rsid w:val="0006369D"/>
    <w:rsid w:val="00063B01"/>
    <w:rsid w:val="0006569F"/>
    <w:rsid w:val="00065D68"/>
    <w:rsid w:val="00066878"/>
    <w:rsid w:val="00066996"/>
    <w:rsid w:val="00066C5B"/>
    <w:rsid w:val="000674A0"/>
    <w:rsid w:val="00067E06"/>
    <w:rsid w:val="00067F32"/>
    <w:rsid w:val="000702D3"/>
    <w:rsid w:val="00070804"/>
    <w:rsid w:val="00071389"/>
    <w:rsid w:val="000724D8"/>
    <w:rsid w:val="0007259C"/>
    <w:rsid w:val="000726A0"/>
    <w:rsid w:val="000727D3"/>
    <w:rsid w:val="00072B79"/>
    <w:rsid w:val="00073AA7"/>
    <w:rsid w:val="00073C2B"/>
    <w:rsid w:val="00074A3F"/>
    <w:rsid w:val="00074E4C"/>
    <w:rsid w:val="0007531B"/>
    <w:rsid w:val="000760BA"/>
    <w:rsid w:val="000760D3"/>
    <w:rsid w:val="00076BD2"/>
    <w:rsid w:val="00076BF5"/>
    <w:rsid w:val="00077313"/>
    <w:rsid w:val="00077394"/>
    <w:rsid w:val="00077C48"/>
    <w:rsid w:val="000807E9"/>
    <w:rsid w:val="00080E0A"/>
    <w:rsid w:val="000815F3"/>
    <w:rsid w:val="00081C95"/>
    <w:rsid w:val="00081EEA"/>
    <w:rsid w:val="00082D88"/>
    <w:rsid w:val="00082E2A"/>
    <w:rsid w:val="00083562"/>
    <w:rsid w:val="00084C9E"/>
    <w:rsid w:val="00085403"/>
    <w:rsid w:val="00085585"/>
    <w:rsid w:val="00085E29"/>
    <w:rsid w:val="00085E52"/>
    <w:rsid w:val="00086121"/>
    <w:rsid w:val="00086177"/>
    <w:rsid w:val="000864A7"/>
    <w:rsid w:val="000869DE"/>
    <w:rsid w:val="00086F31"/>
    <w:rsid w:val="00090E22"/>
    <w:rsid w:val="0009101D"/>
    <w:rsid w:val="00091FD9"/>
    <w:rsid w:val="0009215D"/>
    <w:rsid w:val="0009219A"/>
    <w:rsid w:val="00092DF3"/>
    <w:rsid w:val="00093BA7"/>
    <w:rsid w:val="0009438B"/>
    <w:rsid w:val="0009494B"/>
    <w:rsid w:val="00094AEF"/>
    <w:rsid w:val="00094E9C"/>
    <w:rsid w:val="00095230"/>
    <w:rsid w:val="00095447"/>
    <w:rsid w:val="00095459"/>
    <w:rsid w:val="00095626"/>
    <w:rsid w:val="00095E46"/>
    <w:rsid w:val="0009611A"/>
    <w:rsid w:val="00097166"/>
    <w:rsid w:val="000975E8"/>
    <w:rsid w:val="00097DAE"/>
    <w:rsid w:val="000A01EE"/>
    <w:rsid w:val="000A084D"/>
    <w:rsid w:val="000A0EA6"/>
    <w:rsid w:val="000A1448"/>
    <w:rsid w:val="000A17C3"/>
    <w:rsid w:val="000A2DC3"/>
    <w:rsid w:val="000A2F7D"/>
    <w:rsid w:val="000A32FE"/>
    <w:rsid w:val="000A3518"/>
    <w:rsid w:val="000A392D"/>
    <w:rsid w:val="000A3A89"/>
    <w:rsid w:val="000A50B6"/>
    <w:rsid w:val="000A5BE6"/>
    <w:rsid w:val="000A624A"/>
    <w:rsid w:val="000A646A"/>
    <w:rsid w:val="000A64B6"/>
    <w:rsid w:val="000A6836"/>
    <w:rsid w:val="000A68AF"/>
    <w:rsid w:val="000A6AFB"/>
    <w:rsid w:val="000A6D4F"/>
    <w:rsid w:val="000A728F"/>
    <w:rsid w:val="000A76A0"/>
    <w:rsid w:val="000A7729"/>
    <w:rsid w:val="000B0842"/>
    <w:rsid w:val="000B17F0"/>
    <w:rsid w:val="000B1A84"/>
    <w:rsid w:val="000B1BD6"/>
    <w:rsid w:val="000B1FBB"/>
    <w:rsid w:val="000B2176"/>
    <w:rsid w:val="000B2DBB"/>
    <w:rsid w:val="000B3019"/>
    <w:rsid w:val="000B3547"/>
    <w:rsid w:val="000B3917"/>
    <w:rsid w:val="000B3C52"/>
    <w:rsid w:val="000B49F7"/>
    <w:rsid w:val="000B57B3"/>
    <w:rsid w:val="000B5D85"/>
    <w:rsid w:val="000B60DE"/>
    <w:rsid w:val="000B6466"/>
    <w:rsid w:val="000B65C8"/>
    <w:rsid w:val="000B6BFA"/>
    <w:rsid w:val="000B6FAA"/>
    <w:rsid w:val="000B709E"/>
    <w:rsid w:val="000B7313"/>
    <w:rsid w:val="000B7385"/>
    <w:rsid w:val="000B7995"/>
    <w:rsid w:val="000B7C06"/>
    <w:rsid w:val="000C0638"/>
    <w:rsid w:val="000C08A8"/>
    <w:rsid w:val="000C1251"/>
    <w:rsid w:val="000C1446"/>
    <w:rsid w:val="000C1544"/>
    <w:rsid w:val="000C2495"/>
    <w:rsid w:val="000C24B5"/>
    <w:rsid w:val="000C2913"/>
    <w:rsid w:val="000C36BE"/>
    <w:rsid w:val="000C3CD6"/>
    <w:rsid w:val="000C435B"/>
    <w:rsid w:val="000C47EF"/>
    <w:rsid w:val="000C489A"/>
    <w:rsid w:val="000C4B8A"/>
    <w:rsid w:val="000C588C"/>
    <w:rsid w:val="000C72FE"/>
    <w:rsid w:val="000C78EB"/>
    <w:rsid w:val="000C799E"/>
    <w:rsid w:val="000D0732"/>
    <w:rsid w:val="000D0CCC"/>
    <w:rsid w:val="000D10BF"/>
    <w:rsid w:val="000D12D1"/>
    <w:rsid w:val="000D135A"/>
    <w:rsid w:val="000D157A"/>
    <w:rsid w:val="000D22A0"/>
    <w:rsid w:val="000D27EE"/>
    <w:rsid w:val="000D2BA8"/>
    <w:rsid w:val="000D2EA7"/>
    <w:rsid w:val="000D2FDE"/>
    <w:rsid w:val="000D33FE"/>
    <w:rsid w:val="000D3F97"/>
    <w:rsid w:val="000D4ACA"/>
    <w:rsid w:val="000D4EA7"/>
    <w:rsid w:val="000D5068"/>
    <w:rsid w:val="000D53C3"/>
    <w:rsid w:val="000D5463"/>
    <w:rsid w:val="000D5B01"/>
    <w:rsid w:val="000D74C9"/>
    <w:rsid w:val="000D75CE"/>
    <w:rsid w:val="000D792B"/>
    <w:rsid w:val="000E11E6"/>
    <w:rsid w:val="000E126F"/>
    <w:rsid w:val="000E1F83"/>
    <w:rsid w:val="000E2FE8"/>
    <w:rsid w:val="000E2FEB"/>
    <w:rsid w:val="000E37FC"/>
    <w:rsid w:val="000E3DD8"/>
    <w:rsid w:val="000E42D6"/>
    <w:rsid w:val="000E45C6"/>
    <w:rsid w:val="000E5159"/>
    <w:rsid w:val="000E5334"/>
    <w:rsid w:val="000E54AA"/>
    <w:rsid w:val="000E54FC"/>
    <w:rsid w:val="000E5532"/>
    <w:rsid w:val="000E6C86"/>
    <w:rsid w:val="000E6E6A"/>
    <w:rsid w:val="000E70E4"/>
    <w:rsid w:val="000E7FCD"/>
    <w:rsid w:val="000F0A04"/>
    <w:rsid w:val="000F0E21"/>
    <w:rsid w:val="000F1049"/>
    <w:rsid w:val="000F1475"/>
    <w:rsid w:val="000F15AA"/>
    <w:rsid w:val="000F1B66"/>
    <w:rsid w:val="000F217B"/>
    <w:rsid w:val="000F2510"/>
    <w:rsid w:val="000F2922"/>
    <w:rsid w:val="000F343B"/>
    <w:rsid w:val="000F3CBC"/>
    <w:rsid w:val="000F3E46"/>
    <w:rsid w:val="000F3F3A"/>
    <w:rsid w:val="000F436D"/>
    <w:rsid w:val="000F4F9F"/>
    <w:rsid w:val="000F5043"/>
    <w:rsid w:val="000F566E"/>
    <w:rsid w:val="000F63BE"/>
    <w:rsid w:val="000F6F86"/>
    <w:rsid w:val="000F70B2"/>
    <w:rsid w:val="001005B6"/>
    <w:rsid w:val="0010087D"/>
    <w:rsid w:val="00100C63"/>
    <w:rsid w:val="001018AA"/>
    <w:rsid w:val="0010270C"/>
    <w:rsid w:val="00102F86"/>
    <w:rsid w:val="00103272"/>
    <w:rsid w:val="00103EB7"/>
    <w:rsid w:val="00103FCF"/>
    <w:rsid w:val="001049F7"/>
    <w:rsid w:val="00105359"/>
    <w:rsid w:val="001054B3"/>
    <w:rsid w:val="0010595A"/>
    <w:rsid w:val="00105C73"/>
    <w:rsid w:val="00106039"/>
    <w:rsid w:val="0010658F"/>
    <w:rsid w:val="0010665A"/>
    <w:rsid w:val="0010678B"/>
    <w:rsid w:val="00106C7B"/>
    <w:rsid w:val="00106E22"/>
    <w:rsid w:val="00107356"/>
    <w:rsid w:val="001105C9"/>
    <w:rsid w:val="001109FD"/>
    <w:rsid w:val="00110CD6"/>
    <w:rsid w:val="0011131F"/>
    <w:rsid w:val="00111686"/>
    <w:rsid w:val="001116CF"/>
    <w:rsid w:val="00111AF1"/>
    <w:rsid w:val="00111D22"/>
    <w:rsid w:val="001121FB"/>
    <w:rsid w:val="001125C5"/>
    <w:rsid w:val="00112AEC"/>
    <w:rsid w:val="00112C2F"/>
    <w:rsid w:val="00113982"/>
    <w:rsid w:val="00113BB4"/>
    <w:rsid w:val="00113FDE"/>
    <w:rsid w:val="00114DBF"/>
    <w:rsid w:val="001159CA"/>
    <w:rsid w:val="00115EDF"/>
    <w:rsid w:val="00115FD2"/>
    <w:rsid w:val="00116383"/>
    <w:rsid w:val="00116D2C"/>
    <w:rsid w:val="00120340"/>
    <w:rsid w:val="00120D18"/>
    <w:rsid w:val="00120EA0"/>
    <w:rsid w:val="001219A8"/>
    <w:rsid w:val="00121BEE"/>
    <w:rsid w:val="00122A66"/>
    <w:rsid w:val="00122FBE"/>
    <w:rsid w:val="0012377F"/>
    <w:rsid w:val="00124B81"/>
    <w:rsid w:val="001251C6"/>
    <w:rsid w:val="00125931"/>
    <w:rsid w:val="00125B5F"/>
    <w:rsid w:val="001264FA"/>
    <w:rsid w:val="00130179"/>
    <w:rsid w:val="00130B02"/>
    <w:rsid w:val="001316C3"/>
    <w:rsid w:val="00131966"/>
    <w:rsid w:val="00131D73"/>
    <w:rsid w:val="00131DF0"/>
    <w:rsid w:val="001321C9"/>
    <w:rsid w:val="001326ED"/>
    <w:rsid w:val="00133361"/>
    <w:rsid w:val="0013362C"/>
    <w:rsid w:val="00133D93"/>
    <w:rsid w:val="0013428A"/>
    <w:rsid w:val="00134E96"/>
    <w:rsid w:val="00135AB5"/>
    <w:rsid w:val="00135E28"/>
    <w:rsid w:val="00136775"/>
    <w:rsid w:val="00136E3E"/>
    <w:rsid w:val="00136EB4"/>
    <w:rsid w:val="0013741B"/>
    <w:rsid w:val="00137CC8"/>
    <w:rsid w:val="00137CFF"/>
    <w:rsid w:val="00137ED7"/>
    <w:rsid w:val="0014190E"/>
    <w:rsid w:val="00142421"/>
    <w:rsid w:val="001426DC"/>
    <w:rsid w:val="001426F0"/>
    <w:rsid w:val="001428A7"/>
    <w:rsid w:val="00142B4E"/>
    <w:rsid w:val="00142E0D"/>
    <w:rsid w:val="0014359C"/>
    <w:rsid w:val="00144529"/>
    <w:rsid w:val="00144719"/>
    <w:rsid w:val="0014500B"/>
    <w:rsid w:val="00145157"/>
    <w:rsid w:val="001453C7"/>
    <w:rsid w:val="00146463"/>
    <w:rsid w:val="001464A1"/>
    <w:rsid w:val="00146A03"/>
    <w:rsid w:val="001471E8"/>
    <w:rsid w:val="001474CB"/>
    <w:rsid w:val="00147571"/>
    <w:rsid w:val="00147772"/>
    <w:rsid w:val="001478F5"/>
    <w:rsid w:val="00147976"/>
    <w:rsid w:val="00147CE8"/>
    <w:rsid w:val="00147F7C"/>
    <w:rsid w:val="00150A48"/>
    <w:rsid w:val="0015224C"/>
    <w:rsid w:val="00153BA9"/>
    <w:rsid w:val="001542B6"/>
    <w:rsid w:val="00154565"/>
    <w:rsid w:val="001547F2"/>
    <w:rsid w:val="001555F2"/>
    <w:rsid w:val="001557F0"/>
    <w:rsid w:val="00155896"/>
    <w:rsid w:val="001559F6"/>
    <w:rsid w:val="001559FB"/>
    <w:rsid w:val="00155C09"/>
    <w:rsid w:val="00156418"/>
    <w:rsid w:val="001567AE"/>
    <w:rsid w:val="00156C36"/>
    <w:rsid w:val="001572AC"/>
    <w:rsid w:val="00157D8C"/>
    <w:rsid w:val="00160100"/>
    <w:rsid w:val="001603E9"/>
    <w:rsid w:val="0016121F"/>
    <w:rsid w:val="0016136B"/>
    <w:rsid w:val="00161E5E"/>
    <w:rsid w:val="001620E2"/>
    <w:rsid w:val="00162EEF"/>
    <w:rsid w:val="00163C86"/>
    <w:rsid w:val="00164605"/>
    <w:rsid w:val="00164A80"/>
    <w:rsid w:val="00165AA1"/>
    <w:rsid w:val="001661F2"/>
    <w:rsid w:val="00166496"/>
    <w:rsid w:val="001665D3"/>
    <w:rsid w:val="00166E96"/>
    <w:rsid w:val="00166F64"/>
    <w:rsid w:val="0017051E"/>
    <w:rsid w:val="00170999"/>
    <w:rsid w:val="00170E3E"/>
    <w:rsid w:val="00171275"/>
    <w:rsid w:val="0017206B"/>
    <w:rsid w:val="00172104"/>
    <w:rsid w:val="00172176"/>
    <w:rsid w:val="001721B7"/>
    <w:rsid w:val="001723C8"/>
    <w:rsid w:val="00172A27"/>
    <w:rsid w:val="00172BB5"/>
    <w:rsid w:val="00172E1D"/>
    <w:rsid w:val="001730EA"/>
    <w:rsid w:val="001736A9"/>
    <w:rsid w:val="00173F7C"/>
    <w:rsid w:val="00173FFB"/>
    <w:rsid w:val="0017491B"/>
    <w:rsid w:val="00174A55"/>
    <w:rsid w:val="00174AAA"/>
    <w:rsid w:val="001754D0"/>
    <w:rsid w:val="00175785"/>
    <w:rsid w:val="001758C9"/>
    <w:rsid w:val="00175AF3"/>
    <w:rsid w:val="00176154"/>
    <w:rsid w:val="00180F3D"/>
    <w:rsid w:val="001812B2"/>
    <w:rsid w:val="00181943"/>
    <w:rsid w:val="00181E60"/>
    <w:rsid w:val="001820FF"/>
    <w:rsid w:val="00182C11"/>
    <w:rsid w:val="00182C2B"/>
    <w:rsid w:val="00183093"/>
    <w:rsid w:val="001830E3"/>
    <w:rsid w:val="0018358C"/>
    <w:rsid w:val="0018361D"/>
    <w:rsid w:val="00183760"/>
    <w:rsid w:val="001842F1"/>
    <w:rsid w:val="00184581"/>
    <w:rsid w:val="001846D0"/>
    <w:rsid w:val="00184C4A"/>
    <w:rsid w:val="00184E04"/>
    <w:rsid w:val="00184F30"/>
    <w:rsid w:val="00185648"/>
    <w:rsid w:val="001861C3"/>
    <w:rsid w:val="0018627C"/>
    <w:rsid w:val="00186A9C"/>
    <w:rsid w:val="00186C2C"/>
    <w:rsid w:val="00186C65"/>
    <w:rsid w:val="00187884"/>
    <w:rsid w:val="00187E86"/>
    <w:rsid w:val="00187E95"/>
    <w:rsid w:val="00190144"/>
    <w:rsid w:val="00190427"/>
    <w:rsid w:val="00190789"/>
    <w:rsid w:val="00190C30"/>
    <w:rsid w:val="00192A9B"/>
    <w:rsid w:val="00192C4D"/>
    <w:rsid w:val="00192E12"/>
    <w:rsid w:val="00192EE4"/>
    <w:rsid w:val="00193179"/>
    <w:rsid w:val="001932D2"/>
    <w:rsid w:val="00193675"/>
    <w:rsid w:val="0019410C"/>
    <w:rsid w:val="001941D5"/>
    <w:rsid w:val="001952BB"/>
    <w:rsid w:val="00195827"/>
    <w:rsid w:val="00195A38"/>
    <w:rsid w:val="0019610C"/>
    <w:rsid w:val="00196673"/>
    <w:rsid w:val="001971B3"/>
    <w:rsid w:val="001977DD"/>
    <w:rsid w:val="00197D37"/>
    <w:rsid w:val="001A0149"/>
    <w:rsid w:val="001A0B22"/>
    <w:rsid w:val="001A0F28"/>
    <w:rsid w:val="001A1197"/>
    <w:rsid w:val="001A1547"/>
    <w:rsid w:val="001A1840"/>
    <w:rsid w:val="001A2258"/>
    <w:rsid w:val="001A349F"/>
    <w:rsid w:val="001A3AB0"/>
    <w:rsid w:val="001A4620"/>
    <w:rsid w:val="001A4712"/>
    <w:rsid w:val="001A5960"/>
    <w:rsid w:val="001A5DCA"/>
    <w:rsid w:val="001A6BB6"/>
    <w:rsid w:val="001A6C8A"/>
    <w:rsid w:val="001A7761"/>
    <w:rsid w:val="001A7FE7"/>
    <w:rsid w:val="001B11A0"/>
    <w:rsid w:val="001B1BFD"/>
    <w:rsid w:val="001B1C2E"/>
    <w:rsid w:val="001B1CF2"/>
    <w:rsid w:val="001B1ECA"/>
    <w:rsid w:val="001B2333"/>
    <w:rsid w:val="001B28AD"/>
    <w:rsid w:val="001B297F"/>
    <w:rsid w:val="001B2D60"/>
    <w:rsid w:val="001B2EA4"/>
    <w:rsid w:val="001B313F"/>
    <w:rsid w:val="001B31B9"/>
    <w:rsid w:val="001B47C1"/>
    <w:rsid w:val="001B4982"/>
    <w:rsid w:val="001B4DE7"/>
    <w:rsid w:val="001B4E5D"/>
    <w:rsid w:val="001B4F8B"/>
    <w:rsid w:val="001B602B"/>
    <w:rsid w:val="001B66DF"/>
    <w:rsid w:val="001B6C3A"/>
    <w:rsid w:val="001B6E6A"/>
    <w:rsid w:val="001B777E"/>
    <w:rsid w:val="001C0E77"/>
    <w:rsid w:val="001C156A"/>
    <w:rsid w:val="001C1868"/>
    <w:rsid w:val="001C18E8"/>
    <w:rsid w:val="001C202E"/>
    <w:rsid w:val="001C2F68"/>
    <w:rsid w:val="001C3126"/>
    <w:rsid w:val="001C4921"/>
    <w:rsid w:val="001C535C"/>
    <w:rsid w:val="001C5763"/>
    <w:rsid w:val="001C5954"/>
    <w:rsid w:val="001C5A3E"/>
    <w:rsid w:val="001C5D4E"/>
    <w:rsid w:val="001C678A"/>
    <w:rsid w:val="001C69C4"/>
    <w:rsid w:val="001C7459"/>
    <w:rsid w:val="001C769F"/>
    <w:rsid w:val="001C7DBD"/>
    <w:rsid w:val="001D0410"/>
    <w:rsid w:val="001D04A9"/>
    <w:rsid w:val="001D0AAE"/>
    <w:rsid w:val="001D0B56"/>
    <w:rsid w:val="001D0D09"/>
    <w:rsid w:val="001D0F67"/>
    <w:rsid w:val="001D137C"/>
    <w:rsid w:val="001D1D13"/>
    <w:rsid w:val="001D20E1"/>
    <w:rsid w:val="001D213C"/>
    <w:rsid w:val="001D27B2"/>
    <w:rsid w:val="001D3591"/>
    <w:rsid w:val="001D4844"/>
    <w:rsid w:val="001D519E"/>
    <w:rsid w:val="001D5FBE"/>
    <w:rsid w:val="001D60F7"/>
    <w:rsid w:val="001D627D"/>
    <w:rsid w:val="001D6581"/>
    <w:rsid w:val="001D7093"/>
    <w:rsid w:val="001D7A79"/>
    <w:rsid w:val="001D7D57"/>
    <w:rsid w:val="001E0353"/>
    <w:rsid w:val="001E0377"/>
    <w:rsid w:val="001E07AF"/>
    <w:rsid w:val="001E0AE4"/>
    <w:rsid w:val="001E0D98"/>
    <w:rsid w:val="001E0F8A"/>
    <w:rsid w:val="001E1CA2"/>
    <w:rsid w:val="001E2157"/>
    <w:rsid w:val="001E292F"/>
    <w:rsid w:val="001E36F1"/>
    <w:rsid w:val="001E39C5"/>
    <w:rsid w:val="001E3E95"/>
    <w:rsid w:val="001E4162"/>
    <w:rsid w:val="001E4602"/>
    <w:rsid w:val="001E49E0"/>
    <w:rsid w:val="001E5836"/>
    <w:rsid w:val="001E5D25"/>
    <w:rsid w:val="001E5EAA"/>
    <w:rsid w:val="001E6120"/>
    <w:rsid w:val="001E683A"/>
    <w:rsid w:val="001E6FF9"/>
    <w:rsid w:val="001E7524"/>
    <w:rsid w:val="001E7BF9"/>
    <w:rsid w:val="001E7CE9"/>
    <w:rsid w:val="001F0893"/>
    <w:rsid w:val="001F0DF4"/>
    <w:rsid w:val="001F14E6"/>
    <w:rsid w:val="001F174B"/>
    <w:rsid w:val="001F2A6E"/>
    <w:rsid w:val="001F2B03"/>
    <w:rsid w:val="001F2CE7"/>
    <w:rsid w:val="001F2D1E"/>
    <w:rsid w:val="001F3D4A"/>
    <w:rsid w:val="001F4398"/>
    <w:rsid w:val="001F55C1"/>
    <w:rsid w:val="001F5891"/>
    <w:rsid w:val="001F5AAC"/>
    <w:rsid w:val="001F6C35"/>
    <w:rsid w:val="001F6EC8"/>
    <w:rsid w:val="001F6ECD"/>
    <w:rsid w:val="001F743B"/>
    <w:rsid w:val="002002C0"/>
    <w:rsid w:val="00200EC7"/>
    <w:rsid w:val="00200F79"/>
    <w:rsid w:val="002012BB"/>
    <w:rsid w:val="00201757"/>
    <w:rsid w:val="00201DD5"/>
    <w:rsid w:val="0020386B"/>
    <w:rsid w:val="00204366"/>
    <w:rsid w:val="00204912"/>
    <w:rsid w:val="00205070"/>
    <w:rsid w:val="002058D4"/>
    <w:rsid w:val="00205BAD"/>
    <w:rsid w:val="00205C13"/>
    <w:rsid w:val="00205CD2"/>
    <w:rsid w:val="00206D0A"/>
    <w:rsid w:val="002078DF"/>
    <w:rsid w:val="00210C0D"/>
    <w:rsid w:val="00210FF3"/>
    <w:rsid w:val="0021173A"/>
    <w:rsid w:val="00211D59"/>
    <w:rsid w:val="0021207B"/>
    <w:rsid w:val="002121A4"/>
    <w:rsid w:val="00212800"/>
    <w:rsid w:val="00213022"/>
    <w:rsid w:val="002130AF"/>
    <w:rsid w:val="00213151"/>
    <w:rsid w:val="002134C9"/>
    <w:rsid w:val="00213570"/>
    <w:rsid w:val="00213784"/>
    <w:rsid w:val="00213FF4"/>
    <w:rsid w:val="0021452B"/>
    <w:rsid w:val="0021457F"/>
    <w:rsid w:val="002156F3"/>
    <w:rsid w:val="002157AA"/>
    <w:rsid w:val="002157D0"/>
    <w:rsid w:val="002158C8"/>
    <w:rsid w:val="00215AD2"/>
    <w:rsid w:val="0021627A"/>
    <w:rsid w:val="00217B36"/>
    <w:rsid w:val="00217DDD"/>
    <w:rsid w:val="002200B1"/>
    <w:rsid w:val="00221EDB"/>
    <w:rsid w:val="00222F9F"/>
    <w:rsid w:val="00223B13"/>
    <w:rsid w:val="002242D6"/>
    <w:rsid w:val="00224699"/>
    <w:rsid w:val="00224874"/>
    <w:rsid w:val="00224E3A"/>
    <w:rsid w:val="00225604"/>
    <w:rsid w:val="0022570A"/>
    <w:rsid w:val="00225804"/>
    <w:rsid w:val="00225BF8"/>
    <w:rsid w:val="0022638A"/>
    <w:rsid w:val="00226831"/>
    <w:rsid w:val="00226E27"/>
    <w:rsid w:val="00226F5C"/>
    <w:rsid w:val="002273DA"/>
    <w:rsid w:val="0022763B"/>
    <w:rsid w:val="00227C39"/>
    <w:rsid w:val="002305D4"/>
    <w:rsid w:val="002308D4"/>
    <w:rsid w:val="0023132E"/>
    <w:rsid w:val="0023165D"/>
    <w:rsid w:val="00231C49"/>
    <w:rsid w:val="00231DD8"/>
    <w:rsid w:val="00232097"/>
    <w:rsid w:val="00232886"/>
    <w:rsid w:val="00232901"/>
    <w:rsid w:val="00232F17"/>
    <w:rsid w:val="002330BE"/>
    <w:rsid w:val="002338D5"/>
    <w:rsid w:val="00233B93"/>
    <w:rsid w:val="00233E12"/>
    <w:rsid w:val="002345DE"/>
    <w:rsid w:val="002347F5"/>
    <w:rsid w:val="00234859"/>
    <w:rsid w:val="00234C81"/>
    <w:rsid w:val="0023507D"/>
    <w:rsid w:val="002359C6"/>
    <w:rsid w:val="002367D2"/>
    <w:rsid w:val="00236C56"/>
    <w:rsid w:val="0023715A"/>
    <w:rsid w:val="00237CAE"/>
    <w:rsid w:val="00237E0E"/>
    <w:rsid w:val="00237E50"/>
    <w:rsid w:val="00240A2C"/>
    <w:rsid w:val="002410BD"/>
    <w:rsid w:val="002411F6"/>
    <w:rsid w:val="00241854"/>
    <w:rsid w:val="0024282D"/>
    <w:rsid w:val="00242D3D"/>
    <w:rsid w:val="00242EBE"/>
    <w:rsid w:val="00244446"/>
    <w:rsid w:val="00244C9D"/>
    <w:rsid w:val="00245779"/>
    <w:rsid w:val="002458A9"/>
    <w:rsid w:val="00245921"/>
    <w:rsid w:val="00246471"/>
    <w:rsid w:val="002465E9"/>
    <w:rsid w:val="002465F8"/>
    <w:rsid w:val="002466BD"/>
    <w:rsid w:val="00246704"/>
    <w:rsid w:val="002469B5"/>
    <w:rsid w:val="002469F5"/>
    <w:rsid w:val="00246FC9"/>
    <w:rsid w:val="0024728B"/>
    <w:rsid w:val="002476FD"/>
    <w:rsid w:val="00247C34"/>
    <w:rsid w:val="0025027D"/>
    <w:rsid w:val="002504CA"/>
    <w:rsid w:val="002505EF"/>
    <w:rsid w:val="002507AC"/>
    <w:rsid w:val="002512F3"/>
    <w:rsid w:val="00251EBF"/>
    <w:rsid w:val="002528C9"/>
    <w:rsid w:val="00252E2A"/>
    <w:rsid w:val="00253C71"/>
    <w:rsid w:val="00254A2A"/>
    <w:rsid w:val="00254B3F"/>
    <w:rsid w:val="002553F2"/>
    <w:rsid w:val="002558AB"/>
    <w:rsid w:val="002560D1"/>
    <w:rsid w:val="002567BC"/>
    <w:rsid w:val="0025759F"/>
    <w:rsid w:val="00257672"/>
    <w:rsid w:val="00257816"/>
    <w:rsid w:val="00257902"/>
    <w:rsid w:val="002600EB"/>
    <w:rsid w:val="00260CD8"/>
    <w:rsid w:val="0026105B"/>
    <w:rsid w:val="00261A97"/>
    <w:rsid w:val="002632D9"/>
    <w:rsid w:val="002638E7"/>
    <w:rsid w:val="0026397C"/>
    <w:rsid w:val="00263AEF"/>
    <w:rsid w:val="002642AF"/>
    <w:rsid w:val="00264932"/>
    <w:rsid w:val="00264EF5"/>
    <w:rsid w:val="0026642F"/>
    <w:rsid w:val="00266E6E"/>
    <w:rsid w:val="00267072"/>
    <w:rsid w:val="00270585"/>
    <w:rsid w:val="00270778"/>
    <w:rsid w:val="00270A40"/>
    <w:rsid w:val="00271151"/>
    <w:rsid w:val="0027248C"/>
    <w:rsid w:val="002727FF"/>
    <w:rsid w:val="00273005"/>
    <w:rsid w:val="002733B5"/>
    <w:rsid w:val="00273633"/>
    <w:rsid w:val="00273EFE"/>
    <w:rsid w:val="0027472C"/>
    <w:rsid w:val="00275686"/>
    <w:rsid w:val="00276160"/>
    <w:rsid w:val="00276A23"/>
    <w:rsid w:val="00276A35"/>
    <w:rsid w:val="002770B3"/>
    <w:rsid w:val="00277165"/>
    <w:rsid w:val="002771C1"/>
    <w:rsid w:val="00277431"/>
    <w:rsid w:val="0027773F"/>
    <w:rsid w:val="002777F4"/>
    <w:rsid w:val="00277D66"/>
    <w:rsid w:val="00280017"/>
    <w:rsid w:val="00280422"/>
    <w:rsid w:val="002806F3"/>
    <w:rsid w:val="002807D1"/>
    <w:rsid w:val="002808E9"/>
    <w:rsid w:val="00280A7B"/>
    <w:rsid w:val="00280B99"/>
    <w:rsid w:val="00280EC0"/>
    <w:rsid w:val="002810A0"/>
    <w:rsid w:val="00281515"/>
    <w:rsid w:val="00281F7E"/>
    <w:rsid w:val="002822C2"/>
    <w:rsid w:val="00282366"/>
    <w:rsid w:val="00282392"/>
    <w:rsid w:val="0028246D"/>
    <w:rsid w:val="002827D0"/>
    <w:rsid w:val="0028294B"/>
    <w:rsid w:val="00282D86"/>
    <w:rsid w:val="002833CD"/>
    <w:rsid w:val="00283499"/>
    <w:rsid w:val="00283ACC"/>
    <w:rsid w:val="0028482A"/>
    <w:rsid w:val="00287182"/>
    <w:rsid w:val="002872CD"/>
    <w:rsid w:val="0028742E"/>
    <w:rsid w:val="00287563"/>
    <w:rsid w:val="002878C0"/>
    <w:rsid w:val="00291676"/>
    <w:rsid w:val="00291F8D"/>
    <w:rsid w:val="0029244E"/>
    <w:rsid w:val="00294473"/>
    <w:rsid w:val="002963BE"/>
    <w:rsid w:val="00296535"/>
    <w:rsid w:val="0029691B"/>
    <w:rsid w:val="00297414"/>
    <w:rsid w:val="002974B2"/>
    <w:rsid w:val="002A00E0"/>
    <w:rsid w:val="002A00E4"/>
    <w:rsid w:val="002A132B"/>
    <w:rsid w:val="002A1714"/>
    <w:rsid w:val="002A2021"/>
    <w:rsid w:val="002A20A2"/>
    <w:rsid w:val="002A2113"/>
    <w:rsid w:val="002A21B9"/>
    <w:rsid w:val="002A2228"/>
    <w:rsid w:val="002A2D46"/>
    <w:rsid w:val="002A2FB8"/>
    <w:rsid w:val="002A3227"/>
    <w:rsid w:val="002A322C"/>
    <w:rsid w:val="002A3A34"/>
    <w:rsid w:val="002A3AB1"/>
    <w:rsid w:val="002A3D1A"/>
    <w:rsid w:val="002A4195"/>
    <w:rsid w:val="002A448F"/>
    <w:rsid w:val="002A4FB2"/>
    <w:rsid w:val="002A5932"/>
    <w:rsid w:val="002A5B83"/>
    <w:rsid w:val="002A5E22"/>
    <w:rsid w:val="002A7057"/>
    <w:rsid w:val="002A72D6"/>
    <w:rsid w:val="002A7361"/>
    <w:rsid w:val="002A76AC"/>
    <w:rsid w:val="002B00AA"/>
    <w:rsid w:val="002B0737"/>
    <w:rsid w:val="002B119F"/>
    <w:rsid w:val="002B1653"/>
    <w:rsid w:val="002B1B82"/>
    <w:rsid w:val="002B1BE9"/>
    <w:rsid w:val="002B2034"/>
    <w:rsid w:val="002B2094"/>
    <w:rsid w:val="002B24F2"/>
    <w:rsid w:val="002B2A09"/>
    <w:rsid w:val="002B2F40"/>
    <w:rsid w:val="002B39F9"/>
    <w:rsid w:val="002B4B07"/>
    <w:rsid w:val="002B530F"/>
    <w:rsid w:val="002B5463"/>
    <w:rsid w:val="002B5BB6"/>
    <w:rsid w:val="002B640A"/>
    <w:rsid w:val="002B670C"/>
    <w:rsid w:val="002B691F"/>
    <w:rsid w:val="002B7AC0"/>
    <w:rsid w:val="002B7D11"/>
    <w:rsid w:val="002C0033"/>
    <w:rsid w:val="002C055D"/>
    <w:rsid w:val="002C0590"/>
    <w:rsid w:val="002C0AED"/>
    <w:rsid w:val="002C1683"/>
    <w:rsid w:val="002C16C8"/>
    <w:rsid w:val="002C1EEE"/>
    <w:rsid w:val="002C2116"/>
    <w:rsid w:val="002C27EC"/>
    <w:rsid w:val="002C2A6E"/>
    <w:rsid w:val="002C2EA8"/>
    <w:rsid w:val="002C3359"/>
    <w:rsid w:val="002C34EE"/>
    <w:rsid w:val="002C3639"/>
    <w:rsid w:val="002C3911"/>
    <w:rsid w:val="002C395E"/>
    <w:rsid w:val="002C44DD"/>
    <w:rsid w:val="002C4536"/>
    <w:rsid w:val="002C507C"/>
    <w:rsid w:val="002C5441"/>
    <w:rsid w:val="002C5DA0"/>
    <w:rsid w:val="002C5E58"/>
    <w:rsid w:val="002C6ACA"/>
    <w:rsid w:val="002C6EE9"/>
    <w:rsid w:val="002D0129"/>
    <w:rsid w:val="002D01A2"/>
    <w:rsid w:val="002D041A"/>
    <w:rsid w:val="002D0534"/>
    <w:rsid w:val="002D0947"/>
    <w:rsid w:val="002D2AD4"/>
    <w:rsid w:val="002D2B36"/>
    <w:rsid w:val="002D2D57"/>
    <w:rsid w:val="002D30ED"/>
    <w:rsid w:val="002D3164"/>
    <w:rsid w:val="002D3924"/>
    <w:rsid w:val="002D4115"/>
    <w:rsid w:val="002D4B17"/>
    <w:rsid w:val="002D4C82"/>
    <w:rsid w:val="002D4FD1"/>
    <w:rsid w:val="002D5CD6"/>
    <w:rsid w:val="002D60C3"/>
    <w:rsid w:val="002D613F"/>
    <w:rsid w:val="002D6344"/>
    <w:rsid w:val="002D6B89"/>
    <w:rsid w:val="002D74F2"/>
    <w:rsid w:val="002D773E"/>
    <w:rsid w:val="002E025F"/>
    <w:rsid w:val="002E0C34"/>
    <w:rsid w:val="002E1196"/>
    <w:rsid w:val="002E12D3"/>
    <w:rsid w:val="002E13E8"/>
    <w:rsid w:val="002E1960"/>
    <w:rsid w:val="002E1C26"/>
    <w:rsid w:val="002E269A"/>
    <w:rsid w:val="002E2D90"/>
    <w:rsid w:val="002E2DEC"/>
    <w:rsid w:val="002E3B20"/>
    <w:rsid w:val="002E3B6D"/>
    <w:rsid w:val="002E63A1"/>
    <w:rsid w:val="002E6B87"/>
    <w:rsid w:val="002E7061"/>
    <w:rsid w:val="002E7245"/>
    <w:rsid w:val="002E79EB"/>
    <w:rsid w:val="002F0930"/>
    <w:rsid w:val="002F0C66"/>
    <w:rsid w:val="002F0D90"/>
    <w:rsid w:val="002F1289"/>
    <w:rsid w:val="002F1492"/>
    <w:rsid w:val="002F1775"/>
    <w:rsid w:val="002F1D7B"/>
    <w:rsid w:val="002F375B"/>
    <w:rsid w:val="002F420E"/>
    <w:rsid w:val="002F429A"/>
    <w:rsid w:val="002F4A02"/>
    <w:rsid w:val="002F5BC6"/>
    <w:rsid w:val="002F5D2A"/>
    <w:rsid w:val="002F75A0"/>
    <w:rsid w:val="002F767F"/>
    <w:rsid w:val="0030009E"/>
    <w:rsid w:val="003000AE"/>
    <w:rsid w:val="00300646"/>
    <w:rsid w:val="00300649"/>
    <w:rsid w:val="00301142"/>
    <w:rsid w:val="00301472"/>
    <w:rsid w:val="0030182A"/>
    <w:rsid w:val="00301E2F"/>
    <w:rsid w:val="00302297"/>
    <w:rsid w:val="00302AF2"/>
    <w:rsid w:val="00302CF5"/>
    <w:rsid w:val="00302D68"/>
    <w:rsid w:val="003032CB"/>
    <w:rsid w:val="003033AB"/>
    <w:rsid w:val="00303F5E"/>
    <w:rsid w:val="00304204"/>
    <w:rsid w:val="00304883"/>
    <w:rsid w:val="00304C9C"/>
    <w:rsid w:val="0030594A"/>
    <w:rsid w:val="0030715D"/>
    <w:rsid w:val="0030750C"/>
    <w:rsid w:val="00307D6C"/>
    <w:rsid w:val="0031031C"/>
    <w:rsid w:val="00310556"/>
    <w:rsid w:val="00310FD6"/>
    <w:rsid w:val="003110EF"/>
    <w:rsid w:val="0031127F"/>
    <w:rsid w:val="00311625"/>
    <w:rsid w:val="00312001"/>
    <w:rsid w:val="00312781"/>
    <w:rsid w:val="00313CDA"/>
    <w:rsid w:val="003145DD"/>
    <w:rsid w:val="003147DD"/>
    <w:rsid w:val="00315998"/>
    <w:rsid w:val="00315A3A"/>
    <w:rsid w:val="00316728"/>
    <w:rsid w:val="00316A6A"/>
    <w:rsid w:val="00316DC2"/>
    <w:rsid w:val="00317595"/>
    <w:rsid w:val="003177A4"/>
    <w:rsid w:val="00317B9D"/>
    <w:rsid w:val="00320C94"/>
    <w:rsid w:val="00320EC6"/>
    <w:rsid w:val="00321D76"/>
    <w:rsid w:val="00321E75"/>
    <w:rsid w:val="00322144"/>
    <w:rsid w:val="0032216D"/>
    <w:rsid w:val="00322432"/>
    <w:rsid w:val="00322639"/>
    <w:rsid w:val="00322976"/>
    <w:rsid w:val="00322A3E"/>
    <w:rsid w:val="00323C3F"/>
    <w:rsid w:val="0032425D"/>
    <w:rsid w:val="00324371"/>
    <w:rsid w:val="00324549"/>
    <w:rsid w:val="003249E6"/>
    <w:rsid w:val="00325CEA"/>
    <w:rsid w:val="0032600E"/>
    <w:rsid w:val="003261B2"/>
    <w:rsid w:val="00326586"/>
    <w:rsid w:val="0032693A"/>
    <w:rsid w:val="00326B81"/>
    <w:rsid w:val="00326FB7"/>
    <w:rsid w:val="003275E5"/>
    <w:rsid w:val="0032795A"/>
    <w:rsid w:val="00327A6D"/>
    <w:rsid w:val="00331086"/>
    <w:rsid w:val="0033130E"/>
    <w:rsid w:val="00331794"/>
    <w:rsid w:val="00331899"/>
    <w:rsid w:val="00331BD0"/>
    <w:rsid w:val="00331DBD"/>
    <w:rsid w:val="00332462"/>
    <w:rsid w:val="003325BB"/>
    <w:rsid w:val="00332B9C"/>
    <w:rsid w:val="003330DD"/>
    <w:rsid w:val="00333216"/>
    <w:rsid w:val="00335040"/>
    <w:rsid w:val="003352BF"/>
    <w:rsid w:val="003356A7"/>
    <w:rsid w:val="0033571B"/>
    <w:rsid w:val="003363FF"/>
    <w:rsid w:val="0033658B"/>
    <w:rsid w:val="00336946"/>
    <w:rsid w:val="00336C7F"/>
    <w:rsid w:val="00336D7F"/>
    <w:rsid w:val="00336F9C"/>
    <w:rsid w:val="0033712F"/>
    <w:rsid w:val="00337749"/>
    <w:rsid w:val="003378C1"/>
    <w:rsid w:val="00337CF3"/>
    <w:rsid w:val="00337F6E"/>
    <w:rsid w:val="003400F9"/>
    <w:rsid w:val="003406A6"/>
    <w:rsid w:val="00340813"/>
    <w:rsid w:val="00340CE2"/>
    <w:rsid w:val="003412A1"/>
    <w:rsid w:val="00341828"/>
    <w:rsid w:val="003425DD"/>
    <w:rsid w:val="00342B15"/>
    <w:rsid w:val="0034300F"/>
    <w:rsid w:val="00343832"/>
    <w:rsid w:val="00343E31"/>
    <w:rsid w:val="00343FB7"/>
    <w:rsid w:val="003445B2"/>
    <w:rsid w:val="00344C71"/>
    <w:rsid w:val="00345942"/>
    <w:rsid w:val="00345EC8"/>
    <w:rsid w:val="00346125"/>
    <w:rsid w:val="00346257"/>
    <w:rsid w:val="003471A5"/>
    <w:rsid w:val="0034727B"/>
    <w:rsid w:val="003474EA"/>
    <w:rsid w:val="00347702"/>
    <w:rsid w:val="003478B7"/>
    <w:rsid w:val="00350190"/>
    <w:rsid w:val="00350478"/>
    <w:rsid w:val="00350F0F"/>
    <w:rsid w:val="003515AF"/>
    <w:rsid w:val="00351DB8"/>
    <w:rsid w:val="00351DBE"/>
    <w:rsid w:val="00351F88"/>
    <w:rsid w:val="00352104"/>
    <w:rsid w:val="00352C6D"/>
    <w:rsid w:val="00352CF3"/>
    <w:rsid w:val="00353132"/>
    <w:rsid w:val="003539D8"/>
    <w:rsid w:val="00353B2C"/>
    <w:rsid w:val="00353CDA"/>
    <w:rsid w:val="003543C5"/>
    <w:rsid w:val="00354926"/>
    <w:rsid w:val="00354B04"/>
    <w:rsid w:val="0035506D"/>
    <w:rsid w:val="003556DA"/>
    <w:rsid w:val="0035620D"/>
    <w:rsid w:val="00356A3D"/>
    <w:rsid w:val="003576ED"/>
    <w:rsid w:val="00357763"/>
    <w:rsid w:val="003577CB"/>
    <w:rsid w:val="00357F06"/>
    <w:rsid w:val="00360453"/>
    <w:rsid w:val="00360C0B"/>
    <w:rsid w:val="003612A0"/>
    <w:rsid w:val="003613E4"/>
    <w:rsid w:val="00361831"/>
    <w:rsid w:val="00362D6F"/>
    <w:rsid w:val="0036316F"/>
    <w:rsid w:val="00364910"/>
    <w:rsid w:val="003653BC"/>
    <w:rsid w:val="00365A10"/>
    <w:rsid w:val="00365E2A"/>
    <w:rsid w:val="00365EB1"/>
    <w:rsid w:val="003663AF"/>
    <w:rsid w:val="00366679"/>
    <w:rsid w:val="003669EB"/>
    <w:rsid w:val="00367117"/>
    <w:rsid w:val="0036715D"/>
    <w:rsid w:val="003675B7"/>
    <w:rsid w:val="00367760"/>
    <w:rsid w:val="00370385"/>
    <w:rsid w:val="0037061D"/>
    <w:rsid w:val="003707B1"/>
    <w:rsid w:val="003709CC"/>
    <w:rsid w:val="00370C73"/>
    <w:rsid w:val="003713E1"/>
    <w:rsid w:val="0037189A"/>
    <w:rsid w:val="00371F17"/>
    <w:rsid w:val="00371F36"/>
    <w:rsid w:val="00372E17"/>
    <w:rsid w:val="00373506"/>
    <w:rsid w:val="00373E44"/>
    <w:rsid w:val="00374192"/>
    <w:rsid w:val="003751A1"/>
    <w:rsid w:val="003752BD"/>
    <w:rsid w:val="00375FF2"/>
    <w:rsid w:val="00375FFD"/>
    <w:rsid w:val="003765EE"/>
    <w:rsid w:val="003766D1"/>
    <w:rsid w:val="00376F5C"/>
    <w:rsid w:val="0038099E"/>
    <w:rsid w:val="00380E1B"/>
    <w:rsid w:val="00380E2A"/>
    <w:rsid w:val="00380F32"/>
    <w:rsid w:val="00381315"/>
    <w:rsid w:val="00381470"/>
    <w:rsid w:val="00381B0A"/>
    <w:rsid w:val="00381DF8"/>
    <w:rsid w:val="0038215B"/>
    <w:rsid w:val="00382975"/>
    <w:rsid w:val="00382EE5"/>
    <w:rsid w:val="0038395A"/>
    <w:rsid w:val="00384887"/>
    <w:rsid w:val="0038534B"/>
    <w:rsid w:val="003854B1"/>
    <w:rsid w:val="003868FB"/>
    <w:rsid w:val="00386BDB"/>
    <w:rsid w:val="00387417"/>
    <w:rsid w:val="0039003E"/>
    <w:rsid w:val="003900ED"/>
    <w:rsid w:val="00390138"/>
    <w:rsid w:val="0039045B"/>
    <w:rsid w:val="003905AE"/>
    <w:rsid w:val="00390AEC"/>
    <w:rsid w:val="003911FC"/>
    <w:rsid w:val="003913CD"/>
    <w:rsid w:val="0039153E"/>
    <w:rsid w:val="003917FC"/>
    <w:rsid w:val="00391E2C"/>
    <w:rsid w:val="0039212C"/>
    <w:rsid w:val="00392144"/>
    <w:rsid w:val="0039264F"/>
    <w:rsid w:val="00392C3F"/>
    <w:rsid w:val="00392E29"/>
    <w:rsid w:val="003930D4"/>
    <w:rsid w:val="00393860"/>
    <w:rsid w:val="00393BE5"/>
    <w:rsid w:val="003943D4"/>
    <w:rsid w:val="00395558"/>
    <w:rsid w:val="00395621"/>
    <w:rsid w:val="00395BD6"/>
    <w:rsid w:val="00395C88"/>
    <w:rsid w:val="00395FBF"/>
    <w:rsid w:val="00396468"/>
    <w:rsid w:val="0039688E"/>
    <w:rsid w:val="00396AD9"/>
    <w:rsid w:val="00397724"/>
    <w:rsid w:val="00397D8E"/>
    <w:rsid w:val="003A0CB6"/>
    <w:rsid w:val="003A12E4"/>
    <w:rsid w:val="003A16AD"/>
    <w:rsid w:val="003A1EFD"/>
    <w:rsid w:val="003A35ED"/>
    <w:rsid w:val="003A387B"/>
    <w:rsid w:val="003A3C19"/>
    <w:rsid w:val="003A3FE3"/>
    <w:rsid w:val="003A48A6"/>
    <w:rsid w:val="003A4A44"/>
    <w:rsid w:val="003A4B48"/>
    <w:rsid w:val="003A5062"/>
    <w:rsid w:val="003A5E6C"/>
    <w:rsid w:val="003A6356"/>
    <w:rsid w:val="003A665B"/>
    <w:rsid w:val="003A79A4"/>
    <w:rsid w:val="003A7C60"/>
    <w:rsid w:val="003B0778"/>
    <w:rsid w:val="003B0A4A"/>
    <w:rsid w:val="003B0DA0"/>
    <w:rsid w:val="003B0EFA"/>
    <w:rsid w:val="003B146F"/>
    <w:rsid w:val="003B1BDD"/>
    <w:rsid w:val="003B225B"/>
    <w:rsid w:val="003B2814"/>
    <w:rsid w:val="003B2A14"/>
    <w:rsid w:val="003B302F"/>
    <w:rsid w:val="003B31D7"/>
    <w:rsid w:val="003B3BE1"/>
    <w:rsid w:val="003B46B3"/>
    <w:rsid w:val="003B54DB"/>
    <w:rsid w:val="003B5BF1"/>
    <w:rsid w:val="003B602C"/>
    <w:rsid w:val="003B60E9"/>
    <w:rsid w:val="003B632E"/>
    <w:rsid w:val="003B6AE2"/>
    <w:rsid w:val="003B76E7"/>
    <w:rsid w:val="003B7A41"/>
    <w:rsid w:val="003B7D0D"/>
    <w:rsid w:val="003C0317"/>
    <w:rsid w:val="003C0354"/>
    <w:rsid w:val="003C0643"/>
    <w:rsid w:val="003C07E5"/>
    <w:rsid w:val="003C3102"/>
    <w:rsid w:val="003C4347"/>
    <w:rsid w:val="003C4407"/>
    <w:rsid w:val="003C4AB0"/>
    <w:rsid w:val="003C55D2"/>
    <w:rsid w:val="003C61A6"/>
    <w:rsid w:val="003C61C8"/>
    <w:rsid w:val="003C63E1"/>
    <w:rsid w:val="003C67D8"/>
    <w:rsid w:val="003C7319"/>
    <w:rsid w:val="003C756E"/>
    <w:rsid w:val="003C77BC"/>
    <w:rsid w:val="003D0E65"/>
    <w:rsid w:val="003D10A3"/>
    <w:rsid w:val="003D1CBF"/>
    <w:rsid w:val="003D2A85"/>
    <w:rsid w:val="003D2B81"/>
    <w:rsid w:val="003D2CAB"/>
    <w:rsid w:val="003D33BD"/>
    <w:rsid w:val="003D3BB5"/>
    <w:rsid w:val="003D3EF7"/>
    <w:rsid w:val="003D4147"/>
    <w:rsid w:val="003D4477"/>
    <w:rsid w:val="003D4A63"/>
    <w:rsid w:val="003D5591"/>
    <w:rsid w:val="003D5F1E"/>
    <w:rsid w:val="003D6956"/>
    <w:rsid w:val="003D6E5C"/>
    <w:rsid w:val="003D72A6"/>
    <w:rsid w:val="003D73B8"/>
    <w:rsid w:val="003D7858"/>
    <w:rsid w:val="003D7E30"/>
    <w:rsid w:val="003E019C"/>
    <w:rsid w:val="003E05E1"/>
    <w:rsid w:val="003E0986"/>
    <w:rsid w:val="003E0A23"/>
    <w:rsid w:val="003E0DA7"/>
    <w:rsid w:val="003E0DD0"/>
    <w:rsid w:val="003E25AC"/>
    <w:rsid w:val="003E263F"/>
    <w:rsid w:val="003E266D"/>
    <w:rsid w:val="003E331C"/>
    <w:rsid w:val="003E3A55"/>
    <w:rsid w:val="003E514B"/>
    <w:rsid w:val="003E66D2"/>
    <w:rsid w:val="003E7264"/>
    <w:rsid w:val="003E72B1"/>
    <w:rsid w:val="003E75E0"/>
    <w:rsid w:val="003E7D26"/>
    <w:rsid w:val="003E7DF1"/>
    <w:rsid w:val="003F0703"/>
    <w:rsid w:val="003F0955"/>
    <w:rsid w:val="003F0A37"/>
    <w:rsid w:val="003F20B8"/>
    <w:rsid w:val="003F2861"/>
    <w:rsid w:val="003F29AF"/>
    <w:rsid w:val="003F2FB0"/>
    <w:rsid w:val="003F3F4B"/>
    <w:rsid w:val="003F3F5F"/>
    <w:rsid w:val="003F47B9"/>
    <w:rsid w:val="003F4874"/>
    <w:rsid w:val="003F48DA"/>
    <w:rsid w:val="003F4DE7"/>
    <w:rsid w:val="003F5028"/>
    <w:rsid w:val="003F5A8C"/>
    <w:rsid w:val="003F62E7"/>
    <w:rsid w:val="003F6EAA"/>
    <w:rsid w:val="003F7024"/>
    <w:rsid w:val="003F7155"/>
    <w:rsid w:val="00400112"/>
    <w:rsid w:val="00400C59"/>
    <w:rsid w:val="00400D03"/>
    <w:rsid w:val="004018E5"/>
    <w:rsid w:val="00403015"/>
    <w:rsid w:val="00403D53"/>
    <w:rsid w:val="00404416"/>
    <w:rsid w:val="00404C02"/>
    <w:rsid w:val="00405AB2"/>
    <w:rsid w:val="00406206"/>
    <w:rsid w:val="00406215"/>
    <w:rsid w:val="00407776"/>
    <w:rsid w:val="0041039E"/>
    <w:rsid w:val="0041093D"/>
    <w:rsid w:val="00410C38"/>
    <w:rsid w:val="00410C46"/>
    <w:rsid w:val="00410E0D"/>
    <w:rsid w:val="00411891"/>
    <w:rsid w:val="0041191C"/>
    <w:rsid w:val="004128A1"/>
    <w:rsid w:val="00412CC7"/>
    <w:rsid w:val="00412D9D"/>
    <w:rsid w:val="00413A80"/>
    <w:rsid w:val="00414137"/>
    <w:rsid w:val="004142E0"/>
    <w:rsid w:val="00414672"/>
    <w:rsid w:val="00414BBA"/>
    <w:rsid w:val="00414D78"/>
    <w:rsid w:val="0041513E"/>
    <w:rsid w:val="00416427"/>
    <w:rsid w:val="004171D4"/>
    <w:rsid w:val="0041746A"/>
    <w:rsid w:val="00417534"/>
    <w:rsid w:val="00417B11"/>
    <w:rsid w:val="00420BD1"/>
    <w:rsid w:val="00420E19"/>
    <w:rsid w:val="004211AF"/>
    <w:rsid w:val="0042184D"/>
    <w:rsid w:val="004218E9"/>
    <w:rsid w:val="00421A64"/>
    <w:rsid w:val="00421B43"/>
    <w:rsid w:val="00422C98"/>
    <w:rsid w:val="00422D99"/>
    <w:rsid w:val="0042343F"/>
    <w:rsid w:val="00423754"/>
    <w:rsid w:val="00424022"/>
    <w:rsid w:val="00424552"/>
    <w:rsid w:val="0042496C"/>
    <w:rsid w:val="004249EB"/>
    <w:rsid w:val="00425622"/>
    <w:rsid w:val="004256A4"/>
    <w:rsid w:val="00426A08"/>
    <w:rsid w:val="004272DB"/>
    <w:rsid w:val="00427DF9"/>
    <w:rsid w:val="004304D2"/>
    <w:rsid w:val="004310D9"/>
    <w:rsid w:val="004311CC"/>
    <w:rsid w:val="004313B0"/>
    <w:rsid w:val="004313EE"/>
    <w:rsid w:val="0043163F"/>
    <w:rsid w:val="00431A86"/>
    <w:rsid w:val="00431B29"/>
    <w:rsid w:val="00431BB3"/>
    <w:rsid w:val="00431D4B"/>
    <w:rsid w:val="00432319"/>
    <w:rsid w:val="0043255A"/>
    <w:rsid w:val="0043264A"/>
    <w:rsid w:val="0043286B"/>
    <w:rsid w:val="0043395D"/>
    <w:rsid w:val="00433E6C"/>
    <w:rsid w:val="00434A37"/>
    <w:rsid w:val="00434B92"/>
    <w:rsid w:val="004355F8"/>
    <w:rsid w:val="00435F57"/>
    <w:rsid w:val="00436548"/>
    <w:rsid w:val="0043720C"/>
    <w:rsid w:val="004374BC"/>
    <w:rsid w:val="004379D2"/>
    <w:rsid w:val="004379EB"/>
    <w:rsid w:val="00437C8F"/>
    <w:rsid w:val="0044035A"/>
    <w:rsid w:val="004405D1"/>
    <w:rsid w:val="0044078F"/>
    <w:rsid w:val="00440BB5"/>
    <w:rsid w:val="00441168"/>
    <w:rsid w:val="004428FC"/>
    <w:rsid w:val="00442B8C"/>
    <w:rsid w:val="004432F8"/>
    <w:rsid w:val="0044437B"/>
    <w:rsid w:val="00444ABB"/>
    <w:rsid w:val="00444E6E"/>
    <w:rsid w:val="004452AB"/>
    <w:rsid w:val="004457AB"/>
    <w:rsid w:val="004459DD"/>
    <w:rsid w:val="00445C6E"/>
    <w:rsid w:val="004465F4"/>
    <w:rsid w:val="004467C7"/>
    <w:rsid w:val="0044687C"/>
    <w:rsid w:val="0044760E"/>
    <w:rsid w:val="0045009A"/>
    <w:rsid w:val="00450441"/>
    <w:rsid w:val="00450A21"/>
    <w:rsid w:val="00450C9E"/>
    <w:rsid w:val="00450E02"/>
    <w:rsid w:val="00451553"/>
    <w:rsid w:val="004518F6"/>
    <w:rsid w:val="00452203"/>
    <w:rsid w:val="0045292C"/>
    <w:rsid w:val="00452F41"/>
    <w:rsid w:val="004531B8"/>
    <w:rsid w:val="0045338D"/>
    <w:rsid w:val="0045416A"/>
    <w:rsid w:val="00454A9B"/>
    <w:rsid w:val="00454ECB"/>
    <w:rsid w:val="0045566D"/>
    <w:rsid w:val="004558D4"/>
    <w:rsid w:val="00455953"/>
    <w:rsid w:val="00455AA1"/>
    <w:rsid w:val="00455B50"/>
    <w:rsid w:val="004574B0"/>
    <w:rsid w:val="004577D3"/>
    <w:rsid w:val="00457A43"/>
    <w:rsid w:val="004605E0"/>
    <w:rsid w:val="0046088E"/>
    <w:rsid w:val="00460D33"/>
    <w:rsid w:val="00460DB1"/>
    <w:rsid w:val="004611EE"/>
    <w:rsid w:val="0046149F"/>
    <w:rsid w:val="00461540"/>
    <w:rsid w:val="00461935"/>
    <w:rsid w:val="00461E35"/>
    <w:rsid w:val="00462FE5"/>
    <w:rsid w:val="0046322B"/>
    <w:rsid w:val="00463ECA"/>
    <w:rsid w:val="00464660"/>
    <w:rsid w:val="00465A42"/>
    <w:rsid w:val="00466002"/>
    <w:rsid w:val="004662D8"/>
    <w:rsid w:val="0046647D"/>
    <w:rsid w:val="00466BAE"/>
    <w:rsid w:val="00466FBF"/>
    <w:rsid w:val="00467AA6"/>
    <w:rsid w:val="00467F73"/>
    <w:rsid w:val="004700AB"/>
    <w:rsid w:val="0047052C"/>
    <w:rsid w:val="0047106C"/>
    <w:rsid w:val="00471142"/>
    <w:rsid w:val="0047186F"/>
    <w:rsid w:val="00471CDA"/>
    <w:rsid w:val="0047246A"/>
    <w:rsid w:val="0047265E"/>
    <w:rsid w:val="00472714"/>
    <w:rsid w:val="004728F2"/>
    <w:rsid w:val="00472DAC"/>
    <w:rsid w:val="004730F6"/>
    <w:rsid w:val="00473A67"/>
    <w:rsid w:val="004742B4"/>
    <w:rsid w:val="004742B8"/>
    <w:rsid w:val="00474384"/>
    <w:rsid w:val="00475980"/>
    <w:rsid w:val="00475C9C"/>
    <w:rsid w:val="00475DFA"/>
    <w:rsid w:val="00475E2B"/>
    <w:rsid w:val="00476063"/>
    <w:rsid w:val="00476A79"/>
    <w:rsid w:val="00477766"/>
    <w:rsid w:val="00477AAC"/>
    <w:rsid w:val="004801DD"/>
    <w:rsid w:val="00480D13"/>
    <w:rsid w:val="00481B64"/>
    <w:rsid w:val="00481FB2"/>
    <w:rsid w:val="0048206D"/>
    <w:rsid w:val="004828BF"/>
    <w:rsid w:val="00482AEA"/>
    <w:rsid w:val="00482F0B"/>
    <w:rsid w:val="0048322F"/>
    <w:rsid w:val="00483AD4"/>
    <w:rsid w:val="00483E1D"/>
    <w:rsid w:val="0048489C"/>
    <w:rsid w:val="004848FD"/>
    <w:rsid w:val="00484F37"/>
    <w:rsid w:val="00486EEA"/>
    <w:rsid w:val="00487ADA"/>
    <w:rsid w:val="00487C77"/>
    <w:rsid w:val="00487F08"/>
    <w:rsid w:val="0049095E"/>
    <w:rsid w:val="00491AC6"/>
    <w:rsid w:val="00491CC0"/>
    <w:rsid w:val="004938EC"/>
    <w:rsid w:val="0049426E"/>
    <w:rsid w:val="00494B65"/>
    <w:rsid w:val="0049586C"/>
    <w:rsid w:val="004958EE"/>
    <w:rsid w:val="00495A46"/>
    <w:rsid w:val="00495DDD"/>
    <w:rsid w:val="0049605A"/>
    <w:rsid w:val="00496422"/>
    <w:rsid w:val="00496544"/>
    <w:rsid w:val="00496FDE"/>
    <w:rsid w:val="0049793B"/>
    <w:rsid w:val="00497A77"/>
    <w:rsid w:val="00497C93"/>
    <w:rsid w:val="00497CF3"/>
    <w:rsid w:val="004A014E"/>
    <w:rsid w:val="004A1377"/>
    <w:rsid w:val="004A1F26"/>
    <w:rsid w:val="004A20E2"/>
    <w:rsid w:val="004A22DF"/>
    <w:rsid w:val="004A2406"/>
    <w:rsid w:val="004A240B"/>
    <w:rsid w:val="004A29E3"/>
    <w:rsid w:val="004A2B0A"/>
    <w:rsid w:val="004A35BE"/>
    <w:rsid w:val="004A3781"/>
    <w:rsid w:val="004A387C"/>
    <w:rsid w:val="004A3BC1"/>
    <w:rsid w:val="004A3C8D"/>
    <w:rsid w:val="004A3E27"/>
    <w:rsid w:val="004A3E93"/>
    <w:rsid w:val="004A4B0D"/>
    <w:rsid w:val="004A5136"/>
    <w:rsid w:val="004A5180"/>
    <w:rsid w:val="004A5334"/>
    <w:rsid w:val="004A6D40"/>
    <w:rsid w:val="004A6DD4"/>
    <w:rsid w:val="004A6E54"/>
    <w:rsid w:val="004A6FC9"/>
    <w:rsid w:val="004A747B"/>
    <w:rsid w:val="004A7803"/>
    <w:rsid w:val="004A78AC"/>
    <w:rsid w:val="004A7D8B"/>
    <w:rsid w:val="004B0169"/>
    <w:rsid w:val="004B0AF0"/>
    <w:rsid w:val="004B0DD0"/>
    <w:rsid w:val="004B15C7"/>
    <w:rsid w:val="004B17B1"/>
    <w:rsid w:val="004B1CEF"/>
    <w:rsid w:val="004B1EBA"/>
    <w:rsid w:val="004B1F32"/>
    <w:rsid w:val="004B29E0"/>
    <w:rsid w:val="004B2C83"/>
    <w:rsid w:val="004B32DE"/>
    <w:rsid w:val="004B451D"/>
    <w:rsid w:val="004B4907"/>
    <w:rsid w:val="004B4B17"/>
    <w:rsid w:val="004B4F97"/>
    <w:rsid w:val="004B5156"/>
    <w:rsid w:val="004B5441"/>
    <w:rsid w:val="004B5ACA"/>
    <w:rsid w:val="004B5B23"/>
    <w:rsid w:val="004B5B98"/>
    <w:rsid w:val="004B7524"/>
    <w:rsid w:val="004B7EE1"/>
    <w:rsid w:val="004C024D"/>
    <w:rsid w:val="004C10B9"/>
    <w:rsid w:val="004C12AB"/>
    <w:rsid w:val="004C15C8"/>
    <w:rsid w:val="004C16B8"/>
    <w:rsid w:val="004C238E"/>
    <w:rsid w:val="004C2BA7"/>
    <w:rsid w:val="004C317F"/>
    <w:rsid w:val="004C3FA2"/>
    <w:rsid w:val="004C4559"/>
    <w:rsid w:val="004C4AB9"/>
    <w:rsid w:val="004C4E79"/>
    <w:rsid w:val="004C5443"/>
    <w:rsid w:val="004C5F45"/>
    <w:rsid w:val="004C5F78"/>
    <w:rsid w:val="004C602A"/>
    <w:rsid w:val="004C60B5"/>
    <w:rsid w:val="004C6A64"/>
    <w:rsid w:val="004C6D28"/>
    <w:rsid w:val="004C7073"/>
    <w:rsid w:val="004C721A"/>
    <w:rsid w:val="004C728D"/>
    <w:rsid w:val="004C7320"/>
    <w:rsid w:val="004C77BC"/>
    <w:rsid w:val="004D000F"/>
    <w:rsid w:val="004D0753"/>
    <w:rsid w:val="004D08BA"/>
    <w:rsid w:val="004D0964"/>
    <w:rsid w:val="004D1114"/>
    <w:rsid w:val="004D1251"/>
    <w:rsid w:val="004D135F"/>
    <w:rsid w:val="004D15B5"/>
    <w:rsid w:val="004D1B21"/>
    <w:rsid w:val="004D1DB1"/>
    <w:rsid w:val="004D2DD7"/>
    <w:rsid w:val="004D311C"/>
    <w:rsid w:val="004D3C78"/>
    <w:rsid w:val="004D414E"/>
    <w:rsid w:val="004D5994"/>
    <w:rsid w:val="004D5D08"/>
    <w:rsid w:val="004D602D"/>
    <w:rsid w:val="004D647D"/>
    <w:rsid w:val="004D722A"/>
    <w:rsid w:val="004E0CBE"/>
    <w:rsid w:val="004E0DDF"/>
    <w:rsid w:val="004E12C5"/>
    <w:rsid w:val="004E1C62"/>
    <w:rsid w:val="004E217A"/>
    <w:rsid w:val="004E220A"/>
    <w:rsid w:val="004E250B"/>
    <w:rsid w:val="004E2606"/>
    <w:rsid w:val="004E308F"/>
    <w:rsid w:val="004E309E"/>
    <w:rsid w:val="004E3437"/>
    <w:rsid w:val="004E3A9F"/>
    <w:rsid w:val="004E3F9E"/>
    <w:rsid w:val="004E419F"/>
    <w:rsid w:val="004E468E"/>
    <w:rsid w:val="004E5BCA"/>
    <w:rsid w:val="004E5EFE"/>
    <w:rsid w:val="004E6967"/>
    <w:rsid w:val="004E7BB0"/>
    <w:rsid w:val="004E7EBB"/>
    <w:rsid w:val="004E7ED1"/>
    <w:rsid w:val="004F08A6"/>
    <w:rsid w:val="004F091C"/>
    <w:rsid w:val="004F1103"/>
    <w:rsid w:val="004F1200"/>
    <w:rsid w:val="004F13DE"/>
    <w:rsid w:val="004F1586"/>
    <w:rsid w:val="004F1DA6"/>
    <w:rsid w:val="004F1EB0"/>
    <w:rsid w:val="004F1EEB"/>
    <w:rsid w:val="004F2958"/>
    <w:rsid w:val="004F2AF0"/>
    <w:rsid w:val="004F31F6"/>
    <w:rsid w:val="004F32A4"/>
    <w:rsid w:val="004F380E"/>
    <w:rsid w:val="004F38A5"/>
    <w:rsid w:val="004F55ED"/>
    <w:rsid w:val="004F5DBF"/>
    <w:rsid w:val="004F6200"/>
    <w:rsid w:val="004F66BF"/>
    <w:rsid w:val="004F6B47"/>
    <w:rsid w:val="004F7DFC"/>
    <w:rsid w:val="0050177F"/>
    <w:rsid w:val="00501888"/>
    <w:rsid w:val="00501B1F"/>
    <w:rsid w:val="00502467"/>
    <w:rsid w:val="005034AD"/>
    <w:rsid w:val="00504A8A"/>
    <w:rsid w:val="0050511B"/>
    <w:rsid w:val="00505315"/>
    <w:rsid w:val="0050552D"/>
    <w:rsid w:val="0050623C"/>
    <w:rsid w:val="00506403"/>
    <w:rsid w:val="00506D93"/>
    <w:rsid w:val="00506EF0"/>
    <w:rsid w:val="00506FA4"/>
    <w:rsid w:val="00507B5F"/>
    <w:rsid w:val="00507DE0"/>
    <w:rsid w:val="00510B5F"/>
    <w:rsid w:val="00511C86"/>
    <w:rsid w:val="00512E55"/>
    <w:rsid w:val="00513101"/>
    <w:rsid w:val="00513EA9"/>
    <w:rsid w:val="0051483F"/>
    <w:rsid w:val="005149B1"/>
    <w:rsid w:val="00514EDA"/>
    <w:rsid w:val="00514F19"/>
    <w:rsid w:val="005150ED"/>
    <w:rsid w:val="00515163"/>
    <w:rsid w:val="00515905"/>
    <w:rsid w:val="00515C94"/>
    <w:rsid w:val="00516271"/>
    <w:rsid w:val="005171EC"/>
    <w:rsid w:val="005213B8"/>
    <w:rsid w:val="00522347"/>
    <w:rsid w:val="0052329C"/>
    <w:rsid w:val="00523613"/>
    <w:rsid w:val="005236A1"/>
    <w:rsid w:val="00523805"/>
    <w:rsid w:val="00523F6E"/>
    <w:rsid w:val="00523FFB"/>
    <w:rsid w:val="00524285"/>
    <w:rsid w:val="00524430"/>
    <w:rsid w:val="005254FA"/>
    <w:rsid w:val="005257BD"/>
    <w:rsid w:val="00526D02"/>
    <w:rsid w:val="00527F66"/>
    <w:rsid w:val="00530375"/>
    <w:rsid w:val="00530A93"/>
    <w:rsid w:val="005312A7"/>
    <w:rsid w:val="00531DA7"/>
    <w:rsid w:val="00532241"/>
    <w:rsid w:val="005326FF"/>
    <w:rsid w:val="00533EF4"/>
    <w:rsid w:val="00534147"/>
    <w:rsid w:val="00534624"/>
    <w:rsid w:val="00534B60"/>
    <w:rsid w:val="00535AD9"/>
    <w:rsid w:val="00536B1F"/>
    <w:rsid w:val="00536C13"/>
    <w:rsid w:val="005372A4"/>
    <w:rsid w:val="0053785B"/>
    <w:rsid w:val="005379B8"/>
    <w:rsid w:val="0054000C"/>
    <w:rsid w:val="00540241"/>
    <w:rsid w:val="0054029F"/>
    <w:rsid w:val="005402B5"/>
    <w:rsid w:val="00540427"/>
    <w:rsid w:val="0054056E"/>
    <w:rsid w:val="00540FCE"/>
    <w:rsid w:val="005410AF"/>
    <w:rsid w:val="00541462"/>
    <w:rsid w:val="00541A6D"/>
    <w:rsid w:val="00541B72"/>
    <w:rsid w:val="00541FF0"/>
    <w:rsid w:val="00542A77"/>
    <w:rsid w:val="005438F9"/>
    <w:rsid w:val="0054418A"/>
    <w:rsid w:val="00545C8C"/>
    <w:rsid w:val="00546761"/>
    <w:rsid w:val="00546E2B"/>
    <w:rsid w:val="00547362"/>
    <w:rsid w:val="00547829"/>
    <w:rsid w:val="00550C55"/>
    <w:rsid w:val="00552768"/>
    <w:rsid w:val="00552DF8"/>
    <w:rsid w:val="00552FA2"/>
    <w:rsid w:val="00553928"/>
    <w:rsid w:val="00554374"/>
    <w:rsid w:val="0055463E"/>
    <w:rsid w:val="00554EA7"/>
    <w:rsid w:val="005555B5"/>
    <w:rsid w:val="005555BA"/>
    <w:rsid w:val="00555B17"/>
    <w:rsid w:val="00555B9D"/>
    <w:rsid w:val="00555E7B"/>
    <w:rsid w:val="00555ED1"/>
    <w:rsid w:val="00556488"/>
    <w:rsid w:val="005568AC"/>
    <w:rsid w:val="005569DF"/>
    <w:rsid w:val="005570FF"/>
    <w:rsid w:val="005579E7"/>
    <w:rsid w:val="00557BE4"/>
    <w:rsid w:val="00557C73"/>
    <w:rsid w:val="00560404"/>
    <w:rsid w:val="005608E5"/>
    <w:rsid w:val="0056124F"/>
    <w:rsid w:val="0056226B"/>
    <w:rsid w:val="00562354"/>
    <w:rsid w:val="00562983"/>
    <w:rsid w:val="00562B55"/>
    <w:rsid w:val="00562C43"/>
    <w:rsid w:val="00563180"/>
    <w:rsid w:val="0056335C"/>
    <w:rsid w:val="00563367"/>
    <w:rsid w:val="00563398"/>
    <w:rsid w:val="00563647"/>
    <w:rsid w:val="00563BF2"/>
    <w:rsid w:val="00564217"/>
    <w:rsid w:val="005647B0"/>
    <w:rsid w:val="00564C47"/>
    <w:rsid w:val="00564D7C"/>
    <w:rsid w:val="00565A7C"/>
    <w:rsid w:val="00566A62"/>
    <w:rsid w:val="00567889"/>
    <w:rsid w:val="00567C9D"/>
    <w:rsid w:val="0057045E"/>
    <w:rsid w:val="00570A68"/>
    <w:rsid w:val="005726EC"/>
    <w:rsid w:val="00573331"/>
    <w:rsid w:val="005738D8"/>
    <w:rsid w:val="00573CC7"/>
    <w:rsid w:val="005744B3"/>
    <w:rsid w:val="00574E0C"/>
    <w:rsid w:val="00575975"/>
    <w:rsid w:val="00576210"/>
    <w:rsid w:val="0057645A"/>
    <w:rsid w:val="0057658C"/>
    <w:rsid w:val="005770C7"/>
    <w:rsid w:val="0058000E"/>
    <w:rsid w:val="005803C5"/>
    <w:rsid w:val="00580F70"/>
    <w:rsid w:val="00581403"/>
    <w:rsid w:val="0058191B"/>
    <w:rsid w:val="00582E9E"/>
    <w:rsid w:val="005834E5"/>
    <w:rsid w:val="005841D1"/>
    <w:rsid w:val="00584A41"/>
    <w:rsid w:val="00584E78"/>
    <w:rsid w:val="005853EE"/>
    <w:rsid w:val="0058635B"/>
    <w:rsid w:val="005865A3"/>
    <w:rsid w:val="00586C42"/>
    <w:rsid w:val="00587244"/>
    <w:rsid w:val="00587543"/>
    <w:rsid w:val="00587660"/>
    <w:rsid w:val="00587876"/>
    <w:rsid w:val="00590083"/>
    <w:rsid w:val="005902CB"/>
    <w:rsid w:val="00590625"/>
    <w:rsid w:val="00590684"/>
    <w:rsid w:val="00590ADC"/>
    <w:rsid w:val="0059141B"/>
    <w:rsid w:val="005918E8"/>
    <w:rsid w:val="00591B81"/>
    <w:rsid w:val="0059263E"/>
    <w:rsid w:val="005935D0"/>
    <w:rsid w:val="00594BC7"/>
    <w:rsid w:val="00597167"/>
    <w:rsid w:val="00597AB0"/>
    <w:rsid w:val="00597C91"/>
    <w:rsid w:val="00597EFA"/>
    <w:rsid w:val="005A00BB"/>
    <w:rsid w:val="005A0102"/>
    <w:rsid w:val="005A02B9"/>
    <w:rsid w:val="005A05B4"/>
    <w:rsid w:val="005A0955"/>
    <w:rsid w:val="005A09C9"/>
    <w:rsid w:val="005A1361"/>
    <w:rsid w:val="005A1376"/>
    <w:rsid w:val="005A144B"/>
    <w:rsid w:val="005A1564"/>
    <w:rsid w:val="005A192F"/>
    <w:rsid w:val="005A1A63"/>
    <w:rsid w:val="005A1A74"/>
    <w:rsid w:val="005A1B14"/>
    <w:rsid w:val="005A1DA2"/>
    <w:rsid w:val="005A2598"/>
    <w:rsid w:val="005A29EB"/>
    <w:rsid w:val="005A2F77"/>
    <w:rsid w:val="005A386A"/>
    <w:rsid w:val="005A541D"/>
    <w:rsid w:val="005A6272"/>
    <w:rsid w:val="005A685A"/>
    <w:rsid w:val="005A69FD"/>
    <w:rsid w:val="005A7670"/>
    <w:rsid w:val="005A7BDC"/>
    <w:rsid w:val="005B01D7"/>
    <w:rsid w:val="005B0B6B"/>
    <w:rsid w:val="005B101E"/>
    <w:rsid w:val="005B1D04"/>
    <w:rsid w:val="005B1D18"/>
    <w:rsid w:val="005B20CF"/>
    <w:rsid w:val="005B2695"/>
    <w:rsid w:val="005B2AB8"/>
    <w:rsid w:val="005B3433"/>
    <w:rsid w:val="005B37BF"/>
    <w:rsid w:val="005B38F8"/>
    <w:rsid w:val="005B3D23"/>
    <w:rsid w:val="005B4487"/>
    <w:rsid w:val="005B44F9"/>
    <w:rsid w:val="005B4589"/>
    <w:rsid w:val="005B47FD"/>
    <w:rsid w:val="005B4DFE"/>
    <w:rsid w:val="005B4F91"/>
    <w:rsid w:val="005B57B3"/>
    <w:rsid w:val="005B5CEB"/>
    <w:rsid w:val="005B7908"/>
    <w:rsid w:val="005C00C7"/>
    <w:rsid w:val="005C02C1"/>
    <w:rsid w:val="005C19A9"/>
    <w:rsid w:val="005C1CAA"/>
    <w:rsid w:val="005C1DE0"/>
    <w:rsid w:val="005C3A85"/>
    <w:rsid w:val="005C596A"/>
    <w:rsid w:val="005C6D6B"/>
    <w:rsid w:val="005C7C31"/>
    <w:rsid w:val="005C7CE6"/>
    <w:rsid w:val="005D0269"/>
    <w:rsid w:val="005D043B"/>
    <w:rsid w:val="005D0999"/>
    <w:rsid w:val="005D0C6F"/>
    <w:rsid w:val="005D2075"/>
    <w:rsid w:val="005D2C60"/>
    <w:rsid w:val="005D35F4"/>
    <w:rsid w:val="005D36CC"/>
    <w:rsid w:val="005D3C4D"/>
    <w:rsid w:val="005D43D7"/>
    <w:rsid w:val="005D4BCF"/>
    <w:rsid w:val="005D4EE5"/>
    <w:rsid w:val="005D51E6"/>
    <w:rsid w:val="005D521D"/>
    <w:rsid w:val="005D5635"/>
    <w:rsid w:val="005D56FD"/>
    <w:rsid w:val="005D70FE"/>
    <w:rsid w:val="005D7691"/>
    <w:rsid w:val="005D7711"/>
    <w:rsid w:val="005D772D"/>
    <w:rsid w:val="005D7C95"/>
    <w:rsid w:val="005E0960"/>
    <w:rsid w:val="005E0C4D"/>
    <w:rsid w:val="005E0C59"/>
    <w:rsid w:val="005E0C75"/>
    <w:rsid w:val="005E171E"/>
    <w:rsid w:val="005E2678"/>
    <w:rsid w:val="005E2F66"/>
    <w:rsid w:val="005E38EA"/>
    <w:rsid w:val="005E4AFD"/>
    <w:rsid w:val="005E4FC5"/>
    <w:rsid w:val="005E5253"/>
    <w:rsid w:val="005E52AD"/>
    <w:rsid w:val="005E5B14"/>
    <w:rsid w:val="005E6731"/>
    <w:rsid w:val="005E6A69"/>
    <w:rsid w:val="005E6EE3"/>
    <w:rsid w:val="005E6F68"/>
    <w:rsid w:val="005E7230"/>
    <w:rsid w:val="005E72B4"/>
    <w:rsid w:val="005F1261"/>
    <w:rsid w:val="005F1331"/>
    <w:rsid w:val="005F1EE5"/>
    <w:rsid w:val="005F1F21"/>
    <w:rsid w:val="005F3130"/>
    <w:rsid w:val="005F3E50"/>
    <w:rsid w:val="005F3E60"/>
    <w:rsid w:val="005F416F"/>
    <w:rsid w:val="005F5062"/>
    <w:rsid w:val="005F51C8"/>
    <w:rsid w:val="005F56CA"/>
    <w:rsid w:val="005F56EE"/>
    <w:rsid w:val="005F5B4E"/>
    <w:rsid w:val="005F5E3A"/>
    <w:rsid w:val="005F643A"/>
    <w:rsid w:val="005F678F"/>
    <w:rsid w:val="005F7491"/>
    <w:rsid w:val="005F776A"/>
    <w:rsid w:val="005F7C9A"/>
    <w:rsid w:val="005F7D7F"/>
    <w:rsid w:val="00600016"/>
    <w:rsid w:val="006000C5"/>
    <w:rsid w:val="00600954"/>
    <w:rsid w:val="006009E6"/>
    <w:rsid w:val="00600DB9"/>
    <w:rsid w:val="00600EA7"/>
    <w:rsid w:val="0060108A"/>
    <w:rsid w:val="0060186E"/>
    <w:rsid w:val="00601CB9"/>
    <w:rsid w:val="00601D30"/>
    <w:rsid w:val="006023E6"/>
    <w:rsid w:val="00602729"/>
    <w:rsid w:val="0060336D"/>
    <w:rsid w:val="00603624"/>
    <w:rsid w:val="0060373D"/>
    <w:rsid w:val="00604018"/>
    <w:rsid w:val="0060444D"/>
    <w:rsid w:val="00604B5D"/>
    <w:rsid w:val="00604EE7"/>
    <w:rsid w:val="006052C3"/>
    <w:rsid w:val="0060563A"/>
    <w:rsid w:val="00606293"/>
    <w:rsid w:val="0060637F"/>
    <w:rsid w:val="00606B46"/>
    <w:rsid w:val="006070A2"/>
    <w:rsid w:val="00607610"/>
    <w:rsid w:val="00607A72"/>
    <w:rsid w:val="006101FF"/>
    <w:rsid w:val="00610A60"/>
    <w:rsid w:val="0061104B"/>
    <w:rsid w:val="006112CF"/>
    <w:rsid w:val="00611A6E"/>
    <w:rsid w:val="00613028"/>
    <w:rsid w:val="006137F6"/>
    <w:rsid w:val="00613CA9"/>
    <w:rsid w:val="0061468E"/>
    <w:rsid w:val="00615DC2"/>
    <w:rsid w:val="00616355"/>
    <w:rsid w:val="00616550"/>
    <w:rsid w:val="006168CD"/>
    <w:rsid w:val="006175DE"/>
    <w:rsid w:val="00620974"/>
    <w:rsid w:val="00622127"/>
    <w:rsid w:val="0062238A"/>
    <w:rsid w:val="00622C3D"/>
    <w:rsid w:val="00622EB6"/>
    <w:rsid w:val="006230D7"/>
    <w:rsid w:val="00623196"/>
    <w:rsid w:val="00623366"/>
    <w:rsid w:val="006234F3"/>
    <w:rsid w:val="0062383A"/>
    <w:rsid w:val="00623A12"/>
    <w:rsid w:val="00623B2C"/>
    <w:rsid w:val="00623B6D"/>
    <w:rsid w:val="0062429C"/>
    <w:rsid w:val="006242B6"/>
    <w:rsid w:val="00624B5C"/>
    <w:rsid w:val="00624CEC"/>
    <w:rsid w:val="00624D54"/>
    <w:rsid w:val="006251BA"/>
    <w:rsid w:val="006251BB"/>
    <w:rsid w:val="0062585B"/>
    <w:rsid w:val="006258DE"/>
    <w:rsid w:val="00626683"/>
    <w:rsid w:val="0062686C"/>
    <w:rsid w:val="006268CD"/>
    <w:rsid w:val="00626CB3"/>
    <w:rsid w:val="00626EB6"/>
    <w:rsid w:val="0062718E"/>
    <w:rsid w:val="006301BF"/>
    <w:rsid w:val="006301DB"/>
    <w:rsid w:val="00630C2B"/>
    <w:rsid w:val="00631952"/>
    <w:rsid w:val="006326E0"/>
    <w:rsid w:val="0063281B"/>
    <w:rsid w:val="006328AC"/>
    <w:rsid w:val="0063312A"/>
    <w:rsid w:val="00633294"/>
    <w:rsid w:val="006332A2"/>
    <w:rsid w:val="006356C4"/>
    <w:rsid w:val="00636132"/>
    <w:rsid w:val="00636C99"/>
    <w:rsid w:val="0063703F"/>
    <w:rsid w:val="00637C4D"/>
    <w:rsid w:val="00637DEA"/>
    <w:rsid w:val="00641696"/>
    <w:rsid w:val="00641D8A"/>
    <w:rsid w:val="0064203A"/>
    <w:rsid w:val="006420CC"/>
    <w:rsid w:val="0064264A"/>
    <w:rsid w:val="006428E7"/>
    <w:rsid w:val="0064397A"/>
    <w:rsid w:val="006441B3"/>
    <w:rsid w:val="00644C9E"/>
    <w:rsid w:val="00645944"/>
    <w:rsid w:val="00646C7E"/>
    <w:rsid w:val="00647C3B"/>
    <w:rsid w:val="006500C4"/>
    <w:rsid w:val="00650459"/>
    <w:rsid w:val="00650999"/>
    <w:rsid w:val="00650DA1"/>
    <w:rsid w:val="0065193C"/>
    <w:rsid w:val="0065228B"/>
    <w:rsid w:val="00652471"/>
    <w:rsid w:val="0065248B"/>
    <w:rsid w:val="00652C6F"/>
    <w:rsid w:val="00653BBD"/>
    <w:rsid w:val="00653C89"/>
    <w:rsid w:val="006549B8"/>
    <w:rsid w:val="00654A52"/>
    <w:rsid w:val="00655377"/>
    <w:rsid w:val="0065602A"/>
    <w:rsid w:val="00656779"/>
    <w:rsid w:val="00656A98"/>
    <w:rsid w:val="00656B73"/>
    <w:rsid w:val="006571E9"/>
    <w:rsid w:val="00657470"/>
    <w:rsid w:val="006601ED"/>
    <w:rsid w:val="0066069E"/>
    <w:rsid w:val="00660E67"/>
    <w:rsid w:val="00661443"/>
    <w:rsid w:val="00661467"/>
    <w:rsid w:val="00661AB1"/>
    <w:rsid w:val="00661D7F"/>
    <w:rsid w:val="006624D2"/>
    <w:rsid w:val="006628C1"/>
    <w:rsid w:val="00662CC5"/>
    <w:rsid w:val="00662FFE"/>
    <w:rsid w:val="006633DC"/>
    <w:rsid w:val="006634BD"/>
    <w:rsid w:val="00664644"/>
    <w:rsid w:val="00664903"/>
    <w:rsid w:val="00664E98"/>
    <w:rsid w:val="00664F0B"/>
    <w:rsid w:val="006654F2"/>
    <w:rsid w:val="00665853"/>
    <w:rsid w:val="006660E4"/>
    <w:rsid w:val="0066616B"/>
    <w:rsid w:val="006666A3"/>
    <w:rsid w:val="00666D8F"/>
    <w:rsid w:val="00667A10"/>
    <w:rsid w:val="00667B9C"/>
    <w:rsid w:val="00667DC2"/>
    <w:rsid w:val="00670BEB"/>
    <w:rsid w:val="00670C1B"/>
    <w:rsid w:val="00670FAB"/>
    <w:rsid w:val="0067108B"/>
    <w:rsid w:val="00671227"/>
    <w:rsid w:val="006714C5"/>
    <w:rsid w:val="00671C66"/>
    <w:rsid w:val="00672654"/>
    <w:rsid w:val="00672FA6"/>
    <w:rsid w:val="0067311D"/>
    <w:rsid w:val="00673B16"/>
    <w:rsid w:val="00673DDE"/>
    <w:rsid w:val="00674548"/>
    <w:rsid w:val="0067504A"/>
    <w:rsid w:val="00677001"/>
    <w:rsid w:val="0068041E"/>
    <w:rsid w:val="00681018"/>
    <w:rsid w:val="00681C0C"/>
    <w:rsid w:val="0068210A"/>
    <w:rsid w:val="00682E49"/>
    <w:rsid w:val="00682EE7"/>
    <w:rsid w:val="006832DA"/>
    <w:rsid w:val="0068338A"/>
    <w:rsid w:val="00683664"/>
    <w:rsid w:val="00683B7E"/>
    <w:rsid w:val="00683C03"/>
    <w:rsid w:val="00683E84"/>
    <w:rsid w:val="00684B1A"/>
    <w:rsid w:val="00684C64"/>
    <w:rsid w:val="0068525B"/>
    <w:rsid w:val="00685317"/>
    <w:rsid w:val="00685C70"/>
    <w:rsid w:val="00685E2C"/>
    <w:rsid w:val="0068663E"/>
    <w:rsid w:val="00686EF3"/>
    <w:rsid w:val="0068754C"/>
    <w:rsid w:val="00690C1E"/>
    <w:rsid w:val="00690D65"/>
    <w:rsid w:val="00691038"/>
    <w:rsid w:val="00691292"/>
    <w:rsid w:val="0069198C"/>
    <w:rsid w:val="006919DA"/>
    <w:rsid w:val="006926E6"/>
    <w:rsid w:val="00693431"/>
    <w:rsid w:val="00693585"/>
    <w:rsid w:val="00694890"/>
    <w:rsid w:val="00695BE8"/>
    <w:rsid w:val="00695DFA"/>
    <w:rsid w:val="006960C6"/>
    <w:rsid w:val="00696536"/>
    <w:rsid w:val="0069660D"/>
    <w:rsid w:val="006968BF"/>
    <w:rsid w:val="006A02D6"/>
    <w:rsid w:val="006A0BAB"/>
    <w:rsid w:val="006A0E43"/>
    <w:rsid w:val="006A1A68"/>
    <w:rsid w:val="006A1E8D"/>
    <w:rsid w:val="006A20CC"/>
    <w:rsid w:val="006A2933"/>
    <w:rsid w:val="006A2E8D"/>
    <w:rsid w:val="006A374D"/>
    <w:rsid w:val="006A3DC1"/>
    <w:rsid w:val="006A421E"/>
    <w:rsid w:val="006A434C"/>
    <w:rsid w:val="006A4AE1"/>
    <w:rsid w:val="006A4BDB"/>
    <w:rsid w:val="006A4C93"/>
    <w:rsid w:val="006A5000"/>
    <w:rsid w:val="006A5A45"/>
    <w:rsid w:val="006A5AF3"/>
    <w:rsid w:val="006A606E"/>
    <w:rsid w:val="006A608F"/>
    <w:rsid w:val="006A66D4"/>
    <w:rsid w:val="006A6BF7"/>
    <w:rsid w:val="006A7379"/>
    <w:rsid w:val="006A75FA"/>
    <w:rsid w:val="006A7EC2"/>
    <w:rsid w:val="006B06D8"/>
    <w:rsid w:val="006B1535"/>
    <w:rsid w:val="006B1AA6"/>
    <w:rsid w:val="006B1D59"/>
    <w:rsid w:val="006B2491"/>
    <w:rsid w:val="006B24F9"/>
    <w:rsid w:val="006B317B"/>
    <w:rsid w:val="006B35C0"/>
    <w:rsid w:val="006B43A9"/>
    <w:rsid w:val="006B4B54"/>
    <w:rsid w:val="006B50C7"/>
    <w:rsid w:val="006B5AE5"/>
    <w:rsid w:val="006B5CBA"/>
    <w:rsid w:val="006B5E36"/>
    <w:rsid w:val="006B60A2"/>
    <w:rsid w:val="006B63C7"/>
    <w:rsid w:val="006B6963"/>
    <w:rsid w:val="006B6BB3"/>
    <w:rsid w:val="006B6D10"/>
    <w:rsid w:val="006B7589"/>
    <w:rsid w:val="006C03B0"/>
    <w:rsid w:val="006C081F"/>
    <w:rsid w:val="006C1051"/>
    <w:rsid w:val="006C1604"/>
    <w:rsid w:val="006C1678"/>
    <w:rsid w:val="006C1874"/>
    <w:rsid w:val="006C2A2E"/>
    <w:rsid w:val="006C2E24"/>
    <w:rsid w:val="006C33B4"/>
    <w:rsid w:val="006C3E03"/>
    <w:rsid w:val="006C4076"/>
    <w:rsid w:val="006C4094"/>
    <w:rsid w:val="006C45E2"/>
    <w:rsid w:val="006C46B1"/>
    <w:rsid w:val="006C4A61"/>
    <w:rsid w:val="006C4FD8"/>
    <w:rsid w:val="006C5115"/>
    <w:rsid w:val="006C564F"/>
    <w:rsid w:val="006C5CA4"/>
    <w:rsid w:val="006C5F29"/>
    <w:rsid w:val="006C6182"/>
    <w:rsid w:val="006C6199"/>
    <w:rsid w:val="006C65E6"/>
    <w:rsid w:val="006C664C"/>
    <w:rsid w:val="006C69B0"/>
    <w:rsid w:val="006D0D38"/>
    <w:rsid w:val="006D0F05"/>
    <w:rsid w:val="006D17CF"/>
    <w:rsid w:val="006D1933"/>
    <w:rsid w:val="006D21CA"/>
    <w:rsid w:val="006D2818"/>
    <w:rsid w:val="006D2A97"/>
    <w:rsid w:val="006D2DB8"/>
    <w:rsid w:val="006D39FC"/>
    <w:rsid w:val="006D4BB0"/>
    <w:rsid w:val="006D4C71"/>
    <w:rsid w:val="006D4CC2"/>
    <w:rsid w:val="006D59D7"/>
    <w:rsid w:val="006D59E7"/>
    <w:rsid w:val="006D6B62"/>
    <w:rsid w:val="006D74CC"/>
    <w:rsid w:val="006D7597"/>
    <w:rsid w:val="006D7860"/>
    <w:rsid w:val="006D7F2A"/>
    <w:rsid w:val="006D7F6A"/>
    <w:rsid w:val="006E0B92"/>
    <w:rsid w:val="006E0FEE"/>
    <w:rsid w:val="006E10EC"/>
    <w:rsid w:val="006E1FDB"/>
    <w:rsid w:val="006E2A2B"/>
    <w:rsid w:val="006E31FA"/>
    <w:rsid w:val="006E32C5"/>
    <w:rsid w:val="006E3794"/>
    <w:rsid w:val="006E3899"/>
    <w:rsid w:val="006E3921"/>
    <w:rsid w:val="006E392B"/>
    <w:rsid w:val="006E3BDF"/>
    <w:rsid w:val="006E3BE2"/>
    <w:rsid w:val="006E3C8A"/>
    <w:rsid w:val="006E40D4"/>
    <w:rsid w:val="006E427A"/>
    <w:rsid w:val="006E5350"/>
    <w:rsid w:val="006E592B"/>
    <w:rsid w:val="006E6405"/>
    <w:rsid w:val="006E679F"/>
    <w:rsid w:val="006E6B5D"/>
    <w:rsid w:val="006F05DE"/>
    <w:rsid w:val="006F0E84"/>
    <w:rsid w:val="006F1039"/>
    <w:rsid w:val="006F17FC"/>
    <w:rsid w:val="006F2174"/>
    <w:rsid w:val="006F28AC"/>
    <w:rsid w:val="006F2F5B"/>
    <w:rsid w:val="006F30E5"/>
    <w:rsid w:val="006F336B"/>
    <w:rsid w:val="006F35DF"/>
    <w:rsid w:val="006F3E7F"/>
    <w:rsid w:val="006F3FEE"/>
    <w:rsid w:val="006F46A6"/>
    <w:rsid w:val="006F5244"/>
    <w:rsid w:val="006F55C8"/>
    <w:rsid w:val="006F5652"/>
    <w:rsid w:val="006F574B"/>
    <w:rsid w:val="006F674C"/>
    <w:rsid w:val="006F6A40"/>
    <w:rsid w:val="006F7B0E"/>
    <w:rsid w:val="006F7DCD"/>
    <w:rsid w:val="00700310"/>
    <w:rsid w:val="0070085C"/>
    <w:rsid w:val="00700958"/>
    <w:rsid w:val="00700E45"/>
    <w:rsid w:val="00701CC4"/>
    <w:rsid w:val="00701DA2"/>
    <w:rsid w:val="0070216E"/>
    <w:rsid w:val="0070260D"/>
    <w:rsid w:val="0070263D"/>
    <w:rsid w:val="00702AE3"/>
    <w:rsid w:val="00702BF7"/>
    <w:rsid w:val="0070393C"/>
    <w:rsid w:val="00703C4D"/>
    <w:rsid w:val="00703C79"/>
    <w:rsid w:val="00703D69"/>
    <w:rsid w:val="007048C2"/>
    <w:rsid w:val="00704AC9"/>
    <w:rsid w:val="007053A2"/>
    <w:rsid w:val="007056CC"/>
    <w:rsid w:val="00705B13"/>
    <w:rsid w:val="00707005"/>
    <w:rsid w:val="007073CB"/>
    <w:rsid w:val="00707517"/>
    <w:rsid w:val="00707DB3"/>
    <w:rsid w:val="007106FE"/>
    <w:rsid w:val="00711408"/>
    <w:rsid w:val="007115E1"/>
    <w:rsid w:val="00711F0B"/>
    <w:rsid w:val="007123A3"/>
    <w:rsid w:val="00713490"/>
    <w:rsid w:val="0071354B"/>
    <w:rsid w:val="00713642"/>
    <w:rsid w:val="007138DF"/>
    <w:rsid w:val="00713BC4"/>
    <w:rsid w:val="007141F9"/>
    <w:rsid w:val="00714730"/>
    <w:rsid w:val="00714A9E"/>
    <w:rsid w:val="00714AF5"/>
    <w:rsid w:val="00715069"/>
    <w:rsid w:val="0071653D"/>
    <w:rsid w:val="007165B6"/>
    <w:rsid w:val="00716BE6"/>
    <w:rsid w:val="007172F4"/>
    <w:rsid w:val="0071744B"/>
    <w:rsid w:val="00717974"/>
    <w:rsid w:val="00717C8D"/>
    <w:rsid w:val="00717E22"/>
    <w:rsid w:val="00720190"/>
    <w:rsid w:val="00720923"/>
    <w:rsid w:val="00720F9F"/>
    <w:rsid w:val="0072170A"/>
    <w:rsid w:val="00721878"/>
    <w:rsid w:val="00721EB7"/>
    <w:rsid w:val="00723EE1"/>
    <w:rsid w:val="00724A98"/>
    <w:rsid w:val="00724E96"/>
    <w:rsid w:val="0072519B"/>
    <w:rsid w:val="007256E8"/>
    <w:rsid w:val="007257DB"/>
    <w:rsid w:val="0072585B"/>
    <w:rsid w:val="0072594F"/>
    <w:rsid w:val="00725B96"/>
    <w:rsid w:val="00726A37"/>
    <w:rsid w:val="00726B91"/>
    <w:rsid w:val="007276FD"/>
    <w:rsid w:val="0072782F"/>
    <w:rsid w:val="007306BF"/>
    <w:rsid w:val="0073076B"/>
    <w:rsid w:val="00730C95"/>
    <w:rsid w:val="00731096"/>
    <w:rsid w:val="00732A5E"/>
    <w:rsid w:val="007339E7"/>
    <w:rsid w:val="00733AE1"/>
    <w:rsid w:val="00733B88"/>
    <w:rsid w:val="00733D52"/>
    <w:rsid w:val="007342A8"/>
    <w:rsid w:val="00734430"/>
    <w:rsid w:val="00734871"/>
    <w:rsid w:val="00734A83"/>
    <w:rsid w:val="00735257"/>
    <w:rsid w:val="00735F5E"/>
    <w:rsid w:val="00736339"/>
    <w:rsid w:val="00736494"/>
    <w:rsid w:val="007368E5"/>
    <w:rsid w:val="007369F3"/>
    <w:rsid w:val="00736D92"/>
    <w:rsid w:val="00737353"/>
    <w:rsid w:val="007373BE"/>
    <w:rsid w:val="007374DC"/>
    <w:rsid w:val="007379D9"/>
    <w:rsid w:val="00740222"/>
    <w:rsid w:val="00740359"/>
    <w:rsid w:val="007403F2"/>
    <w:rsid w:val="007415F2"/>
    <w:rsid w:val="00741ADC"/>
    <w:rsid w:val="007422C4"/>
    <w:rsid w:val="007438B7"/>
    <w:rsid w:val="00743EE0"/>
    <w:rsid w:val="007440A4"/>
    <w:rsid w:val="00744AC5"/>
    <w:rsid w:val="00744B9C"/>
    <w:rsid w:val="00744C21"/>
    <w:rsid w:val="00745C42"/>
    <w:rsid w:val="00745FFC"/>
    <w:rsid w:val="0074602A"/>
    <w:rsid w:val="007467A7"/>
    <w:rsid w:val="00746EA9"/>
    <w:rsid w:val="00746F78"/>
    <w:rsid w:val="0074722D"/>
    <w:rsid w:val="0074731D"/>
    <w:rsid w:val="00747CBB"/>
    <w:rsid w:val="00750084"/>
    <w:rsid w:val="00750675"/>
    <w:rsid w:val="00750D4D"/>
    <w:rsid w:val="00750E3E"/>
    <w:rsid w:val="007517CC"/>
    <w:rsid w:val="00751AD4"/>
    <w:rsid w:val="0075247A"/>
    <w:rsid w:val="00753488"/>
    <w:rsid w:val="0075355F"/>
    <w:rsid w:val="007545BB"/>
    <w:rsid w:val="00754A59"/>
    <w:rsid w:val="00754B49"/>
    <w:rsid w:val="007558F5"/>
    <w:rsid w:val="00755A61"/>
    <w:rsid w:val="00756343"/>
    <w:rsid w:val="0075689B"/>
    <w:rsid w:val="00756F4E"/>
    <w:rsid w:val="00757274"/>
    <w:rsid w:val="0075727A"/>
    <w:rsid w:val="0075747F"/>
    <w:rsid w:val="007604A7"/>
    <w:rsid w:val="0076239C"/>
    <w:rsid w:val="007624C8"/>
    <w:rsid w:val="007628ED"/>
    <w:rsid w:val="00763057"/>
    <w:rsid w:val="00763182"/>
    <w:rsid w:val="00763BB6"/>
    <w:rsid w:val="007642CA"/>
    <w:rsid w:val="00764875"/>
    <w:rsid w:val="00764BDC"/>
    <w:rsid w:val="00765382"/>
    <w:rsid w:val="007669E9"/>
    <w:rsid w:val="007714EB"/>
    <w:rsid w:val="0077171F"/>
    <w:rsid w:val="00771B09"/>
    <w:rsid w:val="00771B43"/>
    <w:rsid w:val="00771E38"/>
    <w:rsid w:val="007731AA"/>
    <w:rsid w:val="00773EE1"/>
    <w:rsid w:val="0077415C"/>
    <w:rsid w:val="00774B81"/>
    <w:rsid w:val="00774BC0"/>
    <w:rsid w:val="007753A2"/>
    <w:rsid w:val="007756E5"/>
    <w:rsid w:val="00775B37"/>
    <w:rsid w:val="00776260"/>
    <w:rsid w:val="007763B2"/>
    <w:rsid w:val="00776737"/>
    <w:rsid w:val="00776CD3"/>
    <w:rsid w:val="007771BC"/>
    <w:rsid w:val="0077741E"/>
    <w:rsid w:val="007778DA"/>
    <w:rsid w:val="00780BF5"/>
    <w:rsid w:val="007824F5"/>
    <w:rsid w:val="00783A0D"/>
    <w:rsid w:val="00783E8B"/>
    <w:rsid w:val="007843E9"/>
    <w:rsid w:val="00784B6C"/>
    <w:rsid w:val="007853B1"/>
    <w:rsid w:val="007859F5"/>
    <w:rsid w:val="00786038"/>
    <w:rsid w:val="007860E8"/>
    <w:rsid w:val="007861F2"/>
    <w:rsid w:val="00787961"/>
    <w:rsid w:val="00787F49"/>
    <w:rsid w:val="0079089D"/>
    <w:rsid w:val="00790D2F"/>
    <w:rsid w:val="00791079"/>
    <w:rsid w:val="0079118E"/>
    <w:rsid w:val="007918F1"/>
    <w:rsid w:val="00791958"/>
    <w:rsid w:val="0079256A"/>
    <w:rsid w:val="00792D20"/>
    <w:rsid w:val="00793AFC"/>
    <w:rsid w:val="00793E71"/>
    <w:rsid w:val="007946E9"/>
    <w:rsid w:val="00794D2C"/>
    <w:rsid w:val="00795723"/>
    <w:rsid w:val="0079582D"/>
    <w:rsid w:val="00795F69"/>
    <w:rsid w:val="00796041"/>
    <w:rsid w:val="0079635B"/>
    <w:rsid w:val="00796AA7"/>
    <w:rsid w:val="0079799D"/>
    <w:rsid w:val="00797D08"/>
    <w:rsid w:val="007A058F"/>
    <w:rsid w:val="007A05F2"/>
    <w:rsid w:val="007A148A"/>
    <w:rsid w:val="007A23CC"/>
    <w:rsid w:val="007A25C0"/>
    <w:rsid w:val="007A2633"/>
    <w:rsid w:val="007A347C"/>
    <w:rsid w:val="007A378D"/>
    <w:rsid w:val="007A3823"/>
    <w:rsid w:val="007A3909"/>
    <w:rsid w:val="007A3EEF"/>
    <w:rsid w:val="007A3F89"/>
    <w:rsid w:val="007A40CD"/>
    <w:rsid w:val="007A456C"/>
    <w:rsid w:val="007A4B24"/>
    <w:rsid w:val="007A5461"/>
    <w:rsid w:val="007A56E6"/>
    <w:rsid w:val="007A5FAD"/>
    <w:rsid w:val="007A65DA"/>
    <w:rsid w:val="007A73A1"/>
    <w:rsid w:val="007A73F0"/>
    <w:rsid w:val="007A760D"/>
    <w:rsid w:val="007A794C"/>
    <w:rsid w:val="007A7B8D"/>
    <w:rsid w:val="007B0357"/>
    <w:rsid w:val="007B0613"/>
    <w:rsid w:val="007B06F2"/>
    <w:rsid w:val="007B22E1"/>
    <w:rsid w:val="007B2333"/>
    <w:rsid w:val="007B3402"/>
    <w:rsid w:val="007B3FA6"/>
    <w:rsid w:val="007B44B4"/>
    <w:rsid w:val="007B459A"/>
    <w:rsid w:val="007B4AD5"/>
    <w:rsid w:val="007B4C00"/>
    <w:rsid w:val="007B4F13"/>
    <w:rsid w:val="007B50DE"/>
    <w:rsid w:val="007B56E0"/>
    <w:rsid w:val="007B5B8F"/>
    <w:rsid w:val="007B5E33"/>
    <w:rsid w:val="007B5EE1"/>
    <w:rsid w:val="007B5F91"/>
    <w:rsid w:val="007B6F42"/>
    <w:rsid w:val="007B758D"/>
    <w:rsid w:val="007B7683"/>
    <w:rsid w:val="007C0F06"/>
    <w:rsid w:val="007C244A"/>
    <w:rsid w:val="007C2692"/>
    <w:rsid w:val="007C26F0"/>
    <w:rsid w:val="007C27F8"/>
    <w:rsid w:val="007C2A04"/>
    <w:rsid w:val="007C2E40"/>
    <w:rsid w:val="007C30D2"/>
    <w:rsid w:val="007C31E4"/>
    <w:rsid w:val="007C3337"/>
    <w:rsid w:val="007C3B0F"/>
    <w:rsid w:val="007C3DB4"/>
    <w:rsid w:val="007C424C"/>
    <w:rsid w:val="007C485E"/>
    <w:rsid w:val="007C4BC6"/>
    <w:rsid w:val="007C5110"/>
    <w:rsid w:val="007C5AC7"/>
    <w:rsid w:val="007C5F78"/>
    <w:rsid w:val="007C6031"/>
    <w:rsid w:val="007C61D3"/>
    <w:rsid w:val="007C72B7"/>
    <w:rsid w:val="007C757E"/>
    <w:rsid w:val="007C7B45"/>
    <w:rsid w:val="007C7D63"/>
    <w:rsid w:val="007D04AB"/>
    <w:rsid w:val="007D07E5"/>
    <w:rsid w:val="007D0E50"/>
    <w:rsid w:val="007D27A5"/>
    <w:rsid w:val="007D28A0"/>
    <w:rsid w:val="007D2A69"/>
    <w:rsid w:val="007D32D2"/>
    <w:rsid w:val="007D38D1"/>
    <w:rsid w:val="007D4BF8"/>
    <w:rsid w:val="007D4D64"/>
    <w:rsid w:val="007D4DA8"/>
    <w:rsid w:val="007D5078"/>
    <w:rsid w:val="007D578C"/>
    <w:rsid w:val="007D5D26"/>
    <w:rsid w:val="007D66A4"/>
    <w:rsid w:val="007D67C4"/>
    <w:rsid w:val="007D6B03"/>
    <w:rsid w:val="007E06DF"/>
    <w:rsid w:val="007E0941"/>
    <w:rsid w:val="007E12F6"/>
    <w:rsid w:val="007E17E4"/>
    <w:rsid w:val="007E1DE3"/>
    <w:rsid w:val="007E1F9D"/>
    <w:rsid w:val="007E2338"/>
    <w:rsid w:val="007E2407"/>
    <w:rsid w:val="007E28CA"/>
    <w:rsid w:val="007E3EB9"/>
    <w:rsid w:val="007E4719"/>
    <w:rsid w:val="007E48AA"/>
    <w:rsid w:val="007E5383"/>
    <w:rsid w:val="007E579F"/>
    <w:rsid w:val="007E5FEC"/>
    <w:rsid w:val="007E6464"/>
    <w:rsid w:val="007E65E3"/>
    <w:rsid w:val="007E69E2"/>
    <w:rsid w:val="007E73C9"/>
    <w:rsid w:val="007F0706"/>
    <w:rsid w:val="007F0B1A"/>
    <w:rsid w:val="007F2738"/>
    <w:rsid w:val="007F29CD"/>
    <w:rsid w:val="007F2C36"/>
    <w:rsid w:val="007F2CE2"/>
    <w:rsid w:val="007F3007"/>
    <w:rsid w:val="007F3167"/>
    <w:rsid w:val="007F3AD0"/>
    <w:rsid w:val="007F3E87"/>
    <w:rsid w:val="007F3EB6"/>
    <w:rsid w:val="007F3FF7"/>
    <w:rsid w:val="007F4039"/>
    <w:rsid w:val="007F43C4"/>
    <w:rsid w:val="007F4788"/>
    <w:rsid w:val="007F4946"/>
    <w:rsid w:val="007F4E24"/>
    <w:rsid w:val="007F588E"/>
    <w:rsid w:val="007F5E38"/>
    <w:rsid w:val="007F5E3F"/>
    <w:rsid w:val="007F5EC6"/>
    <w:rsid w:val="007F614F"/>
    <w:rsid w:val="007F64F2"/>
    <w:rsid w:val="007F6733"/>
    <w:rsid w:val="007F6C8D"/>
    <w:rsid w:val="007F73DE"/>
    <w:rsid w:val="007F7EB4"/>
    <w:rsid w:val="007F7EF8"/>
    <w:rsid w:val="008008CD"/>
    <w:rsid w:val="008008E2"/>
    <w:rsid w:val="0080121D"/>
    <w:rsid w:val="00801AAA"/>
    <w:rsid w:val="00801DC6"/>
    <w:rsid w:val="008038E8"/>
    <w:rsid w:val="00803FEC"/>
    <w:rsid w:val="008045A5"/>
    <w:rsid w:val="008059CA"/>
    <w:rsid w:val="00805CEC"/>
    <w:rsid w:val="00806998"/>
    <w:rsid w:val="00806C75"/>
    <w:rsid w:val="00807400"/>
    <w:rsid w:val="00807AD4"/>
    <w:rsid w:val="00810D41"/>
    <w:rsid w:val="008115C0"/>
    <w:rsid w:val="0081168C"/>
    <w:rsid w:val="008119D4"/>
    <w:rsid w:val="00812DDA"/>
    <w:rsid w:val="008132CC"/>
    <w:rsid w:val="00813810"/>
    <w:rsid w:val="00813D71"/>
    <w:rsid w:val="00814462"/>
    <w:rsid w:val="008151CD"/>
    <w:rsid w:val="00815210"/>
    <w:rsid w:val="0081549B"/>
    <w:rsid w:val="008156DB"/>
    <w:rsid w:val="00815FA9"/>
    <w:rsid w:val="008165CB"/>
    <w:rsid w:val="00816793"/>
    <w:rsid w:val="00816D39"/>
    <w:rsid w:val="00817069"/>
    <w:rsid w:val="00817105"/>
    <w:rsid w:val="00817613"/>
    <w:rsid w:val="0081766A"/>
    <w:rsid w:val="0081775F"/>
    <w:rsid w:val="00817A51"/>
    <w:rsid w:val="00817BAE"/>
    <w:rsid w:val="00817C4F"/>
    <w:rsid w:val="00817D4F"/>
    <w:rsid w:val="00817EE7"/>
    <w:rsid w:val="0082003E"/>
    <w:rsid w:val="0082132E"/>
    <w:rsid w:val="0082133F"/>
    <w:rsid w:val="00821793"/>
    <w:rsid w:val="008218E8"/>
    <w:rsid w:val="00821FA4"/>
    <w:rsid w:val="00822192"/>
    <w:rsid w:val="008223C6"/>
    <w:rsid w:val="00822894"/>
    <w:rsid w:val="00822B7C"/>
    <w:rsid w:val="00822EF6"/>
    <w:rsid w:val="008236BC"/>
    <w:rsid w:val="00824832"/>
    <w:rsid w:val="0082547F"/>
    <w:rsid w:val="0082567C"/>
    <w:rsid w:val="00826565"/>
    <w:rsid w:val="008267C7"/>
    <w:rsid w:val="00826B75"/>
    <w:rsid w:val="00827290"/>
    <w:rsid w:val="00827795"/>
    <w:rsid w:val="008277F4"/>
    <w:rsid w:val="00827B45"/>
    <w:rsid w:val="00827C40"/>
    <w:rsid w:val="00827E8E"/>
    <w:rsid w:val="008301FF"/>
    <w:rsid w:val="00830465"/>
    <w:rsid w:val="00830B56"/>
    <w:rsid w:val="00830C97"/>
    <w:rsid w:val="00831178"/>
    <w:rsid w:val="008316A7"/>
    <w:rsid w:val="0083192A"/>
    <w:rsid w:val="00831D18"/>
    <w:rsid w:val="00833309"/>
    <w:rsid w:val="008333A4"/>
    <w:rsid w:val="008342BC"/>
    <w:rsid w:val="00834CB1"/>
    <w:rsid w:val="00835B87"/>
    <w:rsid w:val="00836A7D"/>
    <w:rsid w:val="00837721"/>
    <w:rsid w:val="0084005C"/>
    <w:rsid w:val="00840422"/>
    <w:rsid w:val="00840768"/>
    <w:rsid w:val="008408E0"/>
    <w:rsid w:val="0084097D"/>
    <w:rsid w:val="00840BAA"/>
    <w:rsid w:val="00840CFB"/>
    <w:rsid w:val="008412D8"/>
    <w:rsid w:val="00841345"/>
    <w:rsid w:val="008428EF"/>
    <w:rsid w:val="0084315D"/>
    <w:rsid w:val="00843546"/>
    <w:rsid w:val="008435DC"/>
    <w:rsid w:val="00843780"/>
    <w:rsid w:val="0084433C"/>
    <w:rsid w:val="008448D3"/>
    <w:rsid w:val="00845491"/>
    <w:rsid w:val="008454B1"/>
    <w:rsid w:val="00845A9A"/>
    <w:rsid w:val="00845B70"/>
    <w:rsid w:val="00845C3A"/>
    <w:rsid w:val="00845E30"/>
    <w:rsid w:val="00845FE7"/>
    <w:rsid w:val="008470BD"/>
    <w:rsid w:val="008478F9"/>
    <w:rsid w:val="008507C3"/>
    <w:rsid w:val="00850E37"/>
    <w:rsid w:val="0085130C"/>
    <w:rsid w:val="00851580"/>
    <w:rsid w:val="00851768"/>
    <w:rsid w:val="00851AFD"/>
    <w:rsid w:val="00852434"/>
    <w:rsid w:val="00853147"/>
    <w:rsid w:val="00854D7B"/>
    <w:rsid w:val="00854FA4"/>
    <w:rsid w:val="0085585C"/>
    <w:rsid w:val="008559FD"/>
    <w:rsid w:val="00855E43"/>
    <w:rsid w:val="00855FDD"/>
    <w:rsid w:val="008566BE"/>
    <w:rsid w:val="00856F19"/>
    <w:rsid w:val="0085756E"/>
    <w:rsid w:val="00857961"/>
    <w:rsid w:val="008615FD"/>
    <w:rsid w:val="00862175"/>
    <w:rsid w:val="008624D3"/>
    <w:rsid w:val="008628E3"/>
    <w:rsid w:val="00862CF5"/>
    <w:rsid w:val="008631D0"/>
    <w:rsid w:val="00863476"/>
    <w:rsid w:val="00863787"/>
    <w:rsid w:val="00863CEF"/>
    <w:rsid w:val="008645AC"/>
    <w:rsid w:val="0086486B"/>
    <w:rsid w:val="0086549F"/>
    <w:rsid w:val="008655F5"/>
    <w:rsid w:val="00865651"/>
    <w:rsid w:val="00865C6D"/>
    <w:rsid w:val="00865D6E"/>
    <w:rsid w:val="00866294"/>
    <w:rsid w:val="008664A4"/>
    <w:rsid w:val="0086734B"/>
    <w:rsid w:val="008674E1"/>
    <w:rsid w:val="00870E90"/>
    <w:rsid w:val="00870ECC"/>
    <w:rsid w:val="00871E19"/>
    <w:rsid w:val="00871F21"/>
    <w:rsid w:val="00872A4A"/>
    <w:rsid w:val="00872FA3"/>
    <w:rsid w:val="0087407A"/>
    <w:rsid w:val="008747FB"/>
    <w:rsid w:val="008749B1"/>
    <w:rsid w:val="00874A25"/>
    <w:rsid w:val="008757EC"/>
    <w:rsid w:val="00875831"/>
    <w:rsid w:val="008759CF"/>
    <w:rsid w:val="00875ABD"/>
    <w:rsid w:val="00875ECC"/>
    <w:rsid w:val="008767BE"/>
    <w:rsid w:val="008776ED"/>
    <w:rsid w:val="00877A90"/>
    <w:rsid w:val="00877DDA"/>
    <w:rsid w:val="00880848"/>
    <w:rsid w:val="00880E58"/>
    <w:rsid w:val="008810B2"/>
    <w:rsid w:val="008813BE"/>
    <w:rsid w:val="00881C63"/>
    <w:rsid w:val="00882928"/>
    <w:rsid w:val="008829D7"/>
    <w:rsid w:val="00882B77"/>
    <w:rsid w:val="00883331"/>
    <w:rsid w:val="008835B3"/>
    <w:rsid w:val="00883E86"/>
    <w:rsid w:val="00884775"/>
    <w:rsid w:val="00884946"/>
    <w:rsid w:val="008853C4"/>
    <w:rsid w:val="00885DEA"/>
    <w:rsid w:val="008867D2"/>
    <w:rsid w:val="00886E96"/>
    <w:rsid w:val="0088747B"/>
    <w:rsid w:val="00887745"/>
    <w:rsid w:val="00890053"/>
    <w:rsid w:val="0089036F"/>
    <w:rsid w:val="0089065A"/>
    <w:rsid w:val="00891183"/>
    <w:rsid w:val="008914BD"/>
    <w:rsid w:val="0089161C"/>
    <w:rsid w:val="00891769"/>
    <w:rsid w:val="00892150"/>
    <w:rsid w:val="008925F4"/>
    <w:rsid w:val="00892EDD"/>
    <w:rsid w:val="00893307"/>
    <w:rsid w:val="00893852"/>
    <w:rsid w:val="00893D85"/>
    <w:rsid w:val="008941F7"/>
    <w:rsid w:val="0089425E"/>
    <w:rsid w:val="00894573"/>
    <w:rsid w:val="0089458A"/>
    <w:rsid w:val="0089467D"/>
    <w:rsid w:val="008948CE"/>
    <w:rsid w:val="00894B1F"/>
    <w:rsid w:val="00894FC6"/>
    <w:rsid w:val="008955E3"/>
    <w:rsid w:val="008971CE"/>
    <w:rsid w:val="008979F1"/>
    <w:rsid w:val="008A0B36"/>
    <w:rsid w:val="008A0BED"/>
    <w:rsid w:val="008A0F4E"/>
    <w:rsid w:val="008A153C"/>
    <w:rsid w:val="008A1BC2"/>
    <w:rsid w:val="008A1F21"/>
    <w:rsid w:val="008A24D0"/>
    <w:rsid w:val="008A25A5"/>
    <w:rsid w:val="008A2A9E"/>
    <w:rsid w:val="008A2C70"/>
    <w:rsid w:val="008A330E"/>
    <w:rsid w:val="008A3BF8"/>
    <w:rsid w:val="008A4642"/>
    <w:rsid w:val="008A4C29"/>
    <w:rsid w:val="008A4E61"/>
    <w:rsid w:val="008A5085"/>
    <w:rsid w:val="008A525F"/>
    <w:rsid w:val="008A6186"/>
    <w:rsid w:val="008A6950"/>
    <w:rsid w:val="008B002C"/>
    <w:rsid w:val="008B07B3"/>
    <w:rsid w:val="008B1A60"/>
    <w:rsid w:val="008B1B78"/>
    <w:rsid w:val="008B21DD"/>
    <w:rsid w:val="008B2B61"/>
    <w:rsid w:val="008B31E2"/>
    <w:rsid w:val="008B39D2"/>
    <w:rsid w:val="008B3AD9"/>
    <w:rsid w:val="008B3B7B"/>
    <w:rsid w:val="008B3B9B"/>
    <w:rsid w:val="008B3E10"/>
    <w:rsid w:val="008B4331"/>
    <w:rsid w:val="008B489A"/>
    <w:rsid w:val="008B48EF"/>
    <w:rsid w:val="008B508D"/>
    <w:rsid w:val="008B513A"/>
    <w:rsid w:val="008B5490"/>
    <w:rsid w:val="008B5BA7"/>
    <w:rsid w:val="008B6301"/>
    <w:rsid w:val="008B64B1"/>
    <w:rsid w:val="008B7CAB"/>
    <w:rsid w:val="008C09E0"/>
    <w:rsid w:val="008C1167"/>
    <w:rsid w:val="008C225E"/>
    <w:rsid w:val="008C2705"/>
    <w:rsid w:val="008C271E"/>
    <w:rsid w:val="008C2B02"/>
    <w:rsid w:val="008C2E5B"/>
    <w:rsid w:val="008C2FD2"/>
    <w:rsid w:val="008C37B2"/>
    <w:rsid w:val="008C4736"/>
    <w:rsid w:val="008C4925"/>
    <w:rsid w:val="008C5612"/>
    <w:rsid w:val="008C56E3"/>
    <w:rsid w:val="008C608E"/>
    <w:rsid w:val="008C68F0"/>
    <w:rsid w:val="008C6E73"/>
    <w:rsid w:val="008C6EA4"/>
    <w:rsid w:val="008C6EF8"/>
    <w:rsid w:val="008C7126"/>
    <w:rsid w:val="008C737A"/>
    <w:rsid w:val="008C7754"/>
    <w:rsid w:val="008D0BBE"/>
    <w:rsid w:val="008D0C83"/>
    <w:rsid w:val="008D133A"/>
    <w:rsid w:val="008D1CE2"/>
    <w:rsid w:val="008D2521"/>
    <w:rsid w:val="008D2D06"/>
    <w:rsid w:val="008D2FC7"/>
    <w:rsid w:val="008D31C4"/>
    <w:rsid w:val="008D34FB"/>
    <w:rsid w:val="008D3626"/>
    <w:rsid w:val="008D4766"/>
    <w:rsid w:val="008D4AE0"/>
    <w:rsid w:val="008D50E6"/>
    <w:rsid w:val="008D52AA"/>
    <w:rsid w:val="008D5F2C"/>
    <w:rsid w:val="008D6302"/>
    <w:rsid w:val="008D723E"/>
    <w:rsid w:val="008D79E9"/>
    <w:rsid w:val="008D7B17"/>
    <w:rsid w:val="008E0113"/>
    <w:rsid w:val="008E037B"/>
    <w:rsid w:val="008E0C79"/>
    <w:rsid w:val="008E1526"/>
    <w:rsid w:val="008E1B69"/>
    <w:rsid w:val="008E1CDA"/>
    <w:rsid w:val="008E201E"/>
    <w:rsid w:val="008E201F"/>
    <w:rsid w:val="008E2437"/>
    <w:rsid w:val="008E26BC"/>
    <w:rsid w:val="008E2C6C"/>
    <w:rsid w:val="008E3222"/>
    <w:rsid w:val="008E3273"/>
    <w:rsid w:val="008E4811"/>
    <w:rsid w:val="008E4861"/>
    <w:rsid w:val="008E4E1C"/>
    <w:rsid w:val="008E4EEE"/>
    <w:rsid w:val="008E6A39"/>
    <w:rsid w:val="008E7481"/>
    <w:rsid w:val="008F0993"/>
    <w:rsid w:val="008F0F41"/>
    <w:rsid w:val="008F1D21"/>
    <w:rsid w:val="008F23FC"/>
    <w:rsid w:val="008F2733"/>
    <w:rsid w:val="008F2881"/>
    <w:rsid w:val="008F39DD"/>
    <w:rsid w:val="008F3FB7"/>
    <w:rsid w:val="008F4354"/>
    <w:rsid w:val="008F54C0"/>
    <w:rsid w:val="008F5747"/>
    <w:rsid w:val="008F69A3"/>
    <w:rsid w:val="008F74DD"/>
    <w:rsid w:val="008F7A9D"/>
    <w:rsid w:val="008F7AD4"/>
    <w:rsid w:val="008F7C9F"/>
    <w:rsid w:val="008F7DCC"/>
    <w:rsid w:val="00900339"/>
    <w:rsid w:val="00900E95"/>
    <w:rsid w:val="00901A36"/>
    <w:rsid w:val="00902253"/>
    <w:rsid w:val="00902560"/>
    <w:rsid w:val="00903553"/>
    <w:rsid w:val="0090379C"/>
    <w:rsid w:val="0090399F"/>
    <w:rsid w:val="00903BB9"/>
    <w:rsid w:val="00904011"/>
    <w:rsid w:val="0090442D"/>
    <w:rsid w:val="0090468A"/>
    <w:rsid w:val="0090545A"/>
    <w:rsid w:val="0090576A"/>
    <w:rsid w:val="00905D14"/>
    <w:rsid w:val="00906523"/>
    <w:rsid w:val="00906BDF"/>
    <w:rsid w:val="00906C57"/>
    <w:rsid w:val="009071A1"/>
    <w:rsid w:val="0090755B"/>
    <w:rsid w:val="00910109"/>
    <w:rsid w:val="0091220A"/>
    <w:rsid w:val="00912377"/>
    <w:rsid w:val="0091393F"/>
    <w:rsid w:val="00913A75"/>
    <w:rsid w:val="00913CCA"/>
    <w:rsid w:val="00914627"/>
    <w:rsid w:val="00915376"/>
    <w:rsid w:val="00916039"/>
    <w:rsid w:val="00916D9F"/>
    <w:rsid w:val="00917269"/>
    <w:rsid w:val="0092045E"/>
    <w:rsid w:val="00920692"/>
    <w:rsid w:val="00921222"/>
    <w:rsid w:val="0092197D"/>
    <w:rsid w:val="00921F67"/>
    <w:rsid w:val="00922CA6"/>
    <w:rsid w:val="00922CE0"/>
    <w:rsid w:val="0092318D"/>
    <w:rsid w:val="00923E7E"/>
    <w:rsid w:val="009241A0"/>
    <w:rsid w:val="00924C79"/>
    <w:rsid w:val="009254B6"/>
    <w:rsid w:val="00925E1D"/>
    <w:rsid w:val="00925E2F"/>
    <w:rsid w:val="00925E93"/>
    <w:rsid w:val="00926190"/>
    <w:rsid w:val="00926F52"/>
    <w:rsid w:val="009275AC"/>
    <w:rsid w:val="00927B23"/>
    <w:rsid w:val="009304B9"/>
    <w:rsid w:val="009308FF"/>
    <w:rsid w:val="0093183C"/>
    <w:rsid w:val="00931B65"/>
    <w:rsid w:val="00931BA4"/>
    <w:rsid w:val="00932887"/>
    <w:rsid w:val="00932E8F"/>
    <w:rsid w:val="00933106"/>
    <w:rsid w:val="009334EF"/>
    <w:rsid w:val="00933A0D"/>
    <w:rsid w:val="00933E27"/>
    <w:rsid w:val="00934108"/>
    <w:rsid w:val="00934518"/>
    <w:rsid w:val="00934E61"/>
    <w:rsid w:val="0093584A"/>
    <w:rsid w:val="0093641E"/>
    <w:rsid w:val="00936DFE"/>
    <w:rsid w:val="00940006"/>
    <w:rsid w:val="00940518"/>
    <w:rsid w:val="0094091A"/>
    <w:rsid w:val="00940AD5"/>
    <w:rsid w:val="00941095"/>
    <w:rsid w:val="0094183D"/>
    <w:rsid w:val="0094195B"/>
    <w:rsid w:val="00941C63"/>
    <w:rsid w:val="00941E27"/>
    <w:rsid w:val="00942637"/>
    <w:rsid w:val="00942C3B"/>
    <w:rsid w:val="00942DB8"/>
    <w:rsid w:val="00942DCE"/>
    <w:rsid w:val="0094383A"/>
    <w:rsid w:val="00943A4D"/>
    <w:rsid w:val="00944425"/>
    <w:rsid w:val="009446D9"/>
    <w:rsid w:val="00944BBB"/>
    <w:rsid w:val="00946B5A"/>
    <w:rsid w:val="00946C42"/>
    <w:rsid w:val="00947038"/>
    <w:rsid w:val="00950656"/>
    <w:rsid w:val="00951334"/>
    <w:rsid w:val="0095149B"/>
    <w:rsid w:val="00951631"/>
    <w:rsid w:val="009519EA"/>
    <w:rsid w:val="00952BDC"/>
    <w:rsid w:val="00952C10"/>
    <w:rsid w:val="00953392"/>
    <w:rsid w:val="009537F7"/>
    <w:rsid w:val="00953E8A"/>
    <w:rsid w:val="0095450E"/>
    <w:rsid w:val="00954722"/>
    <w:rsid w:val="009557E7"/>
    <w:rsid w:val="00955F15"/>
    <w:rsid w:val="00956E31"/>
    <w:rsid w:val="00956F40"/>
    <w:rsid w:val="009570D6"/>
    <w:rsid w:val="0095785F"/>
    <w:rsid w:val="00957C15"/>
    <w:rsid w:val="00957F04"/>
    <w:rsid w:val="009615AE"/>
    <w:rsid w:val="00961A75"/>
    <w:rsid w:val="0096216A"/>
    <w:rsid w:val="0096224B"/>
    <w:rsid w:val="009627CE"/>
    <w:rsid w:val="00962A39"/>
    <w:rsid w:val="0096336D"/>
    <w:rsid w:val="00963C05"/>
    <w:rsid w:val="00964C8D"/>
    <w:rsid w:val="00964F2E"/>
    <w:rsid w:val="00965180"/>
    <w:rsid w:val="009652D0"/>
    <w:rsid w:val="00965794"/>
    <w:rsid w:val="0096584B"/>
    <w:rsid w:val="009659ED"/>
    <w:rsid w:val="00966A38"/>
    <w:rsid w:val="00966FB5"/>
    <w:rsid w:val="0096737D"/>
    <w:rsid w:val="0096748F"/>
    <w:rsid w:val="00967A44"/>
    <w:rsid w:val="00967EC8"/>
    <w:rsid w:val="00970144"/>
    <w:rsid w:val="0097026A"/>
    <w:rsid w:val="00970371"/>
    <w:rsid w:val="00970A7C"/>
    <w:rsid w:val="00971847"/>
    <w:rsid w:val="00971F17"/>
    <w:rsid w:val="00972180"/>
    <w:rsid w:val="0097218C"/>
    <w:rsid w:val="00972D32"/>
    <w:rsid w:val="00972E0A"/>
    <w:rsid w:val="00973FB1"/>
    <w:rsid w:val="009748DE"/>
    <w:rsid w:val="009755F3"/>
    <w:rsid w:val="00975C3B"/>
    <w:rsid w:val="00975FB0"/>
    <w:rsid w:val="00976175"/>
    <w:rsid w:val="00977BBF"/>
    <w:rsid w:val="00977CF4"/>
    <w:rsid w:val="009809B4"/>
    <w:rsid w:val="0098114F"/>
    <w:rsid w:val="00981682"/>
    <w:rsid w:val="00981D5F"/>
    <w:rsid w:val="009826CE"/>
    <w:rsid w:val="00982ECD"/>
    <w:rsid w:val="00983577"/>
    <w:rsid w:val="009841A9"/>
    <w:rsid w:val="00984E88"/>
    <w:rsid w:val="00984EB7"/>
    <w:rsid w:val="0098505E"/>
    <w:rsid w:val="00985063"/>
    <w:rsid w:val="009857A9"/>
    <w:rsid w:val="00985902"/>
    <w:rsid w:val="00985A59"/>
    <w:rsid w:val="00985C51"/>
    <w:rsid w:val="00985ED8"/>
    <w:rsid w:val="00986B47"/>
    <w:rsid w:val="009874E7"/>
    <w:rsid w:val="00987829"/>
    <w:rsid w:val="00987ABC"/>
    <w:rsid w:val="0099053A"/>
    <w:rsid w:val="00991187"/>
    <w:rsid w:val="009928D9"/>
    <w:rsid w:val="009929A7"/>
    <w:rsid w:val="00992ECF"/>
    <w:rsid w:val="0099333F"/>
    <w:rsid w:val="00993382"/>
    <w:rsid w:val="0099341A"/>
    <w:rsid w:val="00993C62"/>
    <w:rsid w:val="00994273"/>
    <w:rsid w:val="009945EF"/>
    <w:rsid w:val="00994AC0"/>
    <w:rsid w:val="0099530E"/>
    <w:rsid w:val="009953CE"/>
    <w:rsid w:val="00995527"/>
    <w:rsid w:val="0099581B"/>
    <w:rsid w:val="00996328"/>
    <w:rsid w:val="009971BD"/>
    <w:rsid w:val="009972D9"/>
    <w:rsid w:val="009A03F5"/>
    <w:rsid w:val="009A142A"/>
    <w:rsid w:val="009A1A20"/>
    <w:rsid w:val="009A1E38"/>
    <w:rsid w:val="009A1E52"/>
    <w:rsid w:val="009A2A18"/>
    <w:rsid w:val="009A2B7E"/>
    <w:rsid w:val="009A2D1F"/>
    <w:rsid w:val="009A4575"/>
    <w:rsid w:val="009A5039"/>
    <w:rsid w:val="009A534E"/>
    <w:rsid w:val="009A5816"/>
    <w:rsid w:val="009A6561"/>
    <w:rsid w:val="009A661F"/>
    <w:rsid w:val="009A685B"/>
    <w:rsid w:val="009A6F9B"/>
    <w:rsid w:val="009A793B"/>
    <w:rsid w:val="009A79E1"/>
    <w:rsid w:val="009A7C99"/>
    <w:rsid w:val="009B079B"/>
    <w:rsid w:val="009B0868"/>
    <w:rsid w:val="009B0BDF"/>
    <w:rsid w:val="009B0F35"/>
    <w:rsid w:val="009B17C4"/>
    <w:rsid w:val="009B1B16"/>
    <w:rsid w:val="009B1C19"/>
    <w:rsid w:val="009B1EE1"/>
    <w:rsid w:val="009B2479"/>
    <w:rsid w:val="009B2CCC"/>
    <w:rsid w:val="009B3671"/>
    <w:rsid w:val="009B4553"/>
    <w:rsid w:val="009B4755"/>
    <w:rsid w:val="009B4AB2"/>
    <w:rsid w:val="009B4BA3"/>
    <w:rsid w:val="009B4F92"/>
    <w:rsid w:val="009B54FD"/>
    <w:rsid w:val="009B57C8"/>
    <w:rsid w:val="009B5C30"/>
    <w:rsid w:val="009B5D66"/>
    <w:rsid w:val="009B6027"/>
    <w:rsid w:val="009B612A"/>
    <w:rsid w:val="009B6140"/>
    <w:rsid w:val="009B6E68"/>
    <w:rsid w:val="009B76B9"/>
    <w:rsid w:val="009B7A21"/>
    <w:rsid w:val="009B7BF0"/>
    <w:rsid w:val="009B7E6F"/>
    <w:rsid w:val="009B7F92"/>
    <w:rsid w:val="009C04A2"/>
    <w:rsid w:val="009C127E"/>
    <w:rsid w:val="009C1921"/>
    <w:rsid w:val="009C1A52"/>
    <w:rsid w:val="009C1CA2"/>
    <w:rsid w:val="009C2226"/>
    <w:rsid w:val="009C2EEC"/>
    <w:rsid w:val="009C3353"/>
    <w:rsid w:val="009C4482"/>
    <w:rsid w:val="009C459C"/>
    <w:rsid w:val="009C481A"/>
    <w:rsid w:val="009C4C63"/>
    <w:rsid w:val="009C4CDD"/>
    <w:rsid w:val="009C4F07"/>
    <w:rsid w:val="009C4FB1"/>
    <w:rsid w:val="009C54D0"/>
    <w:rsid w:val="009C5859"/>
    <w:rsid w:val="009C59D8"/>
    <w:rsid w:val="009C5CC1"/>
    <w:rsid w:val="009C660D"/>
    <w:rsid w:val="009C6644"/>
    <w:rsid w:val="009C699C"/>
    <w:rsid w:val="009C6B29"/>
    <w:rsid w:val="009C6C18"/>
    <w:rsid w:val="009C7305"/>
    <w:rsid w:val="009C775F"/>
    <w:rsid w:val="009C7B82"/>
    <w:rsid w:val="009C7C14"/>
    <w:rsid w:val="009D01C2"/>
    <w:rsid w:val="009D03A8"/>
    <w:rsid w:val="009D0901"/>
    <w:rsid w:val="009D0EAC"/>
    <w:rsid w:val="009D1CD4"/>
    <w:rsid w:val="009D2306"/>
    <w:rsid w:val="009D260D"/>
    <w:rsid w:val="009D286A"/>
    <w:rsid w:val="009D288F"/>
    <w:rsid w:val="009D3195"/>
    <w:rsid w:val="009D398A"/>
    <w:rsid w:val="009D3C8B"/>
    <w:rsid w:val="009D43C1"/>
    <w:rsid w:val="009D4611"/>
    <w:rsid w:val="009D4D29"/>
    <w:rsid w:val="009D61F6"/>
    <w:rsid w:val="009D6244"/>
    <w:rsid w:val="009D6256"/>
    <w:rsid w:val="009D70A2"/>
    <w:rsid w:val="009D7383"/>
    <w:rsid w:val="009D7889"/>
    <w:rsid w:val="009D7C86"/>
    <w:rsid w:val="009E0256"/>
    <w:rsid w:val="009E0AAA"/>
    <w:rsid w:val="009E0E36"/>
    <w:rsid w:val="009E1527"/>
    <w:rsid w:val="009E19A3"/>
    <w:rsid w:val="009E1D7F"/>
    <w:rsid w:val="009E239D"/>
    <w:rsid w:val="009E2968"/>
    <w:rsid w:val="009E2D38"/>
    <w:rsid w:val="009E33AF"/>
    <w:rsid w:val="009E37A6"/>
    <w:rsid w:val="009E3B79"/>
    <w:rsid w:val="009E3B87"/>
    <w:rsid w:val="009E43E5"/>
    <w:rsid w:val="009E4FDF"/>
    <w:rsid w:val="009E53F7"/>
    <w:rsid w:val="009E552F"/>
    <w:rsid w:val="009E5639"/>
    <w:rsid w:val="009E59CC"/>
    <w:rsid w:val="009E61FD"/>
    <w:rsid w:val="009E71F0"/>
    <w:rsid w:val="009E7478"/>
    <w:rsid w:val="009E7870"/>
    <w:rsid w:val="009E7E0E"/>
    <w:rsid w:val="009F1060"/>
    <w:rsid w:val="009F1CD9"/>
    <w:rsid w:val="009F22A0"/>
    <w:rsid w:val="009F2B3B"/>
    <w:rsid w:val="009F3EA9"/>
    <w:rsid w:val="009F4108"/>
    <w:rsid w:val="009F4672"/>
    <w:rsid w:val="009F4721"/>
    <w:rsid w:val="009F4A8B"/>
    <w:rsid w:val="009F4F77"/>
    <w:rsid w:val="009F5479"/>
    <w:rsid w:val="009F599A"/>
    <w:rsid w:val="009F5C2A"/>
    <w:rsid w:val="009F6310"/>
    <w:rsid w:val="009F73F7"/>
    <w:rsid w:val="009F76FC"/>
    <w:rsid w:val="00A00045"/>
    <w:rsid w:val="00A006E0"/>
    <w:rsid w:val="00A00AE1"/>
    <w:rsid w:val="00A00CE0"/>
    <w:rsid w:val="00A01068"/>
    <w:rsid w:val="00A023B9"/>
    <w:rsid w:val="00A024D0"/>
    <w:rsid w:val="00A0285D"/>
    <w:rsid w:val="00A02899"/>
    <w:rsid w:val="00A02A68"/>
    <w:rsid w:val="00A02B25"/>
    <w:rsid w:val="00A02E68"/>
    <w:rsid w:val="00A02F00"/>
    <w:rsid w:val="00A02F04"/>
    <w:rsid w:val="00A043B5"/>
    <w:rsid w:val="00A04C12"/>
    <w:rsid w:val="00A054A1"/>
    <w:rsid w:val="00A05E0D"/>
    <w:rsid w:val="00A06631"/>
    <w:rsid w:val="00A06CA6"/>
    <w:rsid w:val="00A06EFA"/>
    <w:rsid w:val="00A0704D"/>
    <w:rsid w:val="00A071BB"/>
    <w:rsid w:val="00A079C6"/>
    <w:rsid w:val="00A07E31"/>
    <w:rsid w:val="00A1045B"/>
    <w:rsid w:val="00A10826"/>
    <w:rsid w:val="00A10ED0"/>
    <w:rsid w:val="00A11365"/>
    <w:rsid w:val="00A1147D"/>
    <w:rsid w:val="00A1192E"/>
    <w:rsid w:val="00A11CA2"/>
    <w:rsid w:val="00A11E67"/>
    <w:rsid w:val="00A120DF"/>
    <w:rsid w:val="00A12970"/>
    <w:rsid w:val="00A13A36"/>
    <w:rsid w:val="00A1452B"/>
    <w:rsid w:val="00A14F68"/>
    <w:rsid w:val="00A155A7"/>
    <w:rsid w:val="00A15856"/>
    <w:rsid w:val="00A16B58"/>
    <w:rsid w:val="00A177B9"/>
    <w:rsid w:val="00A208BE"/>
    <w:rsid w:val="00A214D2"/>
    <w:rsid w:val="00A2182B"/>
    <w:rsid w:val="00A219FB"/>
    <w:rsid w:val="00A234DD"/>
    <w:rsid w:val="00A23A9D"/>
    <w:rsid w:val="00A23D6B"/>
    <w:rsid w:val="00A23DE0"/>
    <w:rsid w:val="00A24205"/>
    <w:rsid w:val="00A24734"/>
    <w:rsid w:val="00A25C2E"/>
    <w:rsid w:val="00A265CF"/>
    <w:rsid w:val="00A2756A"/>
    <w:rsid w:val="00A27F8E"/>
    <w:rsid w:val="00A3042C"/>
    <w:rsid w:val="00A3069A"/>
    <w:rsid w:val="00A306CC"/>
    <w:rsid w:val="00A30E4D"/>
    <w:rsid w:val="00A31874"/>
    <w:rsid w:val="00A31C1D"/>
    <w:rsid w:val="00A3209B"/>
    <w:rsid w:val="00A320AF"/>
    <w:rsid w:val="00A323B9"/>
    <w:rsid w:val="00A3310D"/>
    <w:rsid w:val="00A33453"/>
    <w:rsid w:val="00A3347A"/>
    <w:rsid w:val="00A3356C"/>
    <w:rsid w:val="00A336EA"/>
    <w:rsid w:val="00A34D4A"/>
    <w:rsid w:val="00A3539E"/>
    <w:rsid w:val="00A357F6"/>
    <w:rsid w:val="00A35AF4"/>
    <w:rsid w:val="00A36362"/>
    <w:rsid w:val="00A367C3"/>
    <w:rsid w:val="00A37143"/>
    <w:rsid w:val="00A37A14"/>
    <w:rsid w:val="00A406C2"/>
    <w:rsid w:val="00A40973"/>
    <w:rsid w:val="00A41A55"/>
    <w:rsid w:val="00A41C33"/>
    <w:rsid w:val="00A41D28"/>
    <w:rsid w:val="00A42104"/>
    <w:rsid w:val="00A42A6C"/>
    <w:rsid w:val="00A437FE"/>
    <w:rsid w:val="00A43E57"/>
    <w:rsid w:val="00A43E9B"/>
    <w:rsid w:val="00A44314"/>
    <w:rsid w:val="00A4565D"/>
    <w:rsid w:val="00A46C70"/>
    <w:rsid w:val="00A46F23"/>
    <w:rsid w:val="00A4775B"/>
    <w:rsid w:val="00A47B4E"/>
    <w:rsid w:val="00A47F91"/>
    <w:rsid w:val="00A50DFE"/>
    <w:rsid w:val="00A50E6B"/>
    <w:rsid w:val="00A51E21"/>
    <w:rsid w:val="00A525C4"/>
    <w:rsid w:val="00A52D34"/>
    <w:rsid w:val="00A55466"/>
    <w:rsid w:val="00A554B8"/>
    <w:rsid w:val="00A5610E"/>
    <w:rsid w:val="00A56696"/>
    <w:rsid w:val="00A569FE"/>
    <w:rsid w:val="00A56D37"/>
    <w:rsid w:val="00A56EF7"/>
    <w:rsid w:val="00A5774F"/>
    <w:rsid w:val="00A57A02"/>
    <w:rsid w:val="00A57EC3"/>
    <w:rsid w:val="00A609FD"/>
    <w:rsid w:val="00A60BB3"/>
    <w:rsid w:val="00A61249"/>
    <w:rsid w:val="00A62EE9"/>
    <w:rsid w:val="00A6407E"/>
    <w:rsid w:val="00A65B52"/>
    <w:rsid w:val="00A6636A"/>
    <w:rsid w:val="00A66A4D"/>
    <w:rsid w:val="00A66D9E"/>
    <w:rsid w:val="00A66FDB"/>
    <w:rsid w:val="00A6715F"/>
    <w:rsid w:val="00A674E7"/>
    <w:rsid w:val="00A67537"/>
    <w:rsid w:val="00A6794F"/>
    <w:rsid w:val="00A67EA2"/>
    <w:rsid w:val="00A7028D"/>
    <w:rsid w:val="00A70B15"/>
    <w:rsid w:val="00A71107"/>
    <w:rsid w:val="00A7132D"/>
    <w:rsid w:val="00A717F8"/>
    <w:rsid w:val="00A718FC"/>
    <w:rsid w:val="00A71C66"/>
    <w:rsid w:val="00A7201E"/>
    <w:rsid w:val="00A72034"/>
    <w:rsid w:val="00A724B2"/>
    <w:rsid w:val="00A72EBE"/>
    <w:rsid w:val="00A72EE0"/>
    <w:rsid w:val="00A73B8A"/>
    <w:rsid w:val="00A74085"/>
    <w:rsid w:val="00A74498"/>
    <w:rsid w:val="00A747D4"/>
    <w:rsid w:val="00A749B2"/>
    <w:rsid w:val="00A74C55"/>
    <w:rsid w:val="00A74F68"/>
    <w:rsid w:val="00A755FE"/>
    <w:rsid w:val="00A760B4"/>
    <w:rsid w:val="00A76493"/>
    <w:rsid w:val="00A76503"/>
    <w:rsid w:val="00A7789C"/>
    <w:rsid w:val="00A81624"/>
    <w:rsid w:val="00A820A8"/>
    <w:rsid w:val="00A82251"/>
    <w:rsid w:val="00A823A9"/>
    <w:rsid w:val="00A824E0"/>
    <w:rsid w:val="00A826B9"/>
    <w:rsid w:val="00A829A9"/>
    <w:rsid w:val="00A829B1"/>
    <w:rsid w:val="00A8309C"/>
    <w:rsid w:val="00A83E60"/>
    <w:rsid w:val="00A8411C"/>
    <w:rsid w:val="00A84386"/>
    <w:rsid w:val="00A84653"/>
    <w:rsid w:val="00A846FC"/>
    <w:rsid w:val="00A8526D"/>
    <w:rsid w:val="00A86DE0"/>
    <w:rsid w:val="00A86FC9"/>
    <w:rsid w:val="00A871C4"/>
    <w:rsid w:val="00A879B8"/>
    <w:rsid w:val="00A9028A"/>
    <w:rsid w:val="00A9052D"/>
    <w:rsid w:val="00A907D3"/>
    <w:rsid w:val="00A90993"/>
    <w:rsid w:val="00A912CC"/>
    <w:rsid w:val="00A92F2B"/>
    <w:rsid w:val="00A93C78"/>
    <w:rsid w:val="00A93CA2"/>
    <w:rsid w:val="00A94517"/>
    <w:rsid w:val="00A94D3E"/>
    <w:rsid w:val="00A953EB"/>
    <w:rsid w:val="00A95E54"/>
    <w:rsid w:val="00A9655F"/>
    <w:rsid w:val="00A978C3"/>
    <w:rsid w:val="00AA0B54"/>
    <w:rsid w:val="00AA0D8A"/>
    <w:rsid w:val="00AA0DAD"/>
    <w:rsid w:val="00AA1F7E"/>
    <w:rsid w:val="00AA21BF"/>
    <w:rsid w:val="00AA24C5"/>
    <w:rsid w:val="00AA3284"/>
    <w:rsid w:val="00AA34F6"/>
    <w:rsid w:val="00AA38F6"/>
    <w:rsid w:val="00AA3BBC"/>
    <w:rsid w:val="00AA3DAA"/>
    <w:rsid w:val="00AA42EF"/>
    <w:rsid w:val="00AA42F8"/>
    <w:rsid w:val="00AA4310"/>
    <w:rsid w:val="00AA4A58"/>
    <w:rsid w:val="00AA5612"/>
    <w:rsid w:val="00AA5BE1"/>
    <w:rsid w:val="00AA5ED7"/>
    <w:rsid w:val="00AA6590"/>
    <w:rsid w:val="00AA68A9"/>
    <w:rsid w:val="00AA6B6C"/>
    <w:rsid w:val="00AA7E5F"/>
    <w:rsid w:val="00AB00A0"/>
    <w:rsid w:val="00AB0B43"/>
    <w:rsid w:val="00AB0EE1"/>
    <w:rsid w:val="00AB10A3"/>
    <w:rsid w:val="00AB12A2"/>
    <w:rsid w:val="00AB2A6D"/>
    <w:rsid w:val="00AB3336"/>
    <w:rsid w:val="00AB357C"/>
    <w:rsid w:val="00AB3D49"/>
    <w:rsid w:val="00AB415A"/>
    <w:rsid w:val="00AB446E"/>
    <w:rsid w:val="00AB44A6"/>
    <w:rsid w:val="00AB4A96"/>
    <w:rsid w:val="00AB50E3"/>
    <w:rsid w:val="00AB537B"/>
    <w:rsid w:val="00AB5428"/>
    <w:rsid w:val="00AB583D"/>
    <w:rsid w:val="00AB5992"/>
    <w:rsid w:val="00AB59B8"/>
    <w:rsid w:val="00AB5F0F"/>
    <w:rsid w:val="00AB6534"/>
    <w:rsid w:val="00AB65B4"/>
    <w:rsid w:val="00AB6BC7"/>
    <w:rsid w:val="00AB6C12"/>
    <w:rsid w:val="00AB7392"/>
    <w:rsid w:val="00AB778E"/>
    <w:rsid w:val="00AB7B68"/>
    <w:rsid w:val="00AC02B7"/>
    <w:rsid w:val="00AC06EC"/>
    <w:rsid w:val="00AC1522"/>
    <w:rsid w:val="00AC17D4"/>
    <w:rsid w:val="00AC1F89"/>
    <w:rsid w:val="00AC304F"/>
    <w:rsid w:val="00AC3C2C"/>
    <w:rsid w:val="00AC4305"/>
    <w:rsid w:val="00AC43CF"/>
    <w:rsid w:val="00AC446A"/>
    <w:rsid w:val="00AC47B4"/>
    <w:rsid w:val="00AC4F46"/>
    <w:rsid w:val="00AC5782"/>
    <w:rsid w:val="00AC5CF6"/>
    <w:rsid w:val="00AC6131"/>
    <w:rsid w:val="00AC684B"/>
    <w:rsid w:val="00AC697F"/>
    <w:rsid w:val="00AC6B0D"/>
    <w:rsid w:val="00AC6BE6"/>
    <w:rsid w:val="00AC6EA8"/>
    <w:rsid w:val="00AC72C4"/>
    <w:rsid w:val="00AC78C3"/>
    <w:rsid w:val="00AC7C78"/>
    <w:rsid w:val="00AC7F3C"/>
    <w:rsid w:val="00AD0257"/>
    <w:rsid w:val="00AD1B93"/>
    <w:rsid w:val="00AD1DB3"/>
    <w:rsid w:val="00AD1DC6"/>
    <w:rsid w:val="00AD1F5A"/>
    <w:rsid w:val="00AD2179"/>
    <w:rsid w:val="00AD25D6"/>
    <w:rsid w:val="00AD291A"/>
    <w:rsid w:val="00AD2F80"/>
    <w:rsid w:val="00AD33F0"/>
    <w:rsid w:val="00AD385E"/>
    <w:rsid w:val="00AD3A7D"/>
    <w:rsid w:val="00AD3D3B"/>
    <w:rsid w:val="00AD404F"/>
    <w:rsid w:val="00AD4071"/>
    <w:rsid w:val="00AD4264"/>
    <w:rsid w:val="00AD51ED"/>
    <w:rsid w:val="00AD5BF2"/>
    <w:rsid w:val="00AD6194"/>
    <w:rsid w:val="00AD6675"/>
    <w:rsid w:val="00AD70D2"/>
    <w:rsid w:val="00AD73C8"/>
    <w:rsid w:val="00AD76F2"/>
    <w:rsid w:val="00AE0555"/>
    <w:rsid w:val="00AE07BF"/>
    <w:rsid w:val="00AE0CBD"/>
    <w:rsid w:val="00AE0E4F"/>
    <w:rsid w:val="00AE19D7"/>
    <w:rsid w:val="00AE1A68"/>
    <w:rsid w:val="00AE1D1C"/>
    <w:rsid w:val="00AE1FD5"/>
    <w:rsid w:val="00AE252A"/>
    <w:rsid w:val="00AE2840"/>
    <w:rsid w:val="00AE2CA2"/>
    <w:rsid w:val="00AE2DFD"/>
    <w:rsid w:val="00AE3A65"/>
    <w:rsid w:val="00AE3FA3"/>
    <w:rsid w:val="00AE4178"/>
    <w:rsid w:val="00AE4C9C"/>
    <w:rsid w:val="00AE6333"/>
    <w:rsid w:val="00AE6664"/>
    <w:rsid w:val="00AE6C41"/>
    <w:rsid w:val="00AE77BD"/>
    <w:rsid w:val="00AF03A7"/>
    <w:rsid w:val="00AF07B2"/>
    <w:rsid w:val="00AF0A42"/>
    <w:rsid w:val="00AF0EDF"/>
    <w:rsid w:val="00AF1E4F"/>
    <w:rsid w:val="00AF1F58"/>
    <w:rsid w:val="00AF22C2"/>
    <w:rsid w:val="00AF3692"/>
    <w:rsid w:val="00AF3B51"/>
    <w:rsid w:val="00AF3BB9"/>
    <w:rsid w:val="00AF4121"/>
    <w:rsid w:val="00AF579F"/>
    <w:rsid w:val="00AF59E0"/>
    <w:rsid w:val="00AF616B"/>
    <w:rsid w:val="00AF7D3F"/>
    <w:rsid w:val="00AF7EED"/>
    <w:rsid w:val="00AF7EFC"/>
    <w:rsid w:val="00B000E8"/>
    <w:rsid w:val="00B004EF"/>
    <w:rsid w:val="00B00AA1"/>
    <w:rsid w:val="00B00F88"/>
    <w:rsid w:val="00B01333"/>
    <w:rsid w:val="00B013B6"/>
    <w:rsid w:val="00B016BD"/>
    <w:rsid w:val="00B01F43"/>
    <w:rsid w:val="00B026C3"/>
    <w:rsid w:val="00B031D0"/>
    <w:rsid w:val="00B03E3C"/>
    <w:rsid w:val="00B03F8D"/>
    <w:rsid w:val="00B048CE"/>
    <w:rsid w:val="00B05100"/>
    <w:rsid w:val="00B05D9C"/>
    <w:rsid w:val="00B05EC6"/>
    <w:rsid w:val="00B063FC"/>
    <w:rsid w:val="00B07D4D"/>
    <w:rsid w:val="00B10434"/>
    <w:rsid w:val="00B104AC"/>
    <w:rsid w:val="00B1067B"/>
    <w:rsid w:val="00B10874"/>
    <w:rsid w:val="00B10ACD"/>
    <w:rsid w:val="00B110A4"/>
    <w:rsid w:val="00B11995"/>
    <w:rsid w:val="00B11A4E"/>
    <w:rsid w:val="00B11E16"/>
    <w:rsid w:val="00B12301"/>
    <w:rsid w:val="00B127DD"/>
    <w:rsid w:val="00B13B3A"/>
    <w:rsid w:val="00B14141"/>
    <w:rsid w:val="00B14168"/>
    <w:rsid w:val="00B152CA"/>
    <w:rsid w:val="00B15DB5"/>
    <w:rsid w:val="00B177C2"/>
    <w:rsid w:val="00B20390"/>
    <w:rsid w:val="00B20504"/>
    <w:rsid w:val="00B205CD"/>
    <w:rsid w:val="00B20D28"/>
    <w:rsid w:val="00B222EB"/>
    <w:rsid w:val="00B22F3B"/>
    <w:rsid w:val="00B232C5"/>
    <w:rsid w:val="00B235FC"/>
    <w:rsid w:val="00B237D5"/>
    <w:rsid w:val="00B24992"/>
    <w:rsid w:val="00B24E06"/>
    <w:rsid w:val="00B25321"/>
    <w:rsid w:val="00B256A7"/>
    <w:rsid w:val="00B25B8E"/>
    <w:rsid w:val="00B25C65"/>
    <w:rsid w:val="00B25C6B"/>
    <w:rsid w:val="00B2692E"/>
    <w:rsid w:val="00B26AE0"/>
    <w:rsid w:val="00B27469"/>
    <w:rsid w:val="00B27545"/>
    <w:rsid w:val="00B30733"/>
    <w:rsid w:val="00B307BA"/>
    <w:rsid w:val="00B31BE2"/>
    <w:rsid w:val="00B32792"/>
    <w:rsid w:val="00B32DDF"/>
    <w:rsid w:val="00B33719"/>
    <w:rsid w:val="00B3462E"/>
    <w:rsid w:val="00B348EF"/>
    <w:rsid w:val="00B35149"/>
    <w:rsid w:val="00B35D95"/>
    <w:rsid w:val="00B36090"/>
    <w:rsid w:val="00B36A83"/>
    <w:rsid w:val="00B36FE1"/>
    <w:rsid w:val="00B370E3"/>
    <w:rsid w:val="00B37459"/>
    <w:rsid w:val="00B37AC0"/>
    <w:rsid w:val="00B401C7"/>
    <w:rsid w:val="00B4067C"/>
    <w:rsid w:val="00B40C0F"/>
    <w:rsid w:val="00B40C75"/>
    <w:rsid w:val="00B40EE7"/>
    <w:rsid w:val="00B410AB"/>
    <w:rsid w:val="00B41C0C"/>
    <w:rsid w:val="00B4256C"/>
    <w:rsid w:val="00B42A8B"/>
    <w:rsid w:val="00B43099"/>
    <w:rsid w:val="00B45147"/>
    <w:rsid w:val="00B45AE1"/>
    <w:rsid w:val="00B4685F"/>
    <w:rsid w:val="00B4703E"/>
    <w:rsid w:val="00B47393"/>
    <w:rsid w:val="00B476D3"/>
    <w:rsid w:val="00B4775E"/>
    <w:rsid w:val="00B47B09"/>
    <w:rsid w:val="00B47F2A"/>
    <w:rsid w:val="00B50007"/>
    <w:rsid w:val="00B50A4C"/>
    <w:rsid w:val="00B50BF1"/>
    <w:rsid w:val="00B50DE7"/>
    <w:rsid w:val="00B51D99"/>
    <w:rsid w:val="00B52360"/>
    <w:rsid w:val="00B527B6"/>
    <w:rsid w:val="00B52F27"/>
    <w:rsid w:val="00B5316B"/>
    <w:rsid w:val="00B53300"/>
    <w:rsid w:val="00B534C1"/>
    <w:rsid w:val="00B53A80"/>
    <w:rsid w:val="00B54378"/>
    <w:rsid w:val="00B54625"/>
    <w:rsid w:val="00B54BAA"/>
    <w:rsid w:val="00B55216"/>
    <w:rsid w:val="00B55231"/>
    <w:rsid w:val="00B552AE"/>
    <w:rsid w:val="00B557E2"/>
    <w:rsid w:val="00B56209"/>
    <w:rsid w:val="00B5627B"/>
    <w:rsid w:val="00B5687A"/>
    <w:rsid w:val="00B578DB"/>
    <w:rsid w:val="00B57AEF"/>
    <w:rsid w:val="00B605DB"/>
    <w:rsid w:val="00B6100C"/>
    <w:rsid w:val="00B61725"/>
    <w:rsid w:val="00B61A58"/>
    <w:rsid w:val="00B61BAA"/>
    <w:rsid w:val="00B61D64"/>
    <w:rsid w:val="00B622F4"/>
    <w:rsid w:val="00B63156"/>
    <w:rsid w:val="00B63741"/>
    <w:rsid w:val="00B63838"/>
    <w:rsid w:val="00B6416A"/>
    <w:rsid w:val="00B641C1"/>
    <w:rsid w:val="00B64441"/>
    <w:rsid w:val="00B6491E"/>
    <w:rsid w:val="00B64975"/>
    <w:rsid w:val="00B656D5"/>
    <w:rsid w:val="00B65EF5"/>
    <w:rsid w:val="00B65F1B"/>
    <w:rsid w:val="00B66373"/>
    <w:rsid w:val="00B66B38"/>
    <w:rsid w:val="00B66F59"/>
    <w:rsid w:val="00B66FEE"/>
    <w:rsid w:val="00B6709E"/>
    <w:rsid w:val="00B675B1"/>
    <w:rsid w:val="00B7059E"/>
    <w:rsid w:val="00B70F7F"/>
    <w:rsid w:val="00B71118"/>
    <w:rsid w:val="00B71182"/>
    <w:rsid w:val="00B7143C"/>
    <w:rsid w:val="00B71791"/>
    <w:rsid w:val="00B71BF4"/>
    <w:rsid w:val="00B71C87"/>
    <w:rsid w:val="00B71E76"/>
    <w:rsid w:val="00B71E81"/>
    <w:rsid w:val="00B72E73"/>
    <w:rsid w:val="00B73E70"/>
    <w:rsid w:val="00B75801"/>
    <w:rsid w:val="00B758C0"/>
    <w:rsid w:val="00B75AC0"/>
    <w:rsid w:val="00B77172"/>
    <w:rsid w:val="00B776AD"/>
    <w:rsid w:val="00B777F9"/>
    <w:rsid w:val="00B80454"/>
    <w:rsid w:val="00B80B1E"/>
    <w:rsid w:val="00B8213E"/>
    <w:rsid w:val="00B8255E"/>
    <w:rsid w:val="00B82778"/>
    <w:rsid w:val="00B828A9"/>
    <w:rsid w:val="00B831A6"/>
    <w:rsid w:val="00B8331B"/>
    <w:rsid w:val="00B833BE"/>
    <w:rsid w:val="00B836E2"/>
    <w:rsid w:val="00B8455D"/>
    <w:rsid w:val="00B84891"/>
    <w:rsid w:val="00B85717"/>
    <w:rsid w:val="00B8593F"/>
    <w:rsid w:val="00B85B11"/>
    <w:rsid w:val="00B85C9C"/>
    <w:rsid w:val="00B86017"/>
    <w:rsid w:val="00B86523"/>
    <w:rsid w:val="00B86532"/>
    <w:rsid w:val="00B8671A"/>
    <w:rsid w:val="00B86BE1"/>
    <w:rsid w:val="00B87CAA"/>
    <w:rsid w:val="00B87F8B"/>
    <w:rsid w:val="00B90292"/>
    <w:rsid w:val="00B90CCC"/>
    <w:rsid w:val="00B91975"/>
    <w:rsid w:val="00B92E71"/>
    <w:rsid w:val="00B9395C"/>
    <w:rsid w:val="00B9401F"/>
    <w:rsid w:val="00B94419"/>
    <w:rsid w:val="00B94892"/>
    <w:rsid w:val="00B94895"/>
    <w:rsid w:val="00B9490D"/>
    <w:rsid w:val="00B94DE1"/>
    <w:rsid w:val="00B94F0F"/>
    <w:rsid w:val="00B95B20"/>
    <w:rsid w:val="00B9670B"/>
    <w:rsid w:val="00B968BB"/>
    <w:rsid w:val="00B96BF6"/>
    <w:rsid w:val="00B96F32"/>
    <w:rsid w:val="00B97C81"/>
    <w:rsid w:val="00B97E4D"/>
    <w:rsid w:val="00BA052D"/>
    <w:rsid w:val="00BA0DD9"/>
    <w:rsid w:val="00BA0E7E"/>
    <w:rsid w:val="00BA14E6"/>
    <w:rsid w:val="00BA30D9"/>
    <w:rsid w:val="00BA3ABF"/>
    <w:rsid w:val="00BA3B8F"/>
    <w:rsid w:val="00BA40A6"/>
    <w:rsid w:val="00BA4466"/>
    <w:rsid w:val="00BA4B88"/>
    <w:rsid w:val="00BA5209"/>
    <w:rsid w:val="00BA5574"/>
    <w:rsid w:val="00BA60B7"/>
    <w:rsid w:val="00BA658D"/>
    <w:rsid w:val="00BA723C"/>
    <w:rsid w:val="00BA757C"/>
    <w:rsid w:val="00BB000B"/>
    <w:rsid w:val="00BB07BF"/>
    <w:rsid w:val="00BB0897"/>
    <w:rsid w:val="00BB0F2A"/>
    <w:rsid w:val="00BB1636"/>
    <w:rsid w:val="00BB177D"/>
    <w:rsid w:val="00BB232A"/>
    <w:rsid w:val="00BB25D1"/>
    <w:rsid w:val="00BB27D7"/>
    <w:rsid w:val="00BB2D18"/>
    <w:rsid w:val="00BB374A"/>
    <w:rsid w:val="00BB3B8E"/>
    <w:rsid w:val="00BB3D56"/>
    <w:rsid w:val="00BB42E7"/>
    <w:rsid w:val="00BB4BAE"/>
    <w:rsid w:val="00BB4DC2"/>
    <w:rsid w:val="00BB522C"/>
    <w:rsid w:val="00BB545A"/>
    <w:rsid w:val="00BB592B"/>
    <w:rsid w:val="00BB5931"/>
    <w:rsid w:val="00BB5F73"/>
    <w:rsid w:val="00BB6468"/>
    <w:rsid w:val="00BB722B"/>
    <w:rsid w:val="00BB767C"/>
    <w:rsid w:val="00BB76E6"/>
    <w:rsid w:val="00BB7D3E"/>
    <w:rsid w:val="00BC007D"/>
    <w:rsid w:val="00BC114F"/>
    <w:rsid w:val="00BC17F7"/>
    <w:rsid w:val="00BC1944"/>
    <w:rsid w:val="00BC1C46"/>
    <w:rsid w:val="00BC1D06"/>
    <w:rsid w:val="00BC1FF2"/>
    <w:rsid w:val="00BC206F"/>
    <w:rsid w:val="00BC2233"/>
    <w:rsid w:val="00BC2311"/>
    <w:rsid w:val="00BC295C"/>
    <w:rsid w:val="00BC2A06"/>
    <w:rsid w:val="00BC306F"/>
    <w:rsid w:val="00BC32B7"/>
    <w:rsid w:val="00BC3BE0"/>
    <w:rsid w:val="00BC3C9C"/>
    <w:rsid w:val="00BC3DF6"/>
    <w:rsid w:val="00BC50FF"/>
    <w:rsid w:val="00BC63EB"/>
    <w:rsid w:val="00BC744F"/>
    <w:rsid w:val="00BC75E3"/>
    <w:rsid w:val="00BC77F6"/>
    <w:rsid w:val="00BD0291"/>
    <w:rsid w:val="00BD0752"/>
    <w:rsid w:val="00BD09D5"/>
    <w:rsid w:val="00BD0B92"/>
    <w:rsid w:val="00BD0BF6"/>
    <w:rsid w:val="00BD1221"/>
    <w:rsid w:val="00BD23BA"/>
    <w:rsid w:val="00BD2F0C"/>
    <w:rsid w:val="00BD386E"/>
    <w:rsid w:val="00BD3D77"/>
    <w:rsid w:val="00BD4430"/>
    <w:rsid w:val="00BD44FA"/>
    <w:rsid w:val="00BD45D4"/>
    <w:rsid w:val="00BD5F24"/>
    <w:rsid w:val="00BD5FCF"/>
    <w:rsid w:val="00BD6282"/>
    <w:rsid w:val="00BD6A60"/>
    <w:rsid w:val="00BD6AF3"/>
    <w:rsid w:val="00BD6CCE"/>
    <w:rsid w:val="00BD6D38"/>
    <w:rsid w:val="00BE0476"/>
    <w:rsid w:val="00BE06E9"/>
    <w:rsid w:val="00BE0B1B"/>
    <w:rsid w:val="00BE1024"/>
    <w:rsid w:val="00BE24AE"/>
    <w:rsid w:val="00BE250C"/>
    <w:rsid w:val="00BE4DCC"/>
    <w:rsid w:val="00BE4DCE"/>
    <w:rsid w:val="00BE4DDF"/>
    <w:rsid w:val="00BE534D"/>
    <w:rsid w:val="00BE548B"/>
    <w:rsid w:val="00BE5830"/>
    <w:rsid w:val="00BE6989"/>
    <w:rsid w:val="00BE7522"/>
    <w:rsid w:val="00BF083B"/>
    <w:rsid w:val="00BF09DB"/>
    <w:rsid w:val="00BF1E08"/>
    <w:rsid w:val="00BF295D"/>
    <w:rsid w:val="00BF2A4A"/>
    <w:rsid w:val="00BF2B5C"/>
    <w:rsid w:val="00BF2CCE"/>
    <w:rsid w:val="00BF3396"/>
    <w:rsid w:val="00BF3591"/>
    <w:rsid w:val="00BF38E2"/>
    <w:rsid w:val="00BF3B58"/>
    <w:rsid w:val="00BF3DFD"/>
    <w:rsid w:val="00BF471E"/>
    <w:rsid w:val="00BF4BB8"/>
    <w:rsid w:val="00BF4CE6"/>
    <w:rsid w:val="00BF53EB"/>
    <w:rsid w:val="00BF5782"/>
    <w:rsid w:val="00BF57B3"/>
    <w:rsid w:val="00BF59CF"/>
    <w:rsid w:val="00BF649A"/>
    <w:rsid w:val="00BF6529"/>
    <w:rsid w:val="00BF6A21"/>
    <w:rsid w:val="00BF70DD"/>
    <w:rsid w:val="00BF7642"/>
    <w:rsid w:val="00BF7C31"/>
    <w:rsid w:val="00BF7CB6"/>
    <w:rsid w:val="00C0059F"/>
    <w:rsid w:val="00C008B0"/>
    <w:rsid w:val="00C00F2A"/>
    <w:rsid w:val="00C0110B"/>
    <w:rsid w:val="00C011FF"/>
    <w:rsid w:val="00C01798"/>
    <w:rsid w:val="00C01CCC"/>
    <w:rsid w:val="00C01D2D"/>
    <w:rsid w:val="00C0232A"/>
    <w:rsid w:val="00C02DE9"/>
    <w:rsid w:val="00C0354F"/>
    <w:rsid w:val="00C0368C"/>
    <w:rsid w:val="00C03AE1"/>
    <w:rsid w:val="00C03B5E"/>
    <w:rsid w:val="00C03C5B"/>
    <w:rsid w:val="00C0477A"/>
    <w:rsid w:val="00C04B58"/>
    <w:rsid w:val="00C052AB"/>
    <w:rsid w:val="00C0615F"/>
    <w:rsid w:val="00C0652C"/>
    <w:rsid w:val="00C07AD7"/>
    <w:rsid w:val="00C1071A"/>
    <w:rsid w:val="00C120B2"/>
    <w:rsid w:val="00C122A9"/>
    <w:rsid w:val="00C13054"/>
    <w:rsid w:val="00C13A58"/>
    <w:rsid w:val="00C14399"/>
    <w:rsid w:val="00C143CD"/>
    <w:rsid w:val="00C1514E"/>
    <w:rsid w:val="00C155EE"/>
    <w:rsid w:val="00C16162"/>
    <w:rsid w:val="00C169EA"/>
    <w:rsid w:val="00C16A98"/>
    <w:rsid w:val="00C16EB9"/>
    <w:rsid w:val="00C17039"/>
    <w:rsid w:val="00C17703"/>
    <w:rsid w:val="00C17C3D"/>
    <w:rsid w:val="00C17F82"/>
    <w:rsid w:val="00C2076A"/>
    <w:rsid w:val="00C20A48"/>
    <w:rsid w:val="00C20CC8"/>
    <w:rsid w:val="00C21778"/>
    <w:rsid w:val="00C21854"/>
    <w:rsid w:val="00C21AFF"/>
    <w:rsid w:val="00C223A9"/>
    <w:rsid w:val="00C22535"/>
    <w:rsid w:val="00C2272A"/>
    <w:rsid w:val="00C2277F"/>
    <w:rsid w:val="00C24650"/>
    <w:rsid w:val="00C24A87"/>
    <w:rsid w:val="00C24BEE"/>
    <w:rsid w:val="00C24CD0"/>
    <w:rsid w:val="00C2577A"/>
    <w:rsid w:val="00C25CF6"/>
    <w:rsid w:val="00C25D99"/>
    <w:rsid w:val="00C261C7"/>
    <w:rsid w:val="00C26457"/>
    <w:rsid w:val="00C26963"/>
    <w:rsid w:val="00C26BE4"/>
    <w:rsid w:val="00C26F40"/>
    <w:rsid w:val="00C2716D"/>
    <w:rsid w:val="00C27FA0"/>
    <w:rsid w:val="00C30883"/>
    <w:rsid w:val="00C30A6E"/>
    <w:rsid w:val="00C30C40"/>
    <w:rsid w:val="00C30C93"/>
    <w:rsid w:val="00C31333"/>
    <w:rsid w:val="00C31431"/>
    <w:rsid w:val="00C31DDE"/>
    <w:rsid w:val="00C32095"/>
    <w:rsid w:val="00C326EB"/>
    <w:rsid w:val="00C32B43"/>
    <w:rsid w:val="00C32BC1"/>
    <w:rsid w:val="00C32E8D"/>
    <w:rsid w:val="00C331BF"/>
    <w:rsid w:val="00C33B5D"/>
    <w:rsid w:val="00C343DB"/>
    <w:rsid w:val="00C3451B"/>
    <w:rsid w:val="00C348F3"/>
    <w:rsid w:val="00C34DE0"/>
    <w:rsid w:val="00C3545E"/>
    <w:rsid w:val="00C35902"/>
    <w:rsid w:val="00C36684"/>
    <w:rsid w:val="00C369DA"/>
    <w:rsid w:val="00C36A03"/>
    <w:rsid w:val="00C371E0"/>
    <w:rsid w:val="00C37578"/>
    <w:rsid w:val="00C37AC7"/>
    <w:rsid w:val="00C4021F"/>
    <w:rsid w:val="00C4063B"/>
    <w:rsid w:val="00C407D9"/>
    <w:rsid w:val="00C409BE"/>
    <w:rsid w:val="00C41424"/>
    <w:rsid w:val="00C41762"/>
    <w:rsid w:val="00C420C5"/>
    <w:rsid w:val="00C4371C"/>
    <w:rsid w:val="00C437EA"/>
    <w:rsid w:val="00C43803"/>
    <w:rsid w:val="00C439FC"/>
    <w:rsid w:val="00C43EBB"/>
    <w:rsid w:val="00C43F30"/>
    <w:rsid w:val="00C4456D"/>
    <w:rsid w:val="00C4506F"/>
    <w:rsid w:val="00C463A1"/>
    <w:rsid w:val="00C4656A"/>
    <w:rsid w:val="00C4731D"/>
    <w:rsid w:val="00C476D5"/>
    <w:rsid w:val="00C479F5"/>
    <w:rsid w:val="00C50077"/>
    <w:rsid w:val="00C50236"/>
    <w:rsid w:val="00C50666"/>
    <w:rsid w:val="00C507F6"/>
    <w:rsid w:val="00C509FC"/>
    <w:rsid w:val="00C50AAF"/>
    <w:rsid w:val="00C50CFB"/>
    <w:rsid w:val="00C51380"/>
    <w:rsid w:val="00C518DE"/>
    <w:rsid w:val="00C52584"/>
    <w:rsid w:val="00C5272A"/>
    <w:rsid w:val="00C528EF"/>
    <w:rsid w:val="00C52E13"/>
    <w:rsid w:val="00C532AD"/>
    <w:rsid w:val="00C53562"/>
    <w:rsid w:val="00C53786"/>
    <w:rsid w:val="00C53974"/>
    <w:rsid w:val="00C54254"/>
    <w:rsid w:val="00C54B4D"/>
    <w:rsid w:val="00C5504E"/>
    <w:rsid w:val="00C5513B"/>
    <w:rsid w:val="00C5569D"/>
    <w:rsid w:val="00C56050"/>
    <w:rsid w:val="00C567CD"/>
    <w:rsid w:val="00C57D0A"/>
    <w:rsid w:val="00C57FC6"/>
    <w:rsid w:val="00C60310"/>
    <w:rsid w:val="00C61775"/>
    <w:rsid w:val="00C61912"/>
    <w:rsid w:val="00C61DCF"/>
    <w:rsid w:val="00C61E38"/>
    <w:rsid w:val="00C6237C"/>
    <w:rsid w:val="00C62C31"/>
    <w:rsid w:val="00C62C8D"/>
    <w:rsid w:val="00C6337A"/>
    <w:rsid w:val="00C634E6"/>
    <w:rsid w:val="00C6395B"/>
    <w:rsid w:val="00C63ABC"/>
    <w:rsid w:val="00C63B9B"/>
    <w:rsid w:val="00C63E67"/>
    <w:rsid w:val="00C63FB7"/>
    <w:rsid w:val="00C6414F"/>
    <w:rsid w:val="00C6525B"/>
    <w:rsid w:val="00C65B88"/>
    <w:rsid w:val="00C65C45"/>
    <w:rsid w:val="00C65D7B"/>
    <w:rsid w:val="00C666C6"/>
    <w:rsid w:val="00C6680A"/>
    <w:rsid w:val="00C67284"/>
    <w:rsid w:val="00C677B2"/>
    <w:rsid w:val="00C678D4"/>
    <w:rsid w:val="00C700A4"/>
    <w:rsid w:val="00C703BF"/>
    <w:rsid w:val="00C70FB0"/>
    <w:rsid w:val="00C71332"/>
    <w:rsid w:val="00C71347"/>
    <w:rsid w:val="00C71785"/>
    <w:rsid w:val="00C72237"/>
    <w:rsid w:val="00C73574"/>
    <w:rsid w:val="00C736D2"/>
    <w:rsid w:val="00C73C26"/>
    <w:rsid w:val="00C73D2E"/>
    <w:rsid w:val="00C73D74"/>
    <w:rsid w:val="00C741C6"/>
    <w:rsid w:val="00C7420B"/>
    <w:rsid w:val="00C75199"/>
    <w:rsid w:val="00C75BC2"/>
    <w:rsid w:val="00C765F4"/>
    <w:rsid w:val="00C767A3"/>
    <w:rsid w:val="00C76B7D"/>
    <w:rsid w:val="00C771EB"/>
    <w:rsid w:val="00C77BF7"/>
    <w:rsid w:val="00C803E6"/>
    <w:rsid w:val="00C808A8"/>
    <w:rsid w:val="00C81059"/>
    <w:rsid w:val="00C81ECD"/>
    <w:rsid w:val="00C82245"/>
    <w:rsid w:val="00C8232F"/>
    <w:rsid w:val="00C827C4"/>
    <w:rsid w:val="00C83774"/>
    <w:rsid w:val="00C843D8"/>
    <w:rsid w:val="00C846E8"/>
    <w:rsid w:val="00C8472F"/>
    <w:rsid w:val="00C85460"/>
    <w:rsid w:val="00C86165"/>
    <w:rsid w:val="00C86C3A"/>
    <w:rsid w:val="00C871EB"/>
    <w:rsid w:val="00C87517"/>
    <w:rsid w:val="00C87C6E"/>
    <w:rsid w:val="00C87CC4"/>
    <w:rsid w:val="00C87F9B"/>
    <w:rsid w:val="00C903BD"/>
    <w:rsid w:val="00C9064B"/>
    <w:rsid w:val="00C90D52"/>
    <w:rsid w:val="00C914D1"/>
    <w:rsid w:val="00C91AF5"/>
    <w:rsid w:val="00C921E9"/>
    <w:rsid w:val="00C92345"/>
    <w:rsid w:val="00C923F1"/>
    <w:rsid w:val="00C937B8"/>
    <w:rsid w:val="00C93D95"/>
    <w:rsid w:val="00C942F2"/>
    <w:rsid w:val="00C948D7"/>
    <w:rsid w:val="00C94DF2"/>
    <w:rsid w:val="00C956F1"/>
    <w:rsid w:val="00C96C08"/>
    <w:rsid w:val="00C9719E"/>
    <w:rsid w:val="00C971F8"/>
    <w:rsid w:val="00C97B16"/>
    <w:rsid w:val="00C97BFB"/>
    <w:rsid w:val="00C97C0E"/>
    <w:rsid w:val="00CA06CB"/>
    <w:rsid w:val="00CA0857"/>
    <w:rsid w:val="00CA1B55"/>
    <w:rsid w:val="00CA1C19"/>
    <w:rsid w:val="00CA1ED5"/>
    <w:rsid w:val="00CA2120"/>
    <w:rsid w:val="00CA2D65"/>
    <w:rsid w:val="00CA2F9F"/>
    <w:rsid w:val="00CA32A4"/>
    <w:rsid w:val="00CA3E77"/>
    <w:rsid w:val="00CA47B3"/>
    <w:rsid w:val="00CA4D7E"/>
    <w:rsid w:val="00CA607B"/>
    <w:rsid w:val="00CA6400"/>
    <w:rsid w:val="00CA65F7"/>
    <w:rsid w:val="00CA6B4D"/>
    <w:rsid w:val="00CA6C82"/>
    <w:rsid w:val="00CA70A2"/>
    <w:rsid w:val="00CA714E"/>
    <w:rsid w:val="00CA7C34"/>
    <w:rsid w:val="00CB0031"/>
    <w:rsid w:val="00CB0434"/>
    <w:rsid w:val="00CB0FB7"/>
    <w:rsid w:val="00CB10BD"/>
    <w:rsid w:val="00CB197A"/>
    <w:rsid w:val="00CB1A66"/>
    <w:rsid w:val="00CB1E7A"/>
    <w:rsid w:val="00CB24C6"/>
    <w:rsid w:val="00CB27DA"/>
    <w:rsid w:val="00CB2B6E"/>
    <w:rsid w:val="00CB2BA6"/>
    <w:rsid w:val="00CB2C16"/>
    <w:rsid w:val="00CB399C"/>
    <w:rsid w:val="00CB3AF6"/>
    <w:rsid w:val="00CB3EF2"/>
    <w:rsid w:val="00CB4022"/>
    <w:rsid w:val="00CB5559"/>
    <w:rsid w:val="00CB5963"/>
    <w:rsid w:val="00CB6838"/>
    <w:rsid w:val="00CB689C"/>
    <w:rsid w:val="00CB6DE6"/>
    <w:rsid w:val="00CB74DD"/>
    <w:rsid w:val="00CB74EA"/>
    <w:rsid w:val="00CB751B"/>
    <w:rsid w:val="00CC018E"/>
    <w:rsid w:val="00CC022E"/>
    <w:rsid w:val="00CC08CF"/>
    <w:rsid w:val="00CC0A6A"/>
    <w:rsid w:val="00CC0AFF"/>
    <w:rsid w:val="00CC0F36"/>
    <w:rsid w:val="00CC0F94"/>
    <w:rsid w:val="00CC11D6"/>
    <w:rsid w:val="00CC1433"/>
    <w:rsid w:val="00CC17D0"/>
    <w:rsid w:val="00CC1A4A"/>
    <w:rsid w:val="00CC1AB6"/>
    <w:rsid w:val="00CC208D"/>
    <w:rsid w:val="00CC2703"/>
    <w:rsid w:val="00CC2F8E"/>
    <w:rsid w:val="00CC426A"/>
    <w:rsid w:val="00CC4829"/>
    <w:rsid w:val="00CC4ADA"/>
    <w:rsid w:val="00CC4C49"/>
    <w:rsid w:val="00CC5321"/>
    <w:rsid w:val="00CC54D7"/>
    <w:rsid w:val="00CC5CA0"/>
    <w:rsid w:val="00CC722F"/>
    <w:rsid w:val="00CD0E73"/>
    <w:rsid w:val="00CD0F40"/>
    <w:rsid w:val="00CD11A6"/>
    <w:rsid w:val="00CD18F7"/>
    <w:rsid w:val="00CD1F8F"/>
    <w:rsid w:val="00CD33E2"/>
    <w:rsid w:val="00CD57C9"/>
    <w:rsid w:val="00CD5930"/>
    <w:rsid w:val="00CD5E14"/>
    <w:rsid w:val="00CD6418"/>
    <w:rsid w:val="00CD6500"/>
    <w:rsid w:val="00CD651C"/>
    <w:rsid w:val="00CD69D0"/>
    <w:rsid w:val="00CD7D27"/>
    <w:rsid w:val="00CD7E0A"/>
    <w:rsid w:val="00CE0012"/>
    <w:rsid w:val="00CE05E4"/>
    <w:rsid w:val="00CE09D7"/>
    <w:rsid w:val="00CE0BF8"/>
    <w:rsid w:val="00CE287C"/>
    <w:rsid w:val="00CE3229"/>
    <w:rsid w:val="00CE3B79"/>
    <w:rsid w:val="00CE4782"/>
    <w:rsid w:val="00CE4EDB"/>
    <w:rsid w:val="00CE521A"/>
    <w:rsid w:val="00CE5516"/>
    <w:rsid w:val="00CE56A8"/>
    <w:rsid w:val="00CE571E"/>
    <w:rsid w:val="00CE5F70"/>
    <w:rsid w:val="00CE6658"/>
    <w:rsid w:val="00CE6E82"/>
    <w:rsid w:val="00CF0969"/>
    <w:rsid w:val="00CF0CF2"/>
    <w:rsid w:val="00CF118D"/>
    <w:rsid w:val="00CF131F"/>
    <w:rsid w:val="00CF1469"/>
    <w:rsid w:val="00CF215A"/>
    <w:rsid w:val="00CF233C"/>
    <w:rsid w:val="00CF2688"/>
    <w:rsid w:val="00CF2FD8"/>
    <w:rsid w:val="00CF3723"/>
    <w:rsid w:val="00CF46FF"/>
    <w:rsid w:val="00CF4954"/>
    <w:rsid w:val="00CF5590"/>
    <w:rsid w:val="00CF6281"/>
    <w:rsid w:val="00CF6BDE"/>
    <w:rsid w:val="00D000CE"/>
    <w:rsid w:val="00D00683"/>
    <w:rsid w:val="00D0078A"/>
    <w:rsid w:val="00D00E86"/>
    <w:rsid w:val="00D017C7"/>
    <w:rsid w:val="00D01EBD"/>
    <w:rsid w:val="00D02F52"/>
    <w:rsid w:val="00D054CD"/>
    <w:rsid w:val="00D05978"/>
    <w:rsid w:val="00D05B90"/>
    <w:rsid w:val="00D05C5E"/>
    <w:rsid w:val="00D061BE"/>
    <w:rsid w:val="00D063E4"/>
    <w:rsid w:val="00D06A0C"/>
    <w:rsid w:val="00D06C5E"/>
    <w:rsid w:val="00D07054"/>
    <w:rsid w:val="00D07062"/>
    <w:rsid w:val="00D07152"/>
    <w:rsid w:val="00D07225"/>
    <w:rsid w:val="00D103C4"/>
    <w:rsid w:val="00D10960"/>
    <w:rsid w:val="00D11126"/>
    <w:rsid w:val="00D111A8"/>
    <w:rsid w:val="00D11319"/>
    <w:rsid w:val="00D114F1"/>
    <w:rsid w:val="00D11C0A"/>
    <w:rsid w:val="00D11C9C"/>
    <w:rsid w:val="00D1272E"/>
    <w:rsid w:val="00D139E0"/>
    <w:rsid w:val="00D13A6B"/>
    <w:rsid w:val="00D13B25"/>
    <w:rsid w:val="00D141F9"/>
    <w:rsid w:val="00D148D9"/>
    <w:rsid w:val="00D14C72"/>
    <w:rsid w:val="00D1518E"/>
    <w:rsid w:val="00D15351"/>
    <w:rsid w:val="00D15FFD"/>
    <w:rsid w:val="00D1668B"/>
    <w:rsid w:val="00D169BA"/>
    <w:rsid w:val="00D16F0D"/>
    <w:rsid w:val="00D17591"/>
    <w:rsid w:val="00D17618"/>
    <w:rsid w:val="00D1762D"/>
    <w:rsid w:val="00D17A41"/>
    <w:rsid w:val="00D20570"/>
    <w:rsid w:val="00D20D3E"/>
    <w:rsid w:val="00D21CA1"/>
    <w:rsid w:val="00D21FB2"/>
    <w:rsid w:val="00D2257D"/>
    <w:rsid w:val="00D23C69"/>
    <w:rsid w:val="00D24309"/>
    <w:rsid w:val="00D2431E"/>
    <w:rsid w:val="00D24EE0"/>
    <w:rsid w:val="00D25B43"/>
    <w:rsid w:val="00D264E5"/>
    <w:rsid w:val="00D30EC2"/>
    <w:rsid w:val="00D30F0E"/>
    <w:rsid w:val="00D3153C"/>
    <w:rsid w:val="00D31A09"/>
    <w:rsid w:val="00D32556"/>
    <w:rsid w:val="00D32ACA"/>
    <w:rsid w:val="00D33EF7"/>
    <w:rsid w:val="00D33F73"/>
    <w:rsid w:val="00D349BA"/>
    <w:rsid w:val="00D34D44"/>
    <w:rsid w:val="00D352EB"/>
    <w:rsid w:val="00D35D34"/>
    <w:rsid w:val="00D364A6"/>
    <w:rsid w:val="00D3716C"/>
    <w:rsid w:val="00D37246"/>
    <w:rsid w:val="00D402D3"/>
    <w:rsid w:val="00D403AC"/>
    <w:rsid w:val="00D40C34"/>
    <w:rsid w:val="00D411B5"/>
    <w:rsid w:val="00D415D0"/>
    <w:rsid w:val="00D41645"/>
    <w:rsid w:val="00D41F08"/>
    <w:rsid w:val="00D41FD6"/>
    <w:rsid w:val="00D42573"/>
    <w:rsid w:val="00D42679"/>
    <w:rsid w:val="00D4270B"/>
    <w:rsid w:val="00D429FA"/>
    <w:rsid w:val="00D43ACC"/>
    <w:rsid w:val="00D43C5A"/>
    <w:rsid w:val="00D43EC9"/>
    <w:rsid w:val="00D445BC"/>
    <w:rsid w:val="00D44BCB"/>
    <w:rsid w:val="00D44E68"/>
    <w:rsid w:val="00D45035"/>
    <w:rsid w:val="00D466BB"/>
    <w:rsid w:val="00D46853"/>
    <w:rsid w:val="00D46AE2"/>
    <w:rsid w:val="00D471DA"/>
    <w:rsid w:val="00D47ABD"/>
    <w:rsid w:val="00D50296"/>
    <w:rsid w:val="00D507F3"/>
    <w:rsid w:val="00D50F16"/>
    <w:rsid w:val="00D51723"/>
    <w:rsid w:val="00D5180D"/>
    <w:rsid w:val="00D51946"/>
    <w:rsid w:val="00D51B58"/>
    <w:rsid w:val="00D51C0B"/>
    <w:rsid w:val="00D52079"/>
    <w:rsid w:val="00D524A9"/>
    <w:rsid w:val="00D52537"/>
    <w:rsid w:val="00D52BFC"/>
    <w:rsid w:val="00D5378A"/>
    <w:rsid w:val="00D542CA"/>
    <w:rsid w:val="00D544CC"/>
    <w:rsid w:val="00D5495E"/>
    <w:rsid w:val="00D54ED0"/>
    <w:rsid w:val="00D56160"/>
    <w:rsid w:val="00D56F7E"/>
    <w:rsid w:val="00D57754"/>
    <w:rsid w:val="00D6002B"/>
    <w:rsid w:val="00D603F8"/>
    <w:rsid w:val="00D608A0"/>
    <w:rsid w:val="00D615CD"/>
    <w:rsid w:val="00D61F26"/>
    <w:rsid w:val="00D624DE"/>
    <w:rsid w:val="00D62CB1"/>
    <w:rsid w:val="00D62DD9"/>
    <w:rsid w:val="00D63312"/>
    <w:rsid w:val="00D63978"/>
    <w:rsid w:val="00D63B99"/>
    <w:rsid w:val="00D63F9E"/>
    <w:rsid w:val="00D644A7"/>
    <w:rsid w:val="00D645CD"/>
    <w:rsid w:val="00D646D7"/>
    <w:rsid w:val="00D64A83"/>
    <w:rsid w:val="00D64DB6"/>
    <w:rsid w:val="00D65181"/>
    <w:rsid w:val="00D665AF"/>
    <w:rsid w:val="00D66B69"/>
    <w:rsid w:val="00D66D01"/>
    <w:rsid w:val="00D66D9C"/>
    <w:rsid w:val="00D67F16"/>
    <w:rsid w:val="00D705CF"/>
    <w:rsid w:val="00D70D4D"/>
    <w:rsid w:val="00D710C8"/>
    <w:rsid w:val="00D710F4"/>
    <w:rsid w:val="00D7163F"/>
    <w:rsid w:val="00D71B04"/>
    <w:rsid w:val="00D7216D"/>
    <w:rsid w:val="00D726AD"/>
    <w:rsid w:val="00D73287"/>
    <w:rsid w:val="00D732E0"/>
    <w:rsid w:val="00D73740"/>
    <w:rsid w:val="00D73867"/>
    <w:rsid w:val="00D73C65"/>
    <w:rsid w:val="00D747FD"/>
    <w:rsid w:val="00D75111"/>
    <w:rsid w:val="00D754C8"/>
    <w:rsid w:val="00D75538"/>
    <w:rsid w:val="00D76897"/>
    <w:rsid w:val="00D77BE7"/>
    <w:rsid w:val="00D77DC5"/>
    <w:rsid w:val="00D77E1A"/>
    <w:rsid w:val="00D80256"/>
    <w:rsid w:val="00D80CE3"/>
    <w:rsid w:val="00D80E0E"/>
    <w:rsid w:val="00D813D8"/>
    <w:rsid w:val="00D81983"/>
    <w:rsid w:val="00D82525"/>
    <w:rsid w:val="00D833A3"/>
    <w:rsid w:val="00D8387B"/>
    <w:rsid w:val="00D840CC"/>
    <w:rsid w:val="00D844FB"/>
    <w:rsid w:val="00D84A3D"/>
    <w:rsid w:val="00D84A6C"/>
    <w:rsid w:val="00D84C15"/>
    <w:rsid w:val="00D84C43"/>
    <w:rsid w:val="00D8513B"/>
    <w:rsid w:val="00D860A1"/>
    <w:rsid w:val="00D865A1"/>
    <w:rsid w:val="00D872EF"/>
    <w:rsid w:val="00D877AF"/>
    <w:rsid w:val="00D87A16"/>
    <w:rsid w:val="00D90D4D"/>
    <w:rsid w:val="00D90D8F"/>
    <w:rsid w:val="00D91C94"/>
    <w:rsid w:val="00D91EDC"/>
    <w:rsid w:val="00D920E3"/>
    <w:rsid w:val="00D9215D"/>
    <w:rsid w:val="00D923C6"/>
    <w:rsid w:val="00D929E6"/>
    <w:rsid w:val="00D9318C"/>
    <w:rsid w:val="00D932F7"/>
    <w:rsid w:val="00D935DD"/>
    <w:rsid w:val="00D93941"/>
    <w:rsid w:val="00D93B8E"/>
    <w:rsid w:val="00D946BF"/>
    <w:rsid w:val="00D94F62"/>
    <w:rsid w:val="00D95006"/>
    <w:rsid w:val="00D95151"/>
    <w:rsid w:val="00D9533F"/>
    <w:rsid w:val="00D956DD"/>
    <w:rsid w:val="00D95A6D"/>
    <w:rsid w:val="00D96941"/>
    <w:rsid w:val="00D96B6D"/>
    <w:rsid w:val="00D96CEC"/>
    <w:rsid w:val="00DA0460"/>
    <w:rsid w:val="00DA1CDA"/>
    <w:rsid w:val="00DA2BB0"/>
    <w:rsid w:val="00DA2C8E"/>
    <w:rsid w:val="00DA3275"/>
    <w:rsid w:val="00DA5A48"/>
    <w:rsid w:val="00DA61BE"/>
    <w:rsid w:val="00DA636C"/>
    <w:rsid w:val="00DA67AB"/>
    <w:rsid w:val="00DA729D"/>
    <w:rsid w:val="00DA7615"/>
    <w:rsid w:val="00DA76F3"/>
    <w:rsid w:val="00DB00FC"/>
    <w:rsid w:val="00DB0689"/>
    <w:rsid w:val="00DB08C1"/>
    <w:rsid w:val="00DB0A37"/>
    <w:rsid w:val="00DB0A3D"/>
    <w:rsid w:val="00DB0DB8"/>
    <w:rsid w:val="00DB1408"/>
    <w:rsid w:val="00DB154D"/>
    <w:rsid w:val="00DB1BCA"/>
    <w:rsid w:val="00DB3102"/>
    <w:rsid w:val="00DB323A"/>
    <w:rsid w:val="00DB35B8"/>
    <w:rsid w:val="00DB362F"/>
    <w:rsid w:val="00DB472A"/>
    <w:rsid w:val="00DB5AD2"/>
    <w:rsid w:val="00DB64F0"/>
    <w:rsid w:val="00DB6533"/>
    <w:rsid w:val="00DB663B"/>
    <w:rsid w:val="00DB67CF"/>
    <w:rsid w:val="00DB6A47"/>
    <w:rsid w:val="00DB6D88"/>
    <w:rsid w:val="00DB6EBD"/>
    <w:rsid w:val="00DB703C"/>
    <w:rsid w:val="00DB7665"/>
    <w:rsid w:val="00DC02E2"/>
    <w:rsid w:val="00DC056D"/>
    <w:rsid w:val="00DC076C"/>
    <w:rsid w:val="00DC11CE"/>
    <w:rsid w:val="00DC2765"/>
    <w:rsid w:val="00DC2DBC"/>
    <w:rsid w:val="00DC3662"/>
    <w:rsid w:val="00DC3844"/>
    <w:rsid w:val="00DC3B82"/>
    <w:rsid w:val="00DC3CFE"/>
    <w:rsid w:val="00DC44A4"/>
    <w:rsid w:val="00DC4840"/>
    <w:rsid w:val="00DC4D3D"/>
    <w:rsid w:val="00DC51A0"/>
    <w:rsid w:val="00DC5985"/>
    <w:rsid w:val="00DC5C06"/>
    <w:rsid w:val="00DC65CB"/>
    <w:rsid w:val="00DC66B0"/>
    <w:rsid w:val="00DC68F5"/>
    <w:rsid w:val="00DC6F14"/>
    <w:rsid w:val="00DC708E"/>
    <w:rsid w:val="00DC73F8"/>
    <w:rsid w:val="00DC7ADC"/>
    <w:rsid w:val="00DC7E80"/>
    <w:rsid w:val="00DC7F16"/>
    <w:rsid w:val="00DD016F"/>
    <w:rsid w:val="00DD02C5"/>
    <w:rsid w:val="00DD0913"/>
    <w:rsid w:val="00DD0C88"/>
    <w:rsid w:val="00DD1C56"/>
    <w:rsid w:val="00DD1FA8"/>
    <w:rsid w:val="00DD25F1"/>
    <w:rsid w:val="00DD2965"/>
    <w:rsid w:val="00DD29AB"/>
    <w:rsid w:val="00DD29DC"/>
    <w:rsid w:val="00DD2BCF"/>
    <w:rsid w:val="00DD30DD"/>
    <w:rsid w:val="00DD3D83"/>
    <w:rsid w:val="00DD489C"/>
    <w:rsid w:val="00DD5B6A"/>
    <w:rsid w:val="00DD60F8"/>
    <w:rsid w:val="00DD6555"/>
    <w:rsid w:val="00DD686C"/>
    <w:rsid w:val="00DD6CF9"/>
    <w:rsid w:val="00DD6DC0"/>
    <w:rsid w:val="00DD7F12"/>
    <w:rsid w:val="00DE0292"/>
    <w:rsid w:val="00DE12FC"/>
    <w:rsid w:val="00DE15A3"/>
    <w:rsid w:val="00DE1AAE"/>
    <w:rsid w:val="00DE1DC6"/>
    <w:rsid w:val="00DE2AA0"/>
    <w:rsid w:val="00DE2E48"/>
    <w:rsid w:val="00DE31F3"/>
    <w:rsid w:val="00DE396C"/>
    <w:rsid w:val="00DE4AAA"/>
    <w:rsid w:val="00DE4BF0"/>
    <w:rsid w:val="00DE58F6"/>
    <w:rsid w:val="00DE615B"/>
    <w:rsid w:val="00DE66EF"/>
    <w:rsid w:val="00DF0456"/>
    <w:rsid w:val="00DF04A9"/>
    <w:rsid w:val="00DF09C5"/>
    <w:rsid w:val="00DF146E"/>
    <w:rsid w:val="00DF2621"/>
    <w:rsid w:val="00DF28E6"/>
    <w:rsid w:val="00DF2990"/>
    <w:rsid w:val="00DF354D"/>
    <w:rsid w:val="00DF39CF"/>
    <w:rsid w:val="00DF4537"/>
    <w:rsid w:val="00DF5347"/>
    <w:rsid w:val="00DF5B3E"/>
    <w:rsid w:val="00DF61A0"/>
    <w:rsid w:val="00DF6BD0"/>
    <w:rsid w:val="00DF6E42"/>
    <w:rsid w:val="00DF73A1"/>
    <w:rsid w:val="00DF74F7"/>
    <w:rsid w:val="00DF7966"/>
    <w:rsid w:val="00DF7B2D"/>
    <w:rsid w:val="00DF7C53"/>
    <w:rsid w:val="00E004C3"/>
    <w:rsid w:val="00E005C4"/>
    <w:rsid w:val="00E017FE"/>
    <w:rsid w:val="00E01A0B"/>
    <w:rsid w:val="00E01C88"/>
    <w:rsid w:val="00E0203B"/>
    <w:rsid w:val="00E02111"/>
    <w:rsid w:val="00E0268C"/>
    <w:rsid w:val="00E03118"/>
    <w:rsid w:val="00E032DB"/>
    <w:rsid w:val="00E041D6"/>
    <w:rsid w:val="00E04B8A"/>
    <w:rsid w:val="00E04DCB"/>
    <w:rsid w:val="00E05193"/>
    <w:rsid w:val="00E05533"/>
    <w:rsid w:val="00E055B3"/>
    <w:rsid w:val="00E05667"/>
    <w:rsid w:val="00E05B26"/>
    <w:rsid w:val="00E060B7"/>
    <w:rsid w:val="00E063AD"/>
    <w:rsid w:val="00E065A0"/>
    <w:rsid w:val="00E06D8C"/>
    <w:rsid w:val="00E06EFC"/>
    <w:rsid w:val="00E073B5"/>
    <w:rsid w:val="00E077F7"/>
    <w:rsid w:val="00E11686"/>
    <w:rsid w:val="00E117F3"/>
    <w:rsid w:val="00E118F8"/>
    <w:rsid w:val="00E11DD9"/>
    <w:rsid w:val="00E11EE5"/>
    <w:rsid w:val="00E11EE7"/>
    <w:rsid w:val="00E11FB8"/>
    <w:rsid w:val="00E12301"/>
    <w:rsid w:val="00E12404"/>
    <w:rsid w:val="00E12E88"/>
    <w:rsid w:val="00E12F94"/>
    <w:rsid w:val="00E13069"/>
    <w:rsid w:val="00E1368E"/>
    <w:rsid w:val="00E13779"/>
    <w:rsid w:val="00E145A3"/>
    <w:rsid w:val="00E15823"/>
    <w:rsid w:val="00E16CBA"/>
    <w:rsid w:val="00E16E09"/>
    <w:rsid w:val="00E20146"/>
    <w:rsid w:val="00E20E25"/>
    <w:rsid w:val="00E2133D"/>
    <w:rsid w:val="00E21D7D"/>
    <w:rsid w:val="00E21F01"/>
    <w:rsid w:val="00E2254B"/>
    <w:rsid w:val="00E22827"/>
    <w:rsid w:val="00E22BEE"/>
    <w:rsid w:val="00E23724"/>
    <w:rsid w:val="00E23E34"/>
    <w:rsid w:val="00E23F79"/>
    <w:rsid w:val="00E24690"/>
    <w:rsid w:val="00E24817"/>
    <w:rsid w:val="00E24876"/>
    <w:rsid w:val="00E24878"/>
    <w:rsid w:val="00E24ECF"/>
    <w:rsid w:val="00E250D3"/>
    <w:rsid w:val="00E25528"/>
    <w:rsid w:val="00E26229"/>
    <w:rsid w:val="00E26F3A"/>
    <w:rsid w:val="00E271F1"/>
    <w:rsid w:val="00E2724B"/>
    <w:rsid w:val="00E2778F"/>
    <w:rsid w:val="00E27C00"/>
    <w:rsid w:val="00E3009E"/>
    <w:rsid w:val="00E30469"/>
    <w:rsid w:val="00E30704"/>
    <w:rsid w:val="00E30977"/>
    <w:rsid w:val="00E30C6D"/>
    <w:rsid w:val="00E30CFF"/>
    <w:rsid w:val="00E315EF"/>
    <w:rsid w:val="00E3178F"/>
    <w:rsid w:val="00E31D88"/>
    <w:rsid w:val="00E32091"/>
    <w:rsid w:val="00E3279F"/>
    <w:rsid w:val="00E32F17"/>
    <w:rsid w:val="00E33215"/>
    <w:rsid w:val="00E33652"/>
    <w:rsid w:val="00E3371F"/>
    <w:rsid w:val="00E338D1"/>
    <w:rsid w:val="00E33949"/>
    <w:rsid w:val="00E345BD"/>
    <w:rsid w:val="00E35A57"/>
    <w:rsid w:val="00E35DA1"/>
    <w:rsid w:val="00E35F94"/>
    <w:rsid w:val="00E37BB1"/>
    <w:rsid w:val="00E37CE3"/>
    <w:rsid w:val="00E40149"/>
    <w:rsid w:val="00E40183"/>
    <w:rsid w:val="00E40F19"/>
    <w:rsid w:val="00E4108F"/>
    <w:rsid w:val="00E4137F"/>
    <w:rsid w:val="00E41497"/>
    <w:rsid w:val="00E4151B"/>
    <w:rsid w:val="00E416AE"/>
    <w:rsid w:val="00E417C0"/>
    <w:rsid w:val="00E41BC1"/>
    <w:rsid w:val="00E41E2E"/>
    <w:rsid w:val="00E423A9"/>
    <w:rsid w:val="00E426B3"/>
    <w:rsid w:val="00E42965"/>
    <w:rsid w:val="00E42EDA"/>
    <w:rsid w:val="00E4319E"/>
    <w:rsid w:val="00E43DC3"/>
    <w:rsid w:val="00E43E07"/>
    <w:rsid w:val="00E44880"/>
    <w:rsid w:val="00E44DA6"/>
    <w:rsid w:val="00E45935"/>
    <w:rsid w:val="00E459BA"/>
    <w:rsid w:val="00E45AB8"/>
    <w:rsid w:val="00E45F82"/>
    <w:rsid w:val="00E46667"/>
    <w:rsid w:val="00E466BF"/>
    <w:rsid w:val="00E472CF"/>
    <w:rsid w:val="00E47683"/>
    <w:rsid w:val="00E476CE"/>
    <w:rsid w:val="00E47B71"/>
    <w:rsid w:val="00E47BF0"/>
    <w:rsid w:val="00E47C15"/>
    <w:rsid w:val="00E500CB"/>
    <w:rsid w:val="00E51120"/>
    <w:rsid w:val="00E514DF"/>
    <w:rsid w:val="00E53441"/>
    <w:rsid w:val="00E555C0"/>
    <w:rsid w:val="00E5593C"/>
    <w:rsid w:val="00E55C4B"/>
    <w:rsid w:val="00E56525"/>
    <w:rsid w:val="00E569F4"/>
    <w:rsid w:val="00E577EB"/>
    <w:rsid w:val="00E57877"/>
    <w:rsid w:val="00E57CBA"/>
    <w:rsid w:val="00E6014D"/>
    <w:rsid w:val="00E6061B"/>
    <w:rsid w:val="00E60C0A"/>
    <w:rsid w:val="00E60EC3"/>
    <w:rsid w:val="00E611A6"/>
    <w:rsid w:val="00E611EE"/>
    <w:rsid w:val="00E6208F"/>
    <w:rsid w:val="00E62D0B"/>
    <w:rsid w:val="00E63550"/>
    <w:rsid w:val="00E635DB"/>
    <w:rsid w:val="00E640BE"/>
    <w:rsid w:val="00E648F3"/>
    <w:rsid w:val="00E65074"/>
    <w:rsid w:val="00E654B9"/>
    <w:rsid w:val="00E65A85"/>
    <w:rsid w:val="00E65D1C"/>
    <w:rsid w:val="00E65F07"/>
    <w:rsid w:val="00E665A6"/>
    <w:rsid w:val="00E675C7"/>
    <w:rsid w:val="00E67C1E"/>
    <w:rsid w:val="00E7004D"/>
    <w:rsid w:val="00E70365"/>
    <w:rsid w:val="00E706F7"/>
    <w:rsid w:val="00E71222"/>
    <w:rsid w:val="00E71302"/>
    <w:rsid w:val="00E71614"/>
    <w:rsid w:val="00E718C1"/>
    <w:rsid w:val="00E7287D"/>
    <w:rsid w:val="00E72F9B"/>
    <w:rsid w:val="00E73688"/>
    <w:rsid w:val="00E73857"/>
    <w:rsid w:val="00E73ACE"/>
    <w:rsid w:val="00E73FE4"/>
    <w:rsid w:val="00E74465"/>
    <w:rsid w:val="00E7461E"/>
    <w:rsid w:val="00E7537E"/>
    <w:rsid w:val="00E75B20"/>
    <w:rsid w:val="00E75E27"/>
    <w:rsid w:val="00E75F76"/>
    <w:rsid w:val="00E762FE"/>
    <w:rsid w:val="00E7648D"/>
    <w:rsid w:val="00E769A1"/>
    <w:rsid w:val="00E76E39"/>
    <w:rsid w:val="00E77467"/>
    <w:rsid w:val="00E77552"/>
    <w:rsid w:val="00E77834"/>
    <w:rsid w:val="00E807C7"/>
    <w:rsid w:val="00E80C88"/>
    <w:rsid w:val="00E80EA8"/>
    <w:rsid w:val="00E80F57"/>
    <w:rsid w:val="00E811F8"/>
    <w:rsid w:val="00E813CC"/>
    <w:rsid w:val="00E813F4"/>
    <w:rsid w:val="00E8142F"/>
    <w:rsid w:val="00E8171A"/>
    <w:rsid w:val="00E81A13"/>
    <w:rsid w:val="00E81A29"/>
    <w:rsid w:val="00E81A4B"/>
    <w:rsid w:val="00E81C3B"/>
    <w:rsid w:val="00E823AE"/>
    <w:rsid w:val="00E82B52"/>
    <w:rsid w:val="00E82EEC"/>
    <w:rsid w:val="00E830E3"/>
    <w:rsid w:val="00E83933"/>
    <w:rsid w:val="00E84737"/>
    <w:rsid w:val="00E848EA"/>
    <w:rsid w:val="00E84B3E"/>
    <w:rsid w:val="00E84C09"/>
    <w:rsid w:val="00E84E5A"/>
    <w:rsid w:val="00E8597E"/>
    <w:rsid w:val="00E85ACE"/>
    <w:rsid w:val="00E85B2B"/>
    <w:rsid w:val="00E86934"/>
    <w:rsid w:val="00E87082"/>
    <w:rsid w:val="00E876EF"/>
    <w:rsid w:val="00E87C4D"/>
    <w:rsid w:val="00E87CF0"/>
    <w:rsid w:val="00E909AA"/>
    <w:rsid w:val="00E90AE2"/>
    <w:rsid w:val="00E911E7"/>
    <w:rsid w:val="00E916AC"/>
    <w:rsid w:val="00E91FCC"/>
    <w:rsid w:val="00E925D9"/>
    <w:rsid w:val="00E92EDA"/>
    <w:rsid w:val="00E9312D"/>
    <w:rsid w:val="00E93193"/>
    <w:rsid w:val="00E93DAB"/>
    <w:rsid w:val="00E9433A"/>
    <w:rsid w:val="00E9448B"/>
    <w:rsid w:val="00E944EC"/>
    <w:rsid w:val="00E94697"/>
    <w:rsid w:val="00E949BE"/>
    <w:rsid w:val="00E94FD8"/>
    <w:rsid w:val="00E952DB"/>
    <w:rsid w:val="00E96277"/>
    <w:rsid w:val="00E96C42"/>
    <w:rsid w:val="00E972B8"/>
    <w:rsid w:val="00EA022B"/>
    <w:rsid w:val="00EA1007"/>
    <w:rsid w:val="00EA1451"/>
    <w:rsid w:val="00EA19CB"/>
    <w:rsid w:val="00EA1BD8"/>
    <w:rsid w:val="00EA273D"/>
    <w:rsid w:val="00EA2C3D"/>
    <w:rsid w:val="00EA30B9"/>
    <w:rsid w:val="00EA3171"/>
    <w:rsid w:val="00EA3AD8"/>
    <w:rsid w:val="00EA3F47"/>
    <w:rsid w:val="00EA44EA"/>
    <w:rsid w:val="00EA4DB6"/>
    <w:rsid w:val="00EA5A61"/>
    <w:rsid w:val="00EA5EA0"/>
    <w:rsid w:val="00EA65D8"/>
    <w:rsid w:val="00EA662E"/>
    <w:rsid w:val="00EA6847"/>
    <w:rsid w:val="00EA6F18"/>
    <w:rsid w:val="00EA7D93"/>
    <w:rsid w:val="00EA7FC3"/>
    <w:rsid w:val="00EB04B0"/>
    <w:rsid w:val="00EB098D"/>
    <w:rsid w:val="00EB0CC5"/>
    <w:rsid w:val="00EB0D5B"/>
    <w:rsid w:val="00EB12FE"/>
    <w:rsid w:val="00EB1452"/>
    <w:rsid w:val="00EB1F79"/>
    <w:rsid w:val="00EB2BD0"/>
    <w:rsid w:val="00EB4158"/>
    <w:rsid w:val="00EB4265"/>
    <w:rsid w:val="00EB53B6"/>
    <w:rsid w:val="00EB5855"/>
    <w:rsid w:val="00EB58F3"/>
    <w:rsid w:val="00EB62BA"/>
    <w:rsid w:val="00EB6665"/>
    <w:rsid w:val="00EB67D4"/>
    <w:rsid w:val="00EB699B"/>
    <w:rsid w:val="00EB6D2F"/>
    <w:rsid w:val="00EB7313"/>
    <w:rsid w:val="00EB77D5"/>
    <w:rsid w:val="00EB7FF0"/>
    <w:rsid w:val="00EC00CB"/>
    <w:rsid w:val="00EC01C8"/>
    <w:rsid w:val="00EC030E"/>
    <w:rsid w:val="00EC03C4"/>
    <w:rsid w:val="00EC05E9"/>
    <w:rsid w:val="00EC1157"/>
    <w:rsid w:val="00EC14E2"/>
    <w:rsid w:val="00EC1717"/>
    <w:rsid w:val="00EC1C08"/>
    <w:rsid w:val="00EC1FF6"/>
    <w:rsid w:val="00EC2004"/>
    <w:rsid w:val="00EC2112"/>
    <w:rsid w:val="00EC2344"/>
    <w:rsid w:val="00EC2DC2"/>
    <w:rsid w:val="00EC39D9"/>
    <w:rsid w:val="00EC3EFD"/>
    <w:rsid w:val="00EC40EF"/>
    <w:rsid w:val="00EC4745"/>
    <w:rsid w:val="00EC4D6A"/>
    <w:rsid w:val="00EC550E"/>
    <w:rsid w:val="00EC5AFD"/>
    <w:rsid w:val="00EC5C3C"/>
    <w:rsid w:val="00EC6896"/>
    <w:rsid w:val="00EC699C"/>
    <w:rsid w:val="00EC6D53"/>
    <w:rsid w:val="00EC73B4"/>
    <w:rsid w:val="00EC7C8C"/>
    <w:rsid w:val="00ED005A"/>
    <w:rsid w:val="00ED0529"/>
    <w:rsid w:val="00ED0BA0"/>
    <w:rsid w:val="00ED12B1"/>
    <w:rsid w:val="00ED1D8A"/>
    <w:rsid w:val="00ED28E2"/>
    <w:rsid w:val="00ED3DDA"/>
    <w:rsid w:val="00ED43CB"/>
    <w:rsid w:val="00ED5928"/>
    <w:rsid w:val="00ED59A8"/>
    <w:rsid w:val="00ED61A6"/>
    <w:rsid w:val="00ED6420"/>
    <w:rsid w:val="00ED6424"/>
    <w:rsid w:val="00ED6AF2"/>
    <w:rsid w:val="00ED6BBF"/>
    <w:rsid w:val="00ED6C52"/>
    <w:rsid w:val="00ED6E0B"/>
    <w:rsid w:val="00ED72C0"/>
    <w:rsid w:val="00ED7726"/>
    <w:rsid w:val="00ED79CD"/>
    <w:rsid w:val="00ED7BDF"/>
    <w:rsid w:val="00ED7E01"/>
    <w:rsid w:val="00EE0A3F"/>
    <w:rsid w:val="00EE0A80"/>
    <w:rsid w:val="00EE271B"/>
    <w:rsid w:val="00EE2F10"/>
    <w:rsid w:val="00EE3072"/>
    <w:rsid w:val="00EE354B"/>
    <w:rsid w:val="00EE4C4C"/>
    <w:rsid w:val="00EE52D0"/>
    <w:rsid w:val="00EE5572"/>
    <w:rsid w:val="00EE57A6"/>
    <w:rsid w:val="00EE6011"/>
    <w:rsid w:val="00EE64A8"/>
    <w:rsid w:val="00EE69F9"/>
    <w:rsid w:val="00EE7809"/>
    <w:rsid w:val="00EF05FB"/>
    <w:rsid w:val="00EF0DAC"/>
    <w:rsid w:val="00EF1A48"/>
    <w:rsid w:val="00EF1B66"/>
    <w:rsid w:val="00EF2043"/>
    <w:rsid w:val="00EF2D80"/>
    <w:rsid w:val="00EF3828"/>
    <w:rsid w:val="00EF43B7"/>
    <w:rsid w:val="00EF446E"/>
    <w:rsid w:val="00EF4C1A"/>
    <w:rsid w:val="00EF4DBA"/>
    <w:rsid w:val="00EF5421"/>
    <w:rsid w:val="00EF5A76"/>
    <w:rsid w:val="00EF609F"/>
    <w:rsid w:val="00EF6311"/>
    <w:rsid w:val="00EF6645"/>
    <w:rsid w:val="00EF69D0"/>
    <w:rsid w:val="00EF6E29"/>
    <w:rsid w:val="00EF6FFD"/>
    <w:rsid w:val="00EF7115"/>
    <w:rsid w:val="00EF7F83"/>
    <w:rsid w:val="00F00452"/>
    <w:rsid w:val="00F0095D"/>
    <w:rsid w:val="00F00DE8"/>
    <w:rsid w:val="00F02821"/>
    <w:rsid w:val="00F02FF3"/>
    <w:rsid w:val="00F03115"/>
    <w:rsid w:val="00F037E0"/>
    <w:rsid w:val="00F04C42"/>
    <w:rsid w:val="00F04E15"/>
    <w:rsid w:val="00F055D2"/>
    <w:rsid w:val="00F062B8"/>
    <w:rsid w:val="00F063F4"/>
    <w:rsid w:val="00F06615"/>
    <w:rsid w:val="00F068A6"/>
    <w:rsid w:val="00F0699D"/>
    <w:rsid w:val="00F06AE9"/>
    <w:rsid w:val="00F06D44"/>
    <w:rsid w:val="00F06FEB"/>
    <w:rsid w:val="00F070EB"/>
    <w:rsid w:val="00F07891"/>
    <w:rsid w:val="00F07ABB"/>
    <w:rsid w:val="00F07C5C"/>
    <w:rsid w:val="00F07CA7"/>
    <w:rsid w:val="00F07CF4"/>
    <w:rsid w:val="00F10368"/>
    <w:rsid w:val="00F1053D"/>
    <w:rsid w:val="00F107DF"/>
    <w:rsid w:val="00F10935"/>
    <w:rsid w:val="00F11252"/>
    <w:rsid w:val="00F122BC"/>
    <w:rsid w:val="00F1248A"/>
    <w:rsid w:val="00F12AD5"/>
    <w:rsid w:val="00F13121"/>
    <w:rsid w:val="00F1342F"/>
    <w:rsid w:val="00F1360C"/>
    <w:rsid w:val="00F13663"/>
    <w:rsid w:val="00F13B41"/>
    <w:rsid w:val="00F13E05"/>
    <w:rsid w:val="00F14575"/>
    <w:rsid w:val="00F14FF0"/>
    <w:rsid w:val="00F15091"/>
    <w:rsid w:val="00F1552B"/>
    <w:rsid w:val="00F15A3C"/>
    <w:rsid w:val="00F15BCB"/>
    <w:rsid w:val="00F162B8"/>
    <w:rsid w:val="00F16571"/>
    <w:rsid w:val="00F171D9"/>
    <w:rsid w:val="00F202C0"/>
    <w:rsid w:val="00F2056D"/>
    <w:rsid w:val="00F205CA"/>
    <w:rsid w:val="00F2069B"/>
    <w:rsid w:val="00F211AE"/>
    <w:rsid w:val="00F21655"/>
    <w:rsid w:val="00F216DF"/>
    <w:rsid w:val="00F21BB3"/>
    <w:rsid w:val="00F21D6C"/>
    <w:rsid w:val="00F22387"/>
    <w:rsid w:val="00F22627"/>
    <w:rsid w:val="00F229CF"/>
    <w:rsid w:val="00F22D72"/>
    <w:rsid w:val="00F23336"/>
    <w:rsid w:val="00F236A0"/>
    <w:rsid w:val="00F236ED"/>
    <w:rsid w:val="00F240E7"/>
    <w:rsid w:val="00F24117"/>
    <w:rsid w:val="00F24EAE"/>
    <w:rsid w:val="00F259F4"/>
    <w:rsid w:val="00F25BE5"/>
    <w:rsid w:val="00F26309"/>
    <w:rsid w:val="00F26E44"/>
    <w:rsid w:val="00F27B46"/>
    <w:rsid w:val="00F27DDC"/>
    <w:rsid w:val="00F300DC"/>
    <w:rsid w:val="00F30D62"/>
    <w:rsid w:val="00F317C6"/>
    <w:rsid w:val="00F3219D"/>
    <w:rsid w:val="00F33548"/>
    <w:rsid w:val="00F336CA"/>
    <w:rsid w:val="00F34D27"/>
    <w:rsid w:val="00F353D1"/>
    <w:rsid w:val="00F356F5"/>
    <w:rsid w:val="00F35E1B"/>
    <w:rsid w:val="00F3611A"/>
    <w:rsid w:val="00F36AEF"/>
    <w:rsid w:val="00F36B64"/>
    <w:rsid w:val="00F36C0A"/>
    <w:rsid w:val="00F36E8E"/>
    <w:rsid w:val="00F373A9"/>
    <w:rsid w:val="00F374CA"/>
    <w:rsid w:val="00F37537"/>
    <w:rsid w:val="00F375B0"/>
    <w:rsid w:val="00F403E7"/>
    <w:rsid w:val="00F406CE"/>
    <w:rsid w:val="00F40958"/>
    <w:rsid w:val="00F40E52"/>
    <w:rsid w:val="00F410D7"/>
    <w:rsid w:val="00F419FC"/>
    <w:rsid w:val="00F41B09"/>
    <w:rsid w:val="00F4272F"/>
    <w:rsid w:val="00F42B55"/>
    <w:rsid w:val="00F42C8B"/>
    <w:rsid w:val="00F4352D"/>
    <w:rsid w:val="00F4372B"/>
    <w:rsid w:val="00F4380A"/>
    <w:rsid w:val="00F43F14"/>
    <w:rsid w:val="00F457A7"/>
    <w:rsid w:val="00F45BFC"/>
    <w:rsid w:val="00F45DCB"/>
    <w:rsid w:val="00F45E1D"/>
    <w:rsid w:val="00F45F56"/>
    <w:rsid w:val="00F46810"/>
    <w:rsid w:val="00F47965"/>
    <w:rsid w:val="00F47A8F"/>
    <w:rsid w:val="00F50758"/>
    <w:rsid w:val="00F51D21"/>
    <w:rsid w:val="00F51D26"/>
    <w:rsid w:val="00F530B3"/>
    <w:rsid w:val="00F539B3"/>
    <w:rsid w:val="00F539BB"/>
    <w:rsid w:val="00F54055"/>
    <w:rsid w:val="00F54225"/>
    <w:rsid w:val="00F54829"/>
    <w:rsid w:val="00F54858"/>
    <w:rsid w:val="00F55D3D"/>
    <w:rsid w:val="00F56438"/>
    <w:rsid w:val="00F56C65"/>
    <w:rsid w:val="00F56FB4"/>
    <w:rsid w:val="00F572EB"/>
    <w:rsid w:val="00F5763F"/>
    <w:rsid w:val="00F5773F"/>
    <w:rsid w:val="00F57A01"/>
    <w:rsid w:val="00F60589"/>
    <w:rsid w:val="00F606D6"/>
    <w:rsid w:val="00F607B5"/>
    <w:rsid w:val="00F60830"/>
    <w:rsid w:val="00F60F5E"/>
    <w:rsid w:val="00F6103D"/>
    <w:rsid w:val="00F613BB"/>
    <w:rsid w:val="00F61553"/>
    <w:rsid w:val="00F61671"/>
    <w:rsid w:val="00F61B00"/>
    <w:rsid w:val="00F61F96"/>
    <w:rsid w:val="00F625B0"/>
    <w:rsid w:val="00F63047"/>
    <w:rsid w:val="00F630D6"/>
    <w:rsid w:val="00F635E7"/>
    <w:rsid w:val="00F63E48"/>
    <w:rsid w:val="00F64480"/>
    <w:rsid w:val="00F645B4"/>
    <w:rsid w:val="00F64B46"/>
    <w:rsid w:val="00F6514E"/>
    <w:rsid w:val="00F65369"/>
    <w:rsid w:val="00F66125"/>
    <w:rsid w:val="00F6631B"/>
    <w:rsid w:val="00F66FB4"/>
    <w:rsid w:val="00F673F1"/>
    <w:rsid w:val="00F7082C"/>
    <w:rsid w:val="00F70B86"/>
    <w:rsid w:val="00F70EE1"/>
    <w:rsid w:val="00F70FA4"/>
    <w:rsid w:val="00F7115C"/>
    <w:rsid w:val="00F72349"/>
    <w:rsid w:val="00F726F7"/>
    <w:rsid w:val="00F72964"/>
    <w:rsid w:val="00F7390A"/>
    <w:rsid w:val="00F7390E"/>
    <w:rsid w:val="00F73E4A"/>
    <w:rsid w:val="00F73F6D"/>
    <w:rsid w:val="00F74BCB"/>
    <w:rsid w:val="00F74D33"/>
    <w:rsid w:val="00F74ECE"/>
    <w:rsid w:val="00F7526D"/>
    <w:rsid w:val="00F75673"/>
    <w:rsid w:val="00F75773"/>
    <w:rsid w:val="00F757C0"/>
    <w:rsid w:val="00F758EB"/>
    <w:rsid w:val="00F75C16"/>
    <w:rsid w:val="00F75E5D"/>
    <w:rsid w:val="00F7645C"/>
    <w:rsid w:val="00F769C9"/>
    <w:rsid w:val="00F77C73"/>
    <w:rsid w:val="00F80778"/>
    <w:rsid w:val="00F808C7"/>
    <w:rsid w:val="00F81340"/>
    <w:rsid w:val="00F815AC"/>
    <w:rsid w:val="00F815CB"/>
    <w:rsid w:val="00F81ABF"/>
    <w:rsid w:val="00F8207B"/>
    <w:rsid w:val="00F82BE2"/>
    <w:rsid w:val="00F836F6"/>
    <w:rsid w:val="00F83D60"/>
    <w:rsid w:val="00F84A99"/>
    <w:rsid w:val="00F84D3C"/>
    <w:rsid w:val="00F84EBB"/>
    <w:rsid w:val="00F85EE3"/>
    <w:rsid w:val="00F86B80"/>
    <w:rsid w:val="00F86C2F"/>
    <w:rsid w:val="00F87108"/>
    <w:rsid w:val="00F876BB"/>
    <w:rsid w:val="00F87749"/>
    <w:rsid w:val="00F87E0A"/>
    <w:rsid w:val="00F91094"/>
    <w:rsid w:val="00F91853"/>
    <w:rsid w:val="00F92326"/>
    <w:rsid w:val="00F92582"/>
    <w:rsid w:val="00F92752"/>
    <w:rsid w:val="00F9336D"/>
    <w:rsid w:val="00F93880"/>
    <w:rsid w:val="00F9478E"/>
    <w:rsid w:val="00F9535C"/>
    <w:rsid w:val="00F977F0"/>
    <w:rsid w:val="00FA07D9"/>
    <w:rsid w:val="00FA134C"/>
    <w:rsid w:val="00FA171A"/>
    <w:rsid w:val="00FA1E0B"/>
    <w:rsid w:val="00FA3227"/>
    <w:rsid w:val="00FA38CF"/>
    <w:rsid w:val="00FA4493"/>
    <w:rsid w:val="00FA455B"/>
    <w:rsid w:val="00FA598C"/>
    <w:rsid w:val="00FA6506"/>
    <w:rsid w:val="00FA7360"/>
    <w:rsid w:val="00FA7511"/>
    <w:rsid w:val="00FA76B8"/>
    <w:rsid w:val="00FA7A92"/>
    <w:rsid w:val="00FA7E8D"/>
    <w:rsid w:val="00FB064A"/>
    <w:rsid w:val="00FB075B"/>
    <w:rsid w:val="00FB0A0F"/>
    <w:rsid w:val="00FB0A20"/>
    <w:rsid w:val="00FB0D4F"/>
    <w:rsid w:val="00FB117B"/>
    <w:rsid w:val="00FB1F35"/>
    <w:rsid w:val="00FB21C6"/>
    <w:rsid w:val="00FB25C4"/>
    <w:rsid w:val="00FB262A"/>
    <w:rsid w:val="00FB2802"/>
    <w:rsid w:val="00FB29FE"/>
    <w:rsid w:val="00FB2E48"/>
    <w:rsid w:val="00FB300B"/>
    <w:rsid w:val="00FB3092"/>
    <w:rsid w:val="00FB3229"/>
    <w:rsid w:val="00FB3BE4"/>
    <w:rsid w:val="00FB40DA"/>
    <w:rsid w:val="00FB42FE"/>
    <w:rsid w:val="00FB470C"/>
    <w:rsid w:val="00FB4C7D"/>
    <w:rsid w:val="00FB4DDB"/>
    <w:rsid w:val="00FB50B7"/>
    <w:rsid w:val="00FB5815"/>
    <w:rsid w:val="00FB5F33"/>
    <w:rsid w:val="00FB616F"/>
    <w:rsid w:val="00FB6905"/>
    <w:rsid w:val="00FB7AA5"/>
    <w:rsid w:val="00FB7AC2"/>
    <w:rsid w:val="00FC0166"/>
    <w:rsid w:val="00FC02D9"/>
    <w:rsid w:val="00FC04E7"/>
    <w:rsid w:val="00FC0513"/>
    <w:rsid w:val="00FC0AAA"/>
    <w:rsid w:val="00FC1160"/>
    <w:rsid w:val="00FC1189"/>
    <w:rsid w:val="00FC131B"/>
    <w:rsid w:val="00FC1659"/>
    <w:rsid w:val="00FC1867"/>
    <w:rsid w:val="00FC1FEA"/>
    <w:rsid w:val="00FC20CE"/>
    <w:rsid w:val="00FC24ED"/>
    <w:rsid w:val="00FC27DA"/>
    <w:rsid w:val="00FC3190"/>
    <w:rsid w:val="00FC3666"/>
    <w:rsid w:val="00FC396A"/>
    <w:rsid w:val="00FC3EB3"/>
    <w:rsid w:val="00FC3EE3"/>
    <w:rsid w:val="00FC45DF"/>
    <w:rsid w:val="00FC4694"/>
    <w:rsid w:val="00FC487E"/>
    <w:rsid w:val="00FC4953"/>
    <w:rsid w:val="00FC4E49"/>
    <w:rsid w:val="00FC5BE8"/>
    <w:rsid w:val="00FC5E5E"/>
    <w:rsid w:val="00FC5F41"/>
    <w:rsid w:val="00FC664F"/>
    <w:rsid w:val="00FC67B2"/>
    <w:rsid w:val="00FC77EA"/>
    <w:rsid w:val="00FC7BDC"/>
    <w:rsid w:val="00FC7C10"/>
    <w:rsid w:val="00FD01D7"/>
    <w:rsid w:val="00FD05A6"/>
    <w:rsid w:val="00FD0BD5"/>
    <w:rsid w:val="00FD1097"/>
    <w:rsid w:val="00FD124F"/>
    <w:rsid w:val="00FD1274"/>
    <w:rsid w:val="00FD1C99"/>
    <w:rsid w:val="00FD1D4D"/>
    <w:rsid w:val="00FD1DE1"/>
    <w:rsid w:val="00FD1F39"/>
    <w:rsid w:val="00FD2201"/>
    <w:rsid w:val="00FD27C7"/>
    <w:rsid w:val="00FD2A0A"/>
    <w:rsid w:val="00FD2BB8"/>
    <w:rsid w:val="00FD2F1A"/>
    <w:rsid w:val="00FD351A"/>
    <w:rsid w:val="00FD39B6"/>
    <w:rsid w:val="00FD3B20"/>
    <w:rsid w:val="00FD4220"/>
    <w:rsid w:val="00FD5368"/>
    <w:rsid w:val="00FD561D"/>
    <w:rsid w:val="00FD6AB6"/>
    <w:rsid w:val="00FD6D5F"/>
    <w:rsid w:val="00FD75FE"/>
    <w:rsid w:val="00FD7714"/>
    <w:rsid w:val="00FD77AE"/>
    <w:rsid w:val="00FD7CFD"/>
    <w:rsid w:val="00FE0189"/>
    <w:rsid w:val="00FE0286"/>
    <w:rsid w:val="00FE0362"/>
    <w:rsid w:val="00FE0FCC"/>
    <w:rsid w:val="00FE1B5E"/>
    <w:rsid w:val="00FE1BF2"/>
    <w:rsid w:val="00FE1C81"/>
    <w:rsid w:val="00FE24DE"/>
    <w:rsid w:val="00FE2697"/>
    <w:rsid w:val="00FE2A8D"/>
    <w:rsid w:val="00FE4441"/>
    <w:rsid w:val="00FE45D6"/>
    <w:rsid w:val="00FE512F"/>
    <w:rsid w:val="00FE58CE"/>
    <w:rsid w:val="00FE5E9D"/>
    <w:rsid w:val="00FE6A30"/>
    <w:rsid w:val="00FE705C"/>
    <w:rsid w:val="00FE73DC"/>
    <w:rsid w:val="00FE7C00"/>
    <w:rsid w:val="00FF0264"/>
    <w:rsid w:val="00FF096D"/>
    <w:rsid w:val="00FF09E6"/>
    <w:rsid w:val="00FF0B58"/>
    <w:rsid w:val="00FF0B64"/>
    <w:rsid w:val="00FF0FCA"/>
    <w:rsid w:val="00FF14FD"/>
    <w:rsid w:val="00FF19B6"/>
    <w:rsid w:val="00FF1AF2"/>
    <w:rsid w:val="00FF1CD9"/>
    <w:rsid w:val="00FF1E38"/>
    <w:rsid w:val="00FF2BFC"/>
    <w:rsid w:val="00FF2DEC"/>
    <w:rsid w:val="00FF338A"/>
    <w:rsid w:val="00FF4252"/>
    <w:rsid w:val="00FF4B06"/>
    <w:rsid w:val="00FF4C7D"/>
    <w:rsid w:val="00FF5C48"/>
    <w:rsid w:val="00FF5DAC"/>
    <w:rsid w:val="00FF6D7E"/>
    <w:rsid w:val="00FF6EE9"/>
    <w:rsid w:val="00FF7BD3"/>
    <w:rsid w:val="029055F2"/>
    <w:rsid w:val="03256A6C"/>
    <w:rsid w:val="04BE6453"/>
    <w:rsid w:val="05015EA4"/>
    <w:rsid w:val="06005601"/>
    <w:rsid w:val="0627537E"/>
    <w:rsid w:val="062D62C3"/>
    <w:rsid w:val="07462887"/>
    <w:rsid w:val="07727AEC"/>
    <w:rsid w:val="07C76200"/>
    <w:rsid w:val="08514ACC"/>
    <w:rsid w:val="08FF1C4F"/>
    <w:rsid w:val="09614965"/>
    <w:rsid w:val="096B7D90"/>
    <w:rsid w:val="0CE17CCE"/>
    <w:rsid w:val="11B12A00"/>
    <w:rsid w:val="11CD542E"/>
    <w:rsid w:val="12412DB3"/>
    <w:rsid w:val="13456171"/>
    <w:rsid w:val="13E81768"/>
    <w:rsid w:val="15D14E87"/>
    <w:rsid w:val="1655529B"/>
    <w:rsid w:val="17896F7F"/>
    <w:rsid w:val="18321F5C"/>
    <w:rsid w:val="198F32D7"/>
    <w:rsid w:val="19DD4C7B"/>
    <w:rsid w:val="19EE2A43"/>
    <w:rsid w:val="1A125838"/>
    <w:rsid w:val="1ADD2620"/>
    <w:rsid w:val="1AF13750"/>
    <w:rsid w:val="1C6C138B"/>
    <w:rsid w:val="1F7C6916"/>
    <w:rsid w:val="201723F5"/>
    <w:rsid w:val="205B27D3"/>
    <w:rsid w:val="20AA304F"/>
    <w:rsid w:val="21FB5F9F"/>
    <w:rsid w:val="232C7925"/>
    <w:rsid w:val="249661B1"/>
    <w:rsid w:val="25483A68"/>
    <w:rsid w:val="26C003D2"/>
    <w:rsid w:val="27C941A8"/>
    <w:rsid w:val="2A637042"/>
    <w:rsid w:val="2AF90AED"/>
    <w:rsid w:val="2B922308"/>
    <w:rsid w:val="2DD57236"/>
    <w:rsid w:val="2F4E13F2"/>
    <w:rsid w:val="3098505F"/>
    <w:rsid w:val="311517F8"/>
    <w:rsid w:val="325C303E"/>
    <w:rsid w:val="32B325C4"/>
    <w:rsid w:val="33E505BB"/>
    <w:rsid w:val="343F7577"/>
    <w:rsid w:val="353A4937"/>
    <w:rsid w:val="360D0AFA"/>
    <w:rsid w:val="365F6866"/>
    <w:rsid w:val="369D47ED"/>
    <w:rsid w:val="37435198"/>
    <w:rsid w:val="3905525C"/>
    <w:rsid w:val="39643D30"/>
    <w:rsid w:val="3A074595"/>
    <w:rsid w:val="3A8A662D"/>
    <w:rsid w:val="3AE3337B"/>
    <w:rsid w:val="3B456C72"/>
    <w:rsid w:val="3E5619F8"/>
    <w:rsid w:val="3E860BED"/>
    <w:rsid w:val="3E904A67"/>
    <w:rsid w:val="3EEF7DF0"/>
    <w:rsid w:val="3F781BB8"/>
    <w:rsid w:val="3FD93A20"/>
    <w:rsid w:val="410614E2"/>
    <w:rsid w:val="411C10CC"/>
    <w:rsid w:val="41CD7186"/>
    <w:rsid w:val="439136A3"/>
    <w:rsid w:val="43A93F3B"/>
    <w:rsid w:val="43B70AA5"/>
    <w:rsid w:val="43CC3F57"/>
    <w:rsid w:val="44EF3AB2"/>
    <w:rsid w:val="4504568B"/>
    <w:rsid w:val="472D505A"/>
    <w:rsid w:val="483358DD"/>
    <w:rsid w:val="489D3E5E"/>
    <w:rsid w:val="49636970"/>
    <w:rsid w:val="4C560369"/>
    <w:rsid w:val="4D97427D"/>
    <w:rsid w:val="4DBA7040"/>
    <w:rsid w:val="4E567B91"/>
    <w:rsid w:val="4F846A83"/>
    <w:rsid w:val="4FEC0909"/>
    <w:rsid w:val="50A93CFC"/>
    <w:rsid w:val="516375F5"/>
    <w:rsid w:val="52D770D3"/>
    <w:rsid w:val="56064377"/>
    <w:rsid w:val="57253D43"/>
    <w:rsid w:val="573071F5"/>
    <w:rsid w:val="57A04D4E"/>
    <w:rsid w:val="57C725DE"/>
    <w:rsid w:val="58C12AF6"/>
    <w:rsid w:val="59CD78E2"/>
    <w:rsid w:val="59D934EB"/>
    <w:rsid w:val="5A082F03"/>
    <w:rsid w:val="5A4E03B9"/>
    <w:rsid w:val="5AD70230"/>
    <w:rsid w:val="5B9718EC"/>
    <w:rsid w:val="5C1331C3"/>
    <w:rsid w:val="5C4E2574"/>
    <w:rsid w:val="5D463E9B"/>
    <w:rsid w:val="5E025E27"/>
    <w:rsid w:val="5E0C611B"/>
    <w:rsid w:val="5F0174E6"/>
    <w:rsid w:val="61FD1623"/>
    <w:rsid w:val="63464323"/>
    <w:rsid w:val="63DE2FB6"/>
    <w:rsid w:val="64401AE6"/>
    <w:rsid w:val="65DD1006"/>
    <w:rsid w:val="672959B2"/>
    <w:rsid w:val="67666DD9"/>
    <w:rsid w:val="68376930"/>
    <w:rsid w:val="68917132"/>
    <w:rsid w:val="697E7860"/>
    <w:rsid w:val="6A1C4B8D"/>
    <w:rsid w:val="6B474ADD"/>
    <w:rsid w:val="6B686C15"/>
    <w:rsid w:val="6C7528AD"/>
    <w:rsid w:val="6E7100B0"/>
    <w:rsid w:val="6F8A5598"/>
    <w:rsid w:val="707F1C65"/>
    <w:rsid w:val="7156115C"/>
    <w:rsid w:val="724F27D3"/>
    <w:rsid w:val="72750781"/>
    <w:rsid w:val="73D96AEE"/>
    <w:rsid w:val="73FB5F11"/>
    <w:rsid w:val="745277A9"/>
    <w:rsid w:val="74D87E20"/>
    <w:rsid w:val="751305CA"/>
    <w:rsid w:val="7606432D"/>
    <w:rsid w:val="76103C9B"/>
    <w:rsid w:val="76E61EE3"/>
    <w:rsid w:val="77234EBA"/>
    <w:rsid w:val="797931C8"/>
    <w:rsid w:val="7A2478D5"/>
    <w:rsid w:val="7B384E18"/>
    <w:rsid w:val="7BC32336"/>
    <w:rsid w:val="7C9932BE"/>
    <w:rsid w:val="7E062BD5"/>
    <w:rsid w:val="7EEF6D55"/>
    <w:rsid w:val="7F5058C4"/>
    <w:rsid w:val="7FC9210C"/>
    <w:rsid w:val="7FEF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qFormat="1" w:unhideWhenUsed="0" w:uiPriority="99" w:semiHidden="0" w:name="macro"/>
    <w:lsdException w:qFormat="1" w:unhideWhenUsed="0" w:uiPriority="0" w:semiHidden="0" w:name="toa heading"/>
    <w:lsdException w:qFormat="1" w:unhideWhenUsed="0" w:uiPriority="99" w:semiHidden="0" w:name="List"/>
    <w:lsdException w:qFormat="1" w:unhideWhenUsed="0" w:uiPriority="99" w:semiHidden="0" w:name="List Bullet"/>
    <w:lsdException w:uiPriority="0" w:name="List Number"/>
    <w:lsdException w:qFormat="1" w:unhideWhenUsed="0" w:uiPriority="99" w:semiHidden="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4"/>
    <w:qFormat/>
    <w:uiPriority w:val="0"/>
    <w:pPr>
      <w:keepNext/>
      <w:keepLines/>
      <w:spacing w:before="120" w:after="120"/>
      <w:jc w:val="center"/>
      <w:outlineLvl w:val="0"/>
    </w:pPr>
    <w:rPr>
      <w:b/>
      <w:spacing w:val="20"/>
      <w:kern w:val="44"/>
      <w:sz w:val="32"/>
    </w:rPr>
  </w:style>
  <w:style w:type="paragraph" w:styleId="4">
    <w:name w:val="heading 2"/>
    <w:basedOn w:val="1"/>
    <w:next w:val="5"/>
    <w:link w:val="66"/>
    <w:qFormat/>
    <w:uiPriority w:val="0"/>
    <w:pPr>
      <w:keepNext/>
      <w:keepLines/>
      <w:spacing w:line="400" w:lineRule="exact"/>
      <w:jc w:val="center"/>
      <w:outlineLvl w:val="1"/>
    </w:pPr>
    <w:rPr>
      <w:rFonts w:ascii="Arial" w:hAnsi="Arial"/>
      <w:b/>
      <w:kern w:val="0"/>
      <w:sz w:val="30"/>
    </w:rPr>
  </w:style>
  <w:style w:type="paragraph" w:styleId="6">
    <w:name w:val="heading 3"/>
    <w:basedOn w:val="1"/>
    <w:next w:val="5"/>
    <w:link w:val="67"/>
    <w:qFormat/>
    <w:uiPriority w:val="0"/>
    <w:pPr>
      <w:keepNext/>
      <w:keepLines/>
      <w:spacing w:before="60" w:after="60" w:line="500" w:lineRule="exact"/>
      <w:ind w:firstLine="510"/>
      <w:outlineLvl w:val="2"/>
    </w:pPr>
    <w:rPr>
      <w:rFonts w:ascii="宋体"/>
      <w:b/>
      <w:sz w:val="24"/>
    </w:rPr>
  </w:style>
  <w:style w:type="paragraph" w:styleId="7">
    <w:name w:val="heading 4"/>
    <w:basedOn w:val="1"/>
    <w:next w:val="1"/>
    <w:link w:val="6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9"/>
    <w:qFormat/>
    <w:uiPriority w:val="0"/>
    <w:pPr>
      <w:keepNext/>
      <w:jc w:val="center"/>
      <w:outlineLvl w:val="4"/>
    </w:pPr>
    <w:rPr>
      <w:rFonts w:ascii="仿宋_GB2312" w:eastAsia="仿宋_GB2312"/>
      <w:b/>
      <w:bCs/>
      <w:sz w:val="24"/>
    </w:rPr>
  </w:style>
  <w:style w:type="paragraph" w:styleId="9">
    <w:name w:val="heading 6"/>
    <w:basedOn w:val="1"/>
    <w:next w:val="1"/>
    <w:link w:val="70"/>
    <w:qFormat/>
    <w:uiPriority w:val="0"/>
    <w:pPr>
      <w:keepNext/>
      <w:keepLines/>
      <w:widowControl/>
      <w:numPr>
        <w:ilvl w:val="5"/>
        <w:numId w:val="1"/>
      </w:numPr>
      <w:tabs>
        <w:tab w:val="left" w:pos="1440"/>
      </w:tabs>
      <w:spacing w:before="240" w:after="64" w:line="317" w:lineRule="auto"/>
      <w:jc w:val="left"/>
      <w:outlineLvl w:val="5"/>
    </w:pPr>
    <w:rPr>
      <w:rFonts w:ascii="Arial" w:hAnsi="Arial" w:eastAsia="黑体"/>
      <w:b/>
      <w:bCs/>
      <w:kern w:val="0"/>
      <w:sz w:val="24"/>
      <w:szCs w:val="24"/>
    </w:rPr>
  </w:style>
  <w:style w:type="paragraph" w:styleId="10">
    <w:name w:val="heading 7"/>
    <w:basedOn w:val="1"/>
    <w:next w:val="1"/>
    <w:link w:val="71"/>
    <w:qFormat/>
    <w:uiPriority w:val="99"/>
    <w:pPr>
      <w:keepNext/>
      <w:keepLines/>
      <w:widowControl/>
      <w:tabs>
        <w:tab w:val="left" w:pos="2520"/>
        <w:tab w:val="left" w:pos="3472"/>
      </w:tabs>
      <w:spacing w:before="240" w:after="64" w:line="317" w:lineRule="auto"/>
      <w:ind w:left="3472" w:hanging="420"/>
      <w:jc w:val="left"/>
      <w:outlineLvl w:val="6"/>
    </w:pPr>
    <w:rPr>
      <w:b/>
      <w:bCs/>
      <w:kern w:val="0"/>
      <w:sz w:val="24"/>
      <w:szCs w:val="24"/>
    </w:rPr>
  </w:style>
  <w:style w:type="paragraph" w:styleId="11">
    <w:name w:val="heading 8"/>
    <w:basedOn w:val="1"/>
    <w:next w:val="1"/>
    <w:link w:val="72"/>
    <w:qFormat/>
    <w:uiPriority w:val="99"/>
    <w:pPr>
      <w:keepNext/>
      <w:keepLines/>
      <w:widowControl/>
      <w:tabs>
        <w:tab w:val="left" w:pos="1440"/>
        <w:tab w:val="left" w:pos="3892"/>
      </w:tabs>
      <w:spacing w:before="240" w:after="64" w:line="317" w:lineRule="auto"/>
      <w:ind w:left="3892" w:hanging="420"/>
      <w:jc w:val="left"/>
      <w:outlineLvl w:val="7"/>
    </w:pPr>
    <w:rPr>
      <w:rFonts w:ascii="Arial" w:hAnsi="Arial" w:eastAsia="黑体"/>
      <w:kern w:val="0"/>
      <w:sz w:val="24"/>
      <w:szCs w:val="24"/>
    </w:rPr>
  </w:style>
  <w:style w:type="paragraph" w:styleId="12">
    <w:name w:val="heading 9"/>
    <w:basedOn w:val="1"/>
    <w:next w:val="1"/>
    <w:link w:val="73"/>
    <w:qFormat/>
    <w:uiPriority w:val="99"/>
    <w:pPr>
      <w:keepNext/>
      <w:keepLines/>
      <w:widowControl/>
      <w:tabs>
        <w:tab w:val="left" w:pos="1584"/>
        <w:tab w:val="left" w:pos="4312"/>
      </w:tabs>
      <w:spacing w:before="240" w:after="64" w:line="317" w:lineRule="auto"/>
      <w:ind w:left="4312" w:hanging="420"/>
      <w:jc w:val="left"/>
      <w:outlineLvl w:val="8"/>
    </w:pPr>
    <w:rPr>
      <w:rFonts w:ascii="Arial" w:hAnsi="Arial" w:eastAsia="黑体"/>
      <w:kern w:val="0"/>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macro"/>
    <w:link w:val="173"/>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5">
    <w:name w:val="Normal Indent"/>
    <w:basedOn w:val="1"/>
    <w:link w:val="65"/>
    <w:qFormat/>
    <w:uiPriority w:val="0"/>
    <w:pPr>
      <w:ind w:firstLine="420"/>
    </w:pPr>
  </w:style>
  <w:style w:type="paragraph" w:styleId="13">
    <w:name w:val="List 3"/>
    <w:basedOn w:val="1"/>
    <w:qFormat/>
    <w:uiPriority w:val="99"/>
    <w:pPr>
      <w:ind w:left="100" w:leftChars="400" w:hanging="200" w:hangingChars="200"/>
    </w:pPr>
    <w:rPr>
      <w:szCs w:val="24"/>
    </w:rPr>
  </w:style>
  <w:style w:type="paragraph" w:styleId="14">
    <w:name w:val="toc 7"/>
    <w:basedOn w:val="1"/>
    <w:next w:val="1"/>
    <w:qFormat/>
    <w:uiPriority w:val="39"/>
    <w:pPr>
      <w:ind w:left="1260"/>
      <w:jc w:val="left"/>
    </w:pPr>
    <w:rPr>
      <w:rFonts w:asciiTheme="minorHAnsi" w:hAnsiTheme="minorHAnsi" w:cstheme="minorHAnsi"/>
      <w:sz w:val="18"/>
      <w:szCs w:val="18"/>
    </w:rPr>
  </w:style>
  <w:style w:type="paragraph" w:styleId="15">
    <w:name w:val="caption"/>
    <w:basedOn w:val="1"/>
    <w:next w:val="1"/>
    <w:qFormat/>
    <w:uiPriority w:val="99"/>
    <w:rPr>
      <w:rFonts w:ascii="Arial" w:hAnsi="Arial" w:eastAsia="黑体" w:cs="Arial"/>
      <w:sz w:val="20"/>
    </w:rPr>
  </w:style>
  <w:style w:type="paragraph" w:styleId="16">
    <w:name w:val="List Bullet"/>
    <w:basedOn w:val="1"/>
    <w:qFormat/>
    <w:uiPriority w:val="99"/>
    <w:pPr>
      <w:tabs>
        <w:tab w:val="left" w:pos="360"/>
        <w:tab w:val="left" w:pos="432"/>
      </w:tabs>
      <w:ind w:left="432" w:hanging="432"/>
    </w:pPr>
    <w:rPr>
      <w:szCs w:val="24"/>
    </w:rPr>
  </w:style>
  <w:style w:type="paragraph" w:styleId="17">
    <w:name w:val="Document Map"/>
    <w:basedOn w:val="1"/>
    <w:link w:val="114"/>
    <w:qFormat/>
    <w:uiPriority w:val="99"/>
    <w:pPr>
      <w:shd w:val="clear" w:color="auto" w:fill="000080"/>
    </w:pPr>
  </w:style>
  <w:style w:type="paragraph" w:styleId="18">
    <w:name w:val="toa heading"/>
    <w:basedOn w:val="1"/>
    <w:next w:val="1"/>
    <w:qFormat/>
    <w:uiPriority w:val="0"/>
    <w:pPr>
      <w:spacing w:before="120"/>
    </w:pPr>
    <w:rPr>
      <w:rFonts w:ascii="Arial" w:hAnsi="Arial" w:cs="Arial"/>
      <w:sz w:val="24"/>
      <w:szCs w:val="24"/>
    </w:rPr>
  </w:style>
  <w:style w:type="paragraph" w:styleId="19">
    <w:name w:val="annotation text"/>
    <w:basedOn w:val="1"/>
    <w:link w:val="140"/>
    <w:unhideWhenUsed/>
    <w:qFormat/>
    <w:uiPriority w:val="99"/>
    <w:pPr>
      <w:jc w:val="left"/>
    </w:pPr>
  </w:style>
  <w:style w:type="paragraph" w:styleId="20">
    <w:name w:val="Body Text 3"/>
    <w:basedOn w:val="1"/>
    <w:link w:val="172"/>
    <w:qFormat/>
    <w:uiPriority w:val="99"/>
    <w:pPr>
      <w:widowControl/>
      <w:spacing w:after="120"/>
      <w:jc w:val="left"/>
    </w:pPr>
    <w:rPr>
      <w:kern w:val="0"/>
      <w:sz w:val="16"/>
      <w:szCs w:val="16"/>
    </w:rPr>
  </w:style>
  <w:style w:type="paragraph" w:styleId="21">
    <w:name w:val="Body Text"/>
    <w:basedOn w:val="1"/>
    <w:next w:val="1"/>
    <w:link w:val="123"/>
    <w:qFormat/>
    <w:uiPriority w:val="0"/>
    <w:pPr>
      <w:adjustRightInd w:val="0"/>
      <w:spacing w:line="440" w:lineRule="exact"/>
    </w:pPr>
    <w:rPr>
      <w:rFonts w:ascii="宋体" w:hAnsi="宋体"/>
      <w:bCs/>
      <w:color w:val="000000"/>
      <w:sz w:val="24"/>
    </w:rPr>
  </w:style>
  <w:style w:type="paragraph" w:styleId="22">
    <w:name w:val="Body Text Indent"/>
    <w:basedOn w:val="1"/>
    <w:link w:val="125"/>
    <w:qFormat/>
    <w:uiPriority w:val="0"/>
    <w:pPr>
      <w:spacing w:line="460" w:lineRule="exact"/>
      <w:ind w:firstLine="510"/>
    </w:pPr>
  </w:style>
  <w:style w:type="paragraph" w:styleId="23">
    <w:name w:val="List 2"/>
    <w:basedOn w:val="1"/>
    <w:qFormat/>
    <w:uiPriority w:val="99"/>
    <w:pPr>
      <w:ind w:left="100" w:leftChars="200" w:hanging="200" w:hangingChars="200"/>
    </w:pPr>
    <w:rPr>
      <w:szCs w:val="24"/>
    </w:rPr>
  </w:style>
  <w:style w:type="paragraph" w:styleId="24">
    <w:name w:val="Block Text"/>
    <w:basedOn w:val="1"/>
    <w:qFormat/>
    <w:uiPriority w:val="99"/>
    <w:pPr>
      <w:widowControl/>
      <w:spacing w:after="120"/>
      <w:ind w:left="1440" w:leftChars="700" w:right="1440" w:rightChars="700"/>
      <w:jc w:val="left"/>
    </w:pPr>
    <w:rPr>
      <w:kern w:val="0"/>
      <w:sz w:val="20"/>
    </w:rPr>
  </w:style>
  <w:style w:type="paragraph" w:styleId="25">
    <w:name w:val="index 4"/>
    <w:basedOn w:val="1"/>
    <w:next w:val="1"/>
    <w:unhideWhenUsed/>
    <w:qFormat/>
    <w:uiPriority w:val="99"/>
    <w:pPr>
      <w:ind w:left="600" w:leftChars="600"/>
    </w:pPr>
    <w:rPr>
      <w:szCs w:val="24"/>
    </w:rPr>
  </w:style>
  <w:style w:type="paragraph" w:styleId="26">
    <w:name w:val="toc 5"/>
    <w:basedOn w:val="1"/>
    <w:next w:val="1"/>
    <w:qFormat/>
    <w:uiPriority w:val="39"/>
    <w:pPr>
      <w:ind w:left="840"/>
      <w:jc w:val="left"/>
    </w:pPr>
    <w:rPr>
      <w:rFonts w:asciiTheme="minorHAnsi" w:hAnsiTheme="minorHAnsi" w:cstheme="minorHAnsi"/>
      <w:sz w:val="18"/>
      <w:szCs w:val="18"/>
    </w:rPr>
  </w:style>
  <w:style w:type="paragraph" w:styleId="27">
    <w:name w:val="toc 3"/>
    <w:basedOn w:val="1"/>
    <w:next w:val="1"/>
    <w:qFormat/>
    <w:uiPriority w:val="39"/>
    <w:pPr>
      <w:ind w:left="420"/>
      <w:jc w:val="left"/>
    </w:pPr>
    <w:rPr>
      <w:rFonts w:asciiTheme="minorHAnsi" w:hAnsiTheme="minorHAnsi" w:cstheme="minorHAnsi"/>
      <w:i/>
      <w:iCs/>
      <w:sz w:val="20"/>
    </w:rPr>
  </w:style>
  <w:style w:type="paragraph" w:styleId="28">
    <w:name w:val="Plain Text"/>
    <w:basedOn w:val="1"/>
    <w:next w:val="1"/>
    <w:link w:val="74"/>
    <w:qFormat/>
    <w:uiPriority w:val="0"/>
    <w:rPr>
      <w:rFonts w:ascii="宋体" w:hAnsi="Courier New"/>
    </w:rPr>
  </w:style>
  <w:style w:type="paragraph" w:styleId="29">
    <w:name w:val="toc 8"/>
    <w:basedOn w:val="1"/>
    <w:next w:val="1"/>
    <w:qFormat/>
    <w:uiPriority w:val="39"/>
    <w:pPr>
      <w:ind w:left="1470"/>
      <w:jc w:val="left"/>
    </w:pPr>
    <w:rPr>
      <w:rFonts w:asciiTheme="minorHAnsi" w:hAnsiTheme="minorHAnsi" w:cstheme="minorHAnsi"/>
      <w:sz w:val="18"/>
      <w:szCs w:val="18"/>
    </w:rPr>
  </w:style>
  <w:style w:type="paragraph" w:styleId="30">
    <w:name w:val="Date"/>
    <w:basedOn w:val="1"/>
    <w:next w:val="1"/>
    <w:link w:val="77"/>
    <w:qFormat/>
    <w:uiPriority w:val="0"/>
    <w:pPr>
      <w:ind w:left="100" w:leftChars="2500"/>
    </w:pPr>
    <w:rPr>
      <w:rFonts w:eastAsia="楷体_GB2312"/>
      <w:sz w:val="48"/>
      <w:szCs w:val="24"/>
    </w:rPr>
  </w:style>
  <w:style w:type="paragraph" w:styleId="31">
    <w:name w:val="Body Text Indent 2"/>
    <w:basedOn w:val="1"/>
    <w:link w:val="98"/>
    <w:qFormat/>
    <w:uiPriority w:val="0"/>
    <w:pPr>
      <w:spacing w:line="500" w:lineRule="exact"/>
      <w:ind w:firstLine="510"/>
    </w:pPr>
    <w:rPr>
      <w:rFonts w:ascii="宋体"/>
      <w:sz w:val="24"/>
    </w:rPr>
  </w:style>
  <w:style w:type="paragraph" w:styleId="32">
    <w:name w:val="Balloon Text"/>
    <w:basedOn w:val="1"/>
    <w:link w:val="122"/>
    <w:qFormat/>
    <w:uiPriority w:val="99"/>
    <w:rPr>
      <w:sz w:val="18"/>
      <w:szCs w:val="18"/>
    </w:rPr>
  </w:style>
  <w:style w:type="paragraph" w:styleId="33">
    <w:name w:val="footer"/>
    <w:basedOn w:val="1"/>
    <w:link w:val="131"/>
    <w:qFormat/>
    <w:uiPriority w:val="99"/>
    <w:pPr>
      <w:tabs>
        <w:tab w:val="center" w:pos="4153"/>
        <w:tab w:val="right" w:pos="8306"/>
      </w:tabs>
      <w:snapToGrid w:val="0"/>
      <w:jc w:val="left"/>
    </w:pPr>
    <w:rPr>
      <w:sz w:val="18"/>
    </w:rPr>
  </w:style>
  <w:style w:type="paragraph" w:styleId="34">
    <w:name w:val="header"/>
    <w:basedOn w:val="1"/>
    <w:link w:val="113"/>
    <w:qFormat/>
    <w:uiPriority w:val="0"/>
    <w:pPr>
      <w:pBdr>
        <w:bottom w:val="single" w:color="auto" w:sz="6" w:space="1"/>
      </w:pBdr>
      <w:tabs>
        <w:tab w:val="center" w:pos="4153"/>
        <w:tab w:val="right" w:pos="8306"/>
      </w:tabs>
      <w:snapToGrid w:val="0"/>
      <w:jc w:val="center"/>
    </w:pPr>
    <w:rPr>
      <w:sz w:val="18"/>
    </w:rPr>
  </w:style>
  <w:style w:type="paragraph" w:styleId="35">
    <w:name w:val="toc 1"/>
    <w:basedOn w:val="1"/>
    <w:next w:val="1"/>
    <w:qFormat/>
    <w:uiPriority w:val="39"/>
    <w:pPr>
      <w:spacing w:before="120" w:after="120"/>
      <w:jc w:val="left"/>
    </w:pPr>
    <w:rPr>
      <w:rFonts w:asciiTheme="minorHAnsi" w:hAnsiTheme="minorHAnsi" w:cstheme="minorHAnsi"/>
      <w:b/>
      <w:bCs/>
      <w:caps/>
      <w:sz w:val="20"/>
    </w:rPr>
  </w:style>
  <w:style w:type="paragraph" w:styleId="36">
    <w:name w:val="toc 4"/>
    <w:basedOn w:val="1"/>
    <w:next w:val="1"/>
    <w:qFormat/>
    <w:uiPriority w:val="39"/>
    <w:pPr>
      <w:ind w:left="630"/>
      <w:jc w:val="left"/>
    </w:pPr>
    <w:rPr>
      <w:rFonts w:asciiTheme="minorHAnsi" w:hAnsiTheme="minorHAnsi" w:cstheme="minorHAnsi"/>
      <w:sz w:val="18"/>
      <w:szCs w:val="18"/>
    </w:rPr>
  </w:style>
  <w:style w:type="paragraph" w:styleId="37">
    <w:name w:val="Subtitle"/>
    <w:basedOn w:val="1"/>
    <w:next w:val="1"/>
    <w:link w:val="284"/>
    <w:qFormat/>
    <w:uiPriority w:val="99"/>
    <w:pPr>
      <w:spacing w:before="240" w:after="60" w:line="312" w:lineRule="auto"/>
      <w:jc w:val="center"/>
      <w:outlineLvl w:val="1"/>
    </w:pPr>
    <w:rPr>
      <w:rFonts w:ascii="Cambria" w:hAnsi="Cambria"/>
      <w:b/>
      <w:bCs/>
      <w:kern w:val="28"/>
      <w:sz w:val="32"/>
      <w:szCs w:val="32"/>
    </w:rPr>
  </w:style>
  <w:style w:type="paragraph" w:styleId="38">
    <w:name w:val="List"/>
    <w:basedOn w:val="1"/>
    <w:qFormat/>
    <w:uiPriority w:val="99"/>
    <w:pPr>
      <w:ind w:left="200" w:hanging="200" w:hangingChars="200"/>
    </w:pPr>
    <w:rPr>
      <w:szCs w:val="24"/>
    </w:rPr>
  </w:style>
  <w:style w:type="paragraph" w:styleId="39">
    <w:name w:val="footnote text"/>
    <w:basedOn w:val="1"/>
    <w:link w:val="246"/>
    <w:qFormat/>
    <w:uiPriority w:val="99"/>
    <w:pPr>
      <w:snapToGrid w:val="0"/>
      <w:jc w:val="left"/>
    </w:pPr>
    <w:rPr>
      <w:sz w:val="18"/>
      <w:szCs w:val="18"/>
    </w:rPr>
  </w:style>
  <w:style w:type="paragraph" w:styleId="40">
    <w:name w:val="toc 6"/>
    <w:basedOn w:val="1"/>
    <w:next w:val="1"/>
    <w:qFormat/>
    <w:uiPriority w:val="39"/>
    <w:pPr>
      <w:ind w:left="1050"/>
      <w:jc w:val="left"/>
    </w:pPr>
    <w:rPr>
      <w:rFonts w:asciiTheme="minorHAnsi" w:hAnsiTheme="minorHAnsi" w:cstheme="minorHAnsi"/>
      <w:sz w:val="18"/>
      <w:szCs w:val="18"/>
    </w:rPr>
  </w:style>
  <w:style w:type="paragraph" w:styleId="41">
    <w:name w:val="Body Text Indent 3"/>
    <w:basedOn w:val="1"/>
    <w:link w:val="108"/>
    <w:qFormat/>
    <w:uiPriority w:val="99"/>
    <w:pPr>
      <w:spacing w:line="360" w:lineRule="auto"/>
      <w:ind w:firstLine="480" w:firstLineChars="200"/>
    </w:pPr>
    <w:rPr>
      <w:sz w:val="24"/>
      <w:szCs w:val="24"/>
    </w:rPr>
  </w:style>
  <w:style w:type="paragraph" w:styleId="42">
    <w:name w:val="toc 2"/>
    <w:basedOn w:val="1"/>
    <w:next w:val="1"/>
    <w:link w:val="112"/>
    <w:qFormat/>
    <w:uiPriority w:val="39"/>
    <w:pPr>
      <w:ind w:left="210"/>
      <w:jc w:val="left"/>
    </w:pPr>
    <w:rPr>
      <w:rFonts w:asciiTheme="minorHAnsi" w:hAnsiTheme="minorHAnsi" w:cstheme="minorHAnsi"/>
      <w:smallCaps/>
      <w:sz w:val="20"/>
    </w:rPr>
  </w:style>
  <w:style w:type="paragraph" w:styleId="43">
    <w:name w:val="toc 9"/>
    <w:basedOn w:val="1"/>
    <w:next w:val="1"/>
    <w:qFormat/>
    <w:uiPriority w:val="39"/>
    <w:pPr>
      <w:ind w:left="1680"/>
      <w:jc w:val="left"/>
    </w:pPr>
    <w:rPr>
      <w:rFonts w:asciiTheme="minorHAnsi" w:hAnsiTheme="minorHAnsi" w:cstheme="minorHAnsi"/>
      <w:sz w:val="18"/>
      <w:szCs w:val="18"/>
    </w:rPr>
  </w:style>
  <w:style w:type="paragraph" w:styleId="44">
    <w:name w:val="Body Text 2"/>
    <w:basedOn w:val="1"/>
    <w:link w:val="103"/>
    <w:qFormat/>
    <w:uiPriority w:val="99"/>
    <w:pPr>
      <w:spacing w:before="360"/>
    </w:pPr>
    <w:rPr>
      <w:rFonts w:ascii="仿宋_GB2312" w:eastAsia="仿宋_GB2312"/>
      <w:b/>
      <w:color w:val="000000"/>
      <w:kern w:val="0"/>
      <w:sz w:val="44"/>
    </w:rPr>
  </w:style>
  <w:style w:type="paragraph" w:styleId="45">
    <w:name w:val="List Continue 2"/>
    <w:basedOn w:val="1"/>
    <w:qFormat/>
    <w:uiPriority w:val="99"/>
    <w:pPr>
      <w:spacing w:after="120"/>
      <w:ind w:left="840" w:leftChars="400"/>
    </w:pPr>
    <w:rPr>
      <w:szCs w:val="24"/>
    </w:rPr>
  </w:style>
  <w:style w:type="paragraph" w:styleId="46">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7">
    <w:name w:val="Normal (Web)"/>
    <w:basedOn w:val="1"/>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48">
    <w:name w:val="index 1"/>
    <w:basedOn w:val="1"/>
    <w:next w:val="1"/>
    <w:qFormat/>
    <w:uiPriority w:val="99"/>
    <w:rPr>
      <w:rFonts w:ascii="宋体" w:hAnsi="宋体"/>
      <w:sz w:val="24"/>
      <w:szCs w:val="24"/>
    </w:rPr>
  </w:style>
  <w:style w:type="paragraph" w:styleId="49">
    <w:name w:val="Title"/>
    <w:basedOn w:val="1"/>
    <w:link w:val="215"/>
    <w:qFormat/>
    <w:uiPriority w:val="99"/>
    <w:pPr>
      <w:adjustRightInd w:val="0"/>
      <w:spacing w:line="420" w:lineRule="atLeast"/>
      <w:jc w:val="center"/>
      <w:textAlignment w:val="baseline"/>
      <w:outlineLvl w:val="0"/>
    </w:pPr>
    <w:rPr>
      <w:rFonts w:ascii="Arial" w:hAnsi="Arial"/>
      <w:b/>
      <w:kern w:val="0"/>
      <w:sz w:val="32"/>
    </w:rPr>
  </w:style>
  <w:style w:type="paragraph" w:styleId="50">
    <w:name w:val="annotation subject"/>
    <w:basedOn w:val="19"/>
    <w:next w:val="19"/>
    <w:link w:val="141"/>
    <w:unhideWhenUsed/>
    <w:qFormat/>
    <w:uiPriority w:val="99"/>
    <w:rPr>
      <w:b/>
      <w:bCs/>
    </w:rPr>
  </w:style>
  <w:style w:type="paragraph" w:styleId="51">
    <w:name w:val="Body Text First Indent"/>
    <w:basedOn w:val="21"/>
    <w:link w:val="249"/>
    <w:qFormat/>
    <w:uiPriority w:val="99"/>
    <w:pPr>
      <w:adjustRightInd/>
      <w:spacing w:after="120" w:line="360" w:lineRule="auto"/>
      <w:ind w:firstLine="309" w:firstLineChars="100"/>
      <w:outlineLvl w:val="0"/>
    </w:pPr>
    <w:rPr>
      <w:rFonts w:ascii="Times New Roman" w:hAnsi="Times New Roman"/>
      <w:kern w:val="28"/>
      <w:sz w:val="21"/>
      <w:szCs w:val="21"/>
    </w:rPr>
  </w:style>
  <w:style w:type="paragraph" w:styleId="52">
    <w:name w:val="Body Text First Indent 2"/>
    <w:basedOn w:val="22"/>
    <w:link w:val="192"/>
    <w:qFormat/>
    <w:uiPriority w:val="0"/>
    <w:pPr>
      <w:widowControl/>
      <w:spacing w:line="240" w:lineRule="auto"/>
      <w:ind w:firstLine="200" w:firstLineChars="200"/>
      <w:jc w:val="left"/>
    </w:pPr>
    <w:rPr>
      <w:szCs w:val="24"/>
    </w:rPr>
  </w:style>
  <w:style w:type="table" w:styleId="54">
    <w:name w:val="Table Grid"/>
    <w:basedOn w:val="53"/>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99"/>
    <w:rPr>
      <w:rFonts w:ascii="Arial" w:hAnsi="Arial" w:eastAsia="黑体"/>
      <w:color w:val="800080"/>
      <w:kern w:val="2"/>
      <w:sz w:val="21"/>
      <w:szCs w:val="21"/>
      <w:u w:val="single"/>
      <w:lang w:val="en-US" w:eastAsia="zh-CN" w:bidi="ar-SA"/>
    </w:rPr>
  </w:style>
  <w:style w:type="character" w:styleId="59">
    <w:name w:val="Emphasis"/>
    <w:qFormat/>
    <w:uiPriority w:val="0"/>
    <w:rPr>
      <w:i/>
      <w:iCs/>
    </w:rPr>
  </w:style>
  <w:style w:type="character" w:styleId="60">
    <w:name w:val="Hyperlink"/>
    <w:qFormat/>
    <w:uiPriority w:val="99"/>
    <w:rPr>
      <w:color w:val="0000FF"/>
      <w:u w:val="single"/>
    </w:rPr>
  </w:style>
  <w:style w:type="character" w:styleId="61">
    <w:name w:val="annotation reference"/>
    <w:basedOn w:val="55"/>
    <w:unhideWhenUsed/>
    <w:qFormat/>
    <w:uiPriority w:val="0"/>
    <w:rPr>
      <w:sz w:val="21"/>
      <w:szCs w:val="21"/>
    </w:rPr>
  </w:style>
  <w:style w:type="character" w:styleId="62">
    <w:name w:val="footnote reference"/>
    <w:qFormat/>
    <w:uiPriority w:val="0"/>
    <w:rPr>
      <w:vertAlign w:val="superscript"/>
    </w:rPr>
  </w:style>
  <w:style w:type="paragraph" w:customStyle="1" w:styleId="63">
    <w:name w:val="样式1"/>
    <w:basedOn w:val="7"/>
    <w:qFormat/>
    <w:uiPriority w:val="99"/>
    <w:pPr>
      <w:widowControl/>
      <w:jc w:val="left"/>
    </w:pPr>
    <w:rPr>
      <w:rFonts w:ascii="黑体"/>
      <w:kern w:val="0"/>
      <w:sz w:val="24"/>
      <w:szCs w:val="30"/>
    </w:rPr>
  </w:style>
  <w:style w:type="character" w:customStyle="1" w:styleId="64">
    <w:name w:val="标题 1 字符"/>
    <w:basedOn w:val="55"/>
    <w:link w:val="3"/>
    <w:qFormat/>
    <w:uiPriority w:val="0"/>
    <w:rPr>
      <w:b/>
      <w:spacing w:val="20"/>
      <w:kern w:val="44"/>
      <w:sz w:val="32"/>
    </w:rPr>
  </w:style>
  <w:style w:type="character" w:customStyle="1" w:styleId="65">
    <w:name w:val="正文缩进 字符"/>
    <w:link w:val="5"/>
    <w:qFormat/>
    <w:uiPriority w:val="0"/>
    <w:rPr>
      <w:rFonts w:eastAsia="宋体"/>
      <w:kern w:val="2"/>
      <w:sz w:val="21"/>
      <w:lang w:val="en-US" w:eastAsia="zh-CN" w:bidi="ar-SA"/>
    </w:rPr>
  </w:style>
  <w:style w:type="character" w:customStyle="1" w:styleId="66">
    <w:name w:val="标题 2 字符"/>
    <w:link w:val="4"/>
    <w:qFormat/>
    <w:uiPriority w:val="0"/>
    <w:rPr>
      <w:rFonts w:ascii="Arial" w:hAnsi="Arial"/>
      <w:b/>
      <w:sz w:val="30"/>
    </w:rPr>
  </w:style>
  <w:style w:type="character" w:customStyle="1" w:styleId="67">
    <w:name w:val="标题 3 字符"/>
    <w:link w:val="6"/>
    <w:qFormat/>
    <w:uiPriority w:val="0"/>
    <w:rPr>
      <w:rFonts w:ascii="宋体"/>
      <w:b/>
      <w:kern w:val="2"/>
      <w:sz w:val="24"/>
    </w:rPr>
  </w:style>
  <w:style w:type="character" w:customStyle="1" w:styleId="68">
    <w:name w:val="标题 4 字符"/>
    <w:link w:val="7"/>
    <w:qFormat/>
    <w:uiPriority w:val="0"/>
    <w:rPr>
      <w:rFonts w:ascii="Arial" w:hAnsi="Arial" w:eastAsia="黑体"/>
      <w:b/>
      <w:bCs/>
      <w:kern w:val="2"/>
      <w:sz w:val="28"/>
      <w:szCs w:val="28"/>
    </w:rPr>
  </w:style>
  <w:style w:type="character" w:customStyle="1" w:styleId="69">
    <w:name w:val="标题 5 字符"/>
    <w:link w:val="8"/>
    <w:qFormat/>
    <w:uiPriority w:val="0"/>
    <w:rPr>
      <w:rFonts w:ascii="仿宋_GB2312" w:eastAsia="仿宋_GB2312"/>
      <w:b/>
      <w:bCs/>
      <w:kern w:val="2"/>
      <w:sz w:val="24"/>
    </w:rPr>
  </w:style>
  <w:style w:type="character" w:customStyle="1" w:styleId="70">
    <w:name w:val="标题 6 字符"/>
    <w:basedOn w:val="55"/>
    <w:link w:val="9"/>
    <w:qFormat/>
    <w:uiPriority w:val="0"/>
    <w:rPr>
      <w:rFonts w:ascii="Arial" w:hAnsi="Arial" w:eastAsia="黑体"/>
      <w:b/>
      <w:bCs/>
      <w:sz w:val="24"/>
      <w:szCs w:val="24"/>
    </w:rPr>
  </w:style>
  <w:style w:type="character" w:customStyle="1" w:styleId="71">
    <w:name w:val="标题 7 字符"/>
    <w:basedOn w:val="55"/>
    <w:link w:val="10"/>
    <w:qFormat/>
    <w:uiPriority w:val="99"/>
    <w:rPr>
      <w:b/>
      <w:bCs/>
      <w:sz w:val="24"/>
      <w:szCs w:val="24"/>
    </w:rPr>
  </w:style>
  <w:style w:type="character" w:customStyle="1" w:styleId="72">
    <w:name w:val="标题 8 字符"/>
    <w:basedOn w:val="55"/>
    <w:link w:val="11"/>
    <w:qFormat/>
    <w:uiPriority w:val="99"/>
    <w:rPr>
      <w:rFonts w:ascii="Arial" w:hAnsi="Arial" w:eastAsia="黑体"/>
      <w:sz w:val="24"/>
      <w:szCs w:val="24"/>
    </w:rPr>
  </w:style>
  <w:style w:type="character" w:customStyle="1" w:styleId="73">
    <w:name w:val="标题 9 字符"/>
    <w:basedOn w:val="55"/>
    <w:link w:val="12"/>
    <w:qFormat/>
    <w:uiPriority w:val="99"/>
    <w:rPr>
      <w:rFonts w:ascii="Arial" w:hAnsi="Arial" w:eastAsia="黑体"/>
      <w:sz w:val="21"/>
      <w:szCs w:val="21"/>
    </w:rPr>
  </w:style>
  <w:style w:type="character" w:customStyle="1" w:styleId="74">
    <w:name w:val="纯文本 字符"/>
    <w:link w:val="28"/>
    <w:qFormat/>
    <w:uiPriority w:val="0"/>
    <w:rPr>
      <w:rFonts w:ascii="宋体" w:hAnsi="Courier New" w:eastAsia="宋体"/>
      <w:kern w:val="2"/>
      <w:sz w:val="21"/>
      <w:lang w:val="en-US" w:eastAsia="zh-CN" w:bidi="ar-SA"/>
    </w:rPr>
  </w:style>
  <w:style w:type="character" w:customStyle="1" w:styleId="75">
    <w:name w:val="ca-31"/>
    <w:qFormat/>
    <w:uiPriority w:val="99"/>
    <w:rPr>
      <w:rFonts w:ascii="宋体" w:hAnsi="宋体" w:eastAsia="宋体" w:cs="Times New Roman"/>
      <w:color w:val="000000"/>
      <w:sz w:val="28"/>
      <w:szCs w:val="28"/>
    </w:rPr>
  </w:style>
  <w:style w:type="character" w:customStyle="1" w:styleId="76">
    <w:name w:val="纯文本 Char1"/>
    <w:qFormat/>
    <w:uiPriority w:val="0"/>
    <w:rPr>
      <w:rFonts w:ascii="宋体" w:eastAsia="宋体"/>
      <w:szCs w:val="24"/>
      <w:lang w:val="en-US" w:eastAsia="zh-CN" w:bidi="ar-SA"/>
    </w:rPr>
  </w:style>
  <w:style w:type="character" w:customStyle="1" w:styleId="77">
    <w:name w:val="日期 字符"/>
    <w:link w:val="30"/>
    <w:qFormat/>
    <w:locked/>
    <w:uiPriority w:val="0"/>
    <w:rPr>
      <w:rFonts w:eastAsia="楷体_GB2312"/>
      <w:kern w:val="2"/>
      <w:sz w:val="48"/>
      <w:szCs w:val="24"/>
    </w:rPr>
  </w:style>
  <w:style w:type="character" w:customStyle="1" w:styleId="78">
    <w:name w:val="point_normal"/>
    <w:basedOn w:val="55"/>
    <w:qFormat/>
    <w:uiPriority w:val="0"/>
  </w:style>
  <w:style w:type="character" w:customStyle="1" w:styleId="79">
    <w:name w:val="style4 style5"/>
    <w:basedOn w:val="55"/>
    <w:qFormat/>
    <w:uiPriority w:val="0"/>
  </w:style>
  <w:style w:type="character" w:customStyle="1" w:styleId="80">
    <w:name w:val="规划正文 Char Char Char Char"/>
    <w:link w:val="81"/>
    <w:qFormat/>
    <w:uiPriority w:val="0"/>
    <w:rPr>
      <w:rFonts w:eastAsia="宋体"/>
      <w:kern w:val="2"/>
      <w:sz w:val="28"/>
      <w:szCs w:val="28"/>
      <w:lang w:val="en-US" w:eastAsia="zh-CN" w:bidi="ar-SA"/>
    </w:rPr>
  </w:style>
  <w:style w:type="paragraph" w:customStyle="1" w:styleId="81">
    <w:name w:val="规划正文 Char Char"/>
    <w:basedOn w:val="1"/>
    <w:link w:val="80"/>
    <w:qFormat/>
    <w:uiPriority w:val="0"/>
    <w:pPr>
      <w:widowControl/>
      <w:spacing w:line="360" w:lineRule="auto"/>
      <w:ind w:firstLine="200" w:firstLineChars="200"/>
      <w:jc w:val="left"/>
    </w:pPr>
    <w:rPr>
      <w:sz w:val="28"/>
      <w:szCs w:val="28"/>
    </w:rPr>
  </w:style>
  <w:style w:type="character" w:customStyle="1" w:styleId="82">
    <w:name w:val="标题 1 Char Char"/>
    <w:qFormat/>
    <w:uiPriority w:val="0"/>
    <w:rPr>
      <w:rFonts w:eastAsia="宋体"/>
      <w:b/>
      <w:bCs/>
      <w:kern w:val="44"/>
      <w:sz w:val="44"/>
      <w:lang w:val="en-US" w:eastAsia="zh-CN" w:bidi="ar-SA"/>
    </w:rPr>
  </w:style>
  <w:style w:type="character" w:customStyle="1" w:styleId="83">
    <w:name w:val="small1"/>
    <w:qFormat/>
    <w:uiPriority w:val="0"/>
    <w:rPr>
      <w:rFonts w:hint="default" w:ascii="Verdana" w:hAnsi="Verdana"/>
      <w:sz w:val="17"/>
      <w:szCs w:val="17"/>
    </w:rPr>
  </w:style>
  <w:style w:type="character" w:customStyle="1" w:styleId="84">
    <w:name w:val="正文段 Char Char"/>
    <w:link w:val="85"/>
    <w:qFormat/>
    <w:uiPriority w:val="0"/>
    <w:rPr>
      <w:rFonts w:ascii="宋体" w:eastAsia="宋体"/>
      <w:kern w:val="2"/>
      <w:sz w:val="24"/>
      <w:lang w:val="en-US" w:eastAsia="zh-CN" w:bidi="ar-SA"/>
    </w:rPr>
  </w:style>
  <w:style w:type="paragraph" w:customStyle="1" w:styleId="85">
    <w:name w:val="正文段"/>
    <w:basedOn w:val="1"/>
    <w:link w:val="84"/>
    <w:qFormat/>
    <w:uiPriority w:val="0"/>
    <w:pPr>
      <w:snapToGrid w:val="0"/>
      <w:spacing w:after="240" w:line="240" w:lineRule="atLeast"/>
      <w:ind w:firstLine="425"/>
    </w:pPr>
    <w:rPr>
      <w:rFonts w:ascii="宋体"/>
      <w:sz w:val="24"/>
    </w:rPr>
  </w:style>
  <w:style w:type="character" w:customStyle="1" w:styleId="86">
    <w:name w:val="样式 规划正文 Char + 宋体 Char Char"/>
    <w:link w:val="87"/>
    <w:qFormat/>
    <w:uiPriority w:val="0"/>
    <w:rPr>
      <w:rFonts w:ascii="宋体" w:hAnsi="宋体" w:eastAsia="宋体"/>
      <w:kern w:val="2"/>
      <w:sz w:val="28"/>
      <w:szCs w:val="28"/>
      <w:lang w:val="en-US" w:eastAsia="zh-CN" w:bidi="ar-SA"/>
    </w:rPr>
  </w:style>
  <w:style w:type="paragraph" w:customStyle="1" w:styleId="87">
    <w:name w:val="样式 规划正文 Char + 宋体"/>
    <w:basedOn w:val="81"/>
    <w:link w:val="86"/>
    <w:qFormat/>
    <w:uiPriority w:val="0"/>
    <w:rPr>
      <w:rFonts w:ascii="宋体" w:hAnsi="宋体"/>
    </w:rPr>
  </w:style>
  <w:style w:type="character" w:customStyle="1" w:styleId="88">
    <w:name w:val="访问过的超链接1"/>
    <w:qFormat/>
    <w:uiPriority w:val="0"/>
    <w:rPr>
      <w:color w:val="800080"/>
      <w:u w:val="single"/>
    </w:rPr>
  </w:style>
  <w:style w:type="character" w:customStyle="1" w:styleId="89">
    <w:name w:val="p41"/>
    <w:qFormat/>
    <w:uiPriority w:val="0"/>
    <w:rPr>
      <w:rFonts w:hint="eastAsia" w:ascii="宋体" w:hAnsi="宋体" w:eastAsia="宋体"/>
      <w:sz w:val="22"/>
      <w:szCs w:val="22"/>
    </w:rPr>
  </w:style>
  <w:style w:type="character" w:customStyle="1" w:styleId="90">
    <w:name w:val="para"/>
    <w:basedOn w:val="55"/>
    <w:qFormat/>
    <w:uiPriority w:val="0"/>
  </w:style>
  <w:style w:type="character" w:customStyle="1" w:styleId="91">
    <w:name w:val="title_emph"/>
    <w:basedOn w:val="55"/>
    <w:qFormat/>
    <w:uiPriority w:val="0"/>
  </w:style>
  <w:style w:type="character" w:customStyle="1" w:styleId="92">
    <w:name w:val="Char Char2"/>
    <w:qFormat/>
    <w:uiPriority w:val="0"/>
    <w:rPr>
      <w:rFonts w:ascii="宋体" w:eastAsia="宋体"/>
      <w:kern w:val="2"/>
      <w:sz w:val="21"/>
      <w:lang w:val="en-US" w:eastAsia="zh-CN" w:bidi="ar-SA"/>
    </w:rPr>
  </w:style>
  <w:style w:type="character" w:customStyle="1" w:styleId="93">
    <w:name w:val="v151"/>
    <w:qFormat/>
    <w:uiPriority w:val="0"/>
    <w:rPr>
      <w:sz w:val="18"/>
      <w:szCs w:val="18"/>
    </w:rPr>
  </w:style>
  <w:style w:type="paragraph" w:customStyle="1" w:styleId="94">
    <w:name w:val="并列项-点"/>
    <w:basedOn w:val="1"/>
    <w:qFormat/>
    <w:uiPriority w:val="0"/>
    <w:pPr>
      <w:tabs>
        <w:tab w:val="left" w:pos="840"/>
      </w:tabs>
      <w:adjustRightInd w:val="0"/>
      <w:snapToGrid w:val="0"/>
      <w:spacing w:after="120" w:line="360" w:lineRule="exact"/>
      <w:ind w:left="840" w:hanging="480"/>
    </w:pPr>
    <w:rPr>
      <w:rFonts w:eastAsia="仿宋_GB2312"/>
      <w:sz w:val="32"/>
    </w:rPr>
  </w:style>
  <w:style w:type="paragraph" w:customStyle="1" w:styleId="95">
    <w:name w:val="retrait3"/>
    <w:basedOn w:val="1"/>
    <w:qFormat/>
    <w:uiPriority w:val="99"/>
    <w:pPr>
      <w:widowControl/>
      <w:spacing w:before="20" w:after="20"/>
      <w:ind w:left="851"/>
      <w:jc w:val="left"/>
    </w:pPr>
    <w:rPr>
      <w:rFonts w:ascii="Arial" w:hAnsi="Arial"/>
      <w:kern w:val="0"/>
      <w:sz w:val="24"/>
      <w:lang w:val="en-GB"/>
    </w:rPr>
  </w:style>
  <w:style w:type="paragraph" w:customStyle="1" w:styleId="96">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7">
    <w:name w:val="正文 New New New New New New"/>
    <w:qFormat/>
    <w:uiPriority w:val="0"/>
    <w:pPr>
      <w:widowControl w:val="0"/>
      <w:jc w:val="both"/>
    </w:pPr>
    <w:rPr>
      <w:rFonts w:ascii="Calibri" w:hAnsi="Calibri" w:eastAsia="宋体" w:cs="Times New Roman"/>
      <w:kern w:val="2"/>
      <w:sz w:val="21"/>
      <w:szCs w:val="21"/>
      <w:lang w:val="en-US" w:eastAsia="zh-CN" w:bidi="ar-SA"/>
    </w:rPr>
  </w:style>
  <w:style w:type="character" w:customStyle="1" w:styleId="98">
    <w:name w:val="正文文本缩进 2 字符"/>
    <w:basedOn w:val="55"/>
    <w:link w:val="31"/>
    <w:qFormat/>
    <w:uiPriority w:val="0"/>
    <w:rPr>
      <w:rFonts w:ascii="宋体"/>
      <w:kern w:val="2"/>
      <w:sz w:val="24"/>
    </w:rPr>
  </w:style>
  <w:style w:type="paragraph" w:customStyle="1" w:styleId="99">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0">
    <w:name w:val="正文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1">
    <w:name w:val="p0"/>
    <w:basedOn w:val="1"/>
    <w:link w:val="323"/>
    <w:qFormat/>
    <w:uiPriority w:val="99"/>
    <w:pPr>
      <w:widowControl/>
    </w:pPr>
    <w:rPr>
      <w:kern w:val="0"/>
      <w:szCs w:val="21"/>
    </w:rPr>
  </w:style>
  <w:style w:type="paragraph" w:customStyle="1" w:styleId="102">
    <w:name w:val="NomDoc"/>
    <w:basedOn w:val="1"/>
    <w:qFormat/>
    <w:uiPriority w:val="99"/>
    <w:pPr>
      <w:widowControl/>
      <w:jc w:val="left"/>
    </w:pPr>
    <w:rPr>
      <w:rFonts w:ascii="Arial" w:hAnsi="Arial"/>
      <w:caps/>
      <w:kern w:val="0"/>
      <w:sz w:val="16"/>
      <w:lang w:val="en-GB"/>
    </w:rPr>
  </w:style>
  <w:style w:type="character" w:customStyle="1" w:styleId="103">
    <w:name w:val="正文文本 2 字符"/>
    <w:basedOn w:val="55"/>
    <w:link w:val="44"/>
    <w:qFormat/>
    <w:uiPriority w:val="99"/>
    <w:rPr>
      <w:rFonts w:ascii="仿宋_GB2312" w:eastAsia="仿宋_GB2312"/>
      <w:b/>
      <w:color w:val="000000"/>
      <w:sz w:val="44"/>
    </w:rPr>
  </w:style>
  <w:style w:type="paragraph" w:customStyle="1" w:styleId="104">
    <w:name w:val="Char111"/>
    <w:basedOn w:val="1"/>
    <w:link w:val="105"/>
    <w:qFormat/>
    <w:uiPriority w:val="0"/>
    <w:rPr>
      <w:rFonts w:ascii="仿宋_GB2312" w:eastAsia="仿宋_GB2312"/>
      <w:b/>
      <w:sz w:val="32"/>
      <w:szCs w:val="32"/>
    </w:rPr>
  </w:style>
  <w:style w:type="character" w:customStyle="1" w:styleId="105">
    <w:name w:val="Char Char Char"/>
    <w:link w:val="104"/>
    <w:qFormat/>
    <w:uiPriority w:val="0"/>
    <w:rPr>
      <w:rFonts w:ascii="仿宋_GB2312" w:eastAsia="仿宋_GB2312"/>
      <w:b/>
      <w:kern w:val="2"/>
      <w:sz w:val="32"/>
      <w:szCs w:val="32"/>
    </w:rPr>
  </w:style>
  <w:style w:type="paragraph" w:customStyle="1" w:styleId="106">
    <w:name w:val="Char Char5 Char Char"/>
    <w:basedOn w:val="1"/>
    <w:qFormat/>
    <w:uiPriority w:val="0"/>
    <w:pPr>
      <w:adjustRightInd w:val="0"/>
      <w:spacing w:line="360" w:lineRule="auto"/>
    </w:pPr>
    <w:rPr>
      <w:kern w:val="0"/>
      <w:sz w:val="24"/>
    </w:rPr>
  </w:style>
  <w:style w:type="paragraph" w:customStyle="1" w:styleId="107">
    <w:name w:val="字元 字元 字元 字元 字元"/>
    <w:basedOn w:val="1"/>
    <w:qFormat/>
    <w:uiPriority w:val="0"/>
  </w:style>
  <w:style w:type="character" w:customStyle="1" w:styleId="108">
    <w:name w:val="正文文本缩进 3 字符"/>
    <w:link w:val="41"/>
    <w:qFormat/>
    <w:uiPriority w:val="99"/>
    <w:rPr>
      <w:kern w:val="2"/>
      <w:sz w:val="24"/>
      <w:szCs w:val="24"/>
    </w:rPr>
  </w:style>
  <w:style w:type="paragraph" w:customStyle="1" w:styleId="109">
    <w:name w:val="Char Char Char Char Char Char Char Char Char Char1"/>
    <w:basedOn w:val="1"/>
    <w:qFormat/>
    <w:uiPriority w:val="99"/>
    <w:pPr>
      <w:tabs>
        <w:tab w:val="left" w:pos="425"/>
      </w:tabs>
      <w:ind w:left="425" w:hanging="425"/>
    </w:pPr>
  </w:style>
  <w:style w:type="paragraph" w:customStyle="1" w:styleId="110">
    <w:name w:val="规划正文"/>
    <w:basedOn w:val="1"/>
    <w:qFormat/>
    <w:uiPriority w:val="0"/>
    <w:pPr>
      <w:widowControl/>
      <w:spacing w:line="360" w:lineRule="auto"/>
      <w:ind w:firstLine="200" w:firstLineChars="200"/>
      <w:jc w:val="left"/>
    </w:pPr>
    <w:rPr>
      <w:kern w:val="0"/>
      <w:sz w:val="28"/>
      <w:szCs w:val="28"/>
    </w:rPr>
  </w:style>
  <w:style w:type="paragraph" w:customStyle="1" w:styleId="111">
    <w:name w:val="pa-5"/>
    <w:basedOn w:val="1"/>
    <w:qFormat/>
    <w:uiPriority w:val="99"/>
    <w:pPr>
      <w:widowControl/>
      <w:spacing w:line="360" w:lineRule="atLeast"/>
      <w:jc w:val="left"/>
    </w:pPr>
    <w:rPr>
      <w:rFonts w:ascii="宋体" w:hAnsi="宋体" w:cs="宋体"/>
      <w:kern w:val="0"/>
      <w:sz w:val="24"/>
      <w:szCs w:val="24"/>
    </w:rPr>
  </w:style>
  <w:style w:type="character" w:customStyle="1" w:styleId="112">
    <w:name w:val="TOC 2 字符"/>
    <w:link w:val="42"/>
    <w:qFormat/>
    <w:uiPriority w:val="39"/>
    <w:rPr>
      <w:rFonts w:asciiTheme="minorHAnsi" w:hAnsiTheme="minorHAnsi" w:cstheme="minorHAnsi"/>
      <w:smallCaps/>
      <w:kern w:val="2"/>
    </w:rPr>
  </w:style>
  <w:style w:type="character" w:customStyle="1" w:styleId="113">
    <w:name w:val="页眉 字符"/>
    <w:basedOn w:val="55"/>
    <w:link w:val="34"/>
    <w:qFormat/>
    <w:uiPriority w:val="0"/>
    <w:rPr>
      <w:kern w:val="2"/>
      <w:sz w:val="18"/>
    </w:rPr>
  </w:style>
  <w:style w:type="character" w:customStyle="1" w:styleId="114">
    <w:name w:val="文档结构图 字符"/>
    <w:link w:val="17"/>
    <w:qFormat/>
    <w:uiPriority w:val="99"/>
    <w:rPr>
      <w:kern w:val="2"/>
      <w:sz w:val="21"/>
      <w:shd w:val="clear" w:color="auto" w:fill="000080"/>
    </w:rPr>
  </w:style>
  <w:style w:type="paragraph" w:customStyle="1" w:styleId="115">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116">
    <w:name w:val="p15"/>
    <w:basedOn w:val="1"/>
    <w:qFormat/>
    <w:uiPriority w:val="0"/>
    <w:pPr>
      <w:widowControl/>
      <w:spacing w:before="100" w:after="100"/>
      <w:jc w:val="left"/>
    </w:pPr>
    <w:rPr>
      <w:rFonts w:ascii="宋体" w:hAnsi="宋体" w:cs="宋体"/>
      <w:kern w:val="0"/>
      <w:sz w:val="24"/>
      <w:szCs w:val="24"/>
    </w:rPr>
  </w:style>
  <w:style w:type="paragraph" w:customStyle="1" w:styleId="117">
    <w:name w:val="新编号"/>
    <w:basedOn w:val="118"/>
    <w:qFormat/>
    <w:uiPriority w:val="0"/>
    <w:pPr>
      <w:tabs>
        <w:tab w:val="left" w:pos="0"/>
        <w:tab w:val="left" w:pos="360"/>
      </w:tabs>
      <w:ind w:firstLine="400"/>
    </w:pPr>
    <w:rPr>
      <w:kern w:val="0"/>
    </w:rPr>
  </w:style>
  <w:style w:type="paragraph" w:customStyle="1" w:styleId="118">
    <w:name w:val="样式 规划正文 Char + 宋体 两端对齐 首行缩进:  2 字符 行距: 固定值 26 磅"/>
    <w:basedOn w:val="81"/>
    <w:qFormat/>
    <w:uiPriority w:val="0"/>
    <w:pPr>
      <w:tabs>
        <w:tab w:val="left" w:pos="360"/>
      </w:tabs>
      <w:spacing w:line="520" w:lineRule="exact"/>
      <w:ind w:firstLine="0" w:firstLineChars="0"/>
      <w:jc w:val="both"/>
    </w:pPr>
    <w:rPr>
      <w:rFonts w:ascii="宋体" w:hAnsi="宋体" w:cs="宋体"/>
      <w:szCs w:val="20"/>
    </w:rPr>
  </w:style>
  <w:style w:type="character" w:customStyle="1" w:styleId="119">
    <w:name w:val="HTML 预设格式 字符"/>
    <w:link w:val="46"/>
    <w:qFormat/>
    <w:uiPriority w:val="99"/>
    <w:rPr>
      <w:rFonts w:ascii="宋体" w:hAnsi="宋体" w:cs="宋体"/>
      <w:sz w:val="24"/>
      <w:szCs w:val="24"/>
    </w:rPr>
  </w:style>
  <w:style w:type="paragraph" w:customStyle="1" w:styleId="120">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121">
    <w:name w:val="表格内字体"/>
    <w:basedOn w:val="1"/>
    <w:qFormat/>
    <w:uiPriority w:val="0"/>
    <w:pPr>
      <w:spacing w:before="360" w:line="360" w:lineRule="auto"/>
      <w:jc w:val="center"/>
    </w:pPr>
    <w:rPr>
      <w:rFonts w:ascii="宋体" w:eastAsia="仿宋_GB2312"/>
    </w:rPr>
  </w:style>
  <w:style w:type="character" w:customStyle="1" w:styleId="122">
    <w:name w:val="批注框文本 字符"/>
    <w:link w:val="32"/>
    <w:qFormat/>
    <w:uiPriority w:val="99"/>
    <w:rPr>
      <w:kern w:val="2"/>
      <w:sz w:val="18"/>
      <w:szCs w:val="18"/>
    </w:rPr>
  </w:style>
  <w:style w:type="character" w:customStyle="1" w:styleId="123">
    <w:name w:val="正文文本 字符"/>
    <w:link w:val="21"/>
    <w:qFormat/>
    <w:uiPriority w:val="0"/>
    <w:rPr>
      <w:rFonts w:ascii="宋体" w:hAnsi="宋体"/>
      <w:bCs/>
      <w:color w:val="000000"/>
      <w:kern w:val="2"/>
      <w:sz w:val="24"/>
    </w:rPr>
  </w:style>
  <w:style w:type="paragraph" w:styleId="124">
    <w:name w:val="List Paragraph"/>
    <w:basedOn w:val="1"/>
    <w:qFormat/>
    <w:uiPriority w:val="1"/>
    <w:pPr>
      <w:ind w:left="720"/>
      <w:contextualSpacing/>
    </w:pPr>
    <w:rPr>
      <w:sz w:val="28"/>
    </w:rPr>
  </w:style>
  <w:style w:type="character" w:customStyle="1" w:styleId="125">
    <w:name w:val="正文文本缩进 字符"/>
    <w:basedOn w:val="55"/>
    <w:link w:val="22"/>
    <w:qFormat/>
    <w:uiPriority w:val="0"/>
    <w:rPr>
      <w:kern w:val="2"/>
      <w:sz w:val="21"/>
    </w:rPr>
  </w:style>
  <w:style w:type="paragraph" w:customStyle="1" w:styleId="126">
    <w:name w:val="小标题"/>
    <w:basedOn w:val="118"/>
    <w:qFormat/>
    <w:uiPriority w:val="0"/>
    <w:pPr>
      <w:tabs>
        <w:tab w:val="left" w:pos="814"/>
        <w:tab w:val="clear" w:pos="360"/>
      </w:tabs>
      <w:ind w:left="737" w:hanging="283"/>
    </w:pPr>
  </w:style>
  <w:style w:type="paragraph" w:customStyle="1" w:styleId="127">
    <w:name w:val="要点1"/>
    <w:basedOn w:val="5"/>
    <w:qFormat/>
    <w:uiPriority w:val="0"/>
    <w:pPr>
      <w:tabs>
        <w:tab w:val="left" w:pos="960"/>
      </w:tabs>
      <w:spacing w:line="520" w:lineRule="exact"/>
      <w:ind w:firstLine="200" w:firstLineChars="200"/>
    </w:pPr>
    <w:rPr>
      <w:rFonts w:ascii="宋体" w:hAnsi="宋体"/>
      <w:sz w:val="28"/>
      <w:szCs w:val="28"/>
    </w:rPr>
  </w:style>
  <w:style w:type="paragraph" w:customStyle="1" w:styleId="128">
    <w:name w:val="图片"/>
    <w:basedOn w:val="1"/>
    <w:next w:val="15"/>
    <w:qFormat/>
    <w:uiPriority w:val="0"/>
    <w:pPr>
      <w:keepNext/>
      <w:widowControl/>
      <w:jc w:val="left"/>
    </w:pPr>
    <w:rPr>
      <w:rFonts w:ascii="Garamond" w:hAnsi="Garamond"/>
      <w:kern w:val="0"/>
    </w:rPr>
  </w:style>
  <w:style w:type="paragraph" w:customStyle="1" w:styleId="129">
    <w:name w:val="字元 字元"/>
    <w:basedOn w:val="1"/>
    <w:qFormat/>
    <w:uiPriority w:val="0"/>
  </w:style>
  <w:style w:type="paragraph" w:customStyle="1" w:styleId="130">
    <w:name w:val="Absatz2AL"/>
    <w:basedOn w:val="21"/>
    <w:next w:val="1"/>
    <w:qFormat/>
    <w:uiPriority w:val="0"/>
    <w:pPr>
      <w:widowControl/>
      <w:overflowPunct w:val="0"/>
      <w:autoSpaceDE w:val="0"/>
      <w:autoSpaceDN w:val="0"/>
      <w:spacing w:line="240" w:lineRule="auto"/>
    </w:pPr>
    <w:rPr>
      <w:rFonts w:ascii="Times New Roman" w:hAnsi="Times New Roman" w:eastAsia="楷体_GB2312"/>
      <w:bCs w:val="0"/>
      <w:color w:val="auto"/>
      <w:kern w:val="0"/>
      <w:lang w:val="de-DE"/>
    </w:rPr>
  </w:style>
  <w:style w:type="character" w:customStyle="1" w:styleId="131">
    <w:name w:val="页脚 字符"/>
    <w:basedOn w:val="55"/>
    <w:link w:val="33"/>
    <w:qFormat/>
    <w:uiPriority w:val="99"/>
    <w:rPr>
      <w:kern w:val="2"/>
      <w:sz w:val="18"/>
    </w:rPr>
  </w:style>
  <w:style w:type="paragraph" w:customStyle="1" w:styleId="13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33">
    <w:name w:val="默认段落字体 Para Char"/>
    <w:basedOn w:val="1"/>
    <w:qFormat/>
    <w:uiPriority w:val="99"/>
  </w:style>
  <w:style w:type="paragraph" w:customStyle="1" w:styleId="134">
    <w:name w:val="TOC 标题1"/>
    <w:basedOn w:val="3"/>
    <w:next w:val="1"/>
    <w:qFormat/>
    <w:uiPriority w:val="99"/>
    <w:pPr>
      <w:widowControl/>
      <w:spacing w:before="480" w:after="0" w:line="276" w:lineRule="auto"/>
      <w:jc w:val="left"/>
      <w:outlineLvl w:val="9"/>
    </w:pPr>
    <w:rPr>
      <w:rFonts w:ascii="Cambria" w:hAnsi="Cambria"/>
      <w:bCs/>
      <w:color w:val="365F91"/>
      <w:spacing w:val="0"/>
      <w:kern w:val="0"/>
      <w:sz w:val="28"/>
      <w:szCs w:val="28"/>
    </w:rPr>
  </w:style>
  <w:style w:type="paragraph" w:customStyle="1" w:styleId="135">
    <w:name w:val="正文_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6">
    <w:name w:val="正文文本缩进 2 Char1"/>
    <w:qFormat/>
    <w:uiPriority w:val="0"/>
    <w:rPr>
      <w:kern w:val="2"/>
      <w:sz w:val="21"/>
    </w:rPr>
  </w:style>
  <w:style w:type="paragraph" w:customStyle="1" w:styleId="137">
    <w:name w:val="正文_1"/>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38">
    <w:name w:val="纯文本 字符1"/>
    <w:qFormat/>
    <w:uiPriority w:val="99"/>
    <w:rPr>
      <w:rFonts w:ascii="宋体" w:hAnsi="Times New Roman" w:eastAsia="宋体" w:cs="Times New Roman"/>
      <w:kern w:val="0"/>
      <w:sz w:val="20"/>
      <w:szCs w:val="24"/>
    </w:rPr>
  </w:style>
  <w:style w:type="paragraph" w:customStyle="1" w:styleId="139">
    <w:name w:val="正文_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0">
    <w:name w:val="批注文字 字符"/>
    <w:basedOn w:val="55"/>
    <w:link w:val="19"/>
    <w:qFormat/>
    <w:uiPriority w:val="99"/>
    <w:rPr>
      <w:kern w:val="2"/>
      <w:sz w:val="21"/>
    </w:rPr>
  </w:style>
  <w:style w:type="character" w:customStyle="1" w:styleId="141">
    <w:name w:val="批注主题 字符"/>
    <w:basedOn w:val="140"/>
    <w:link w:val="50"/>
    <w:qFormat/>
    <w:uiPriority w:val="99"/>
    <w:rPr>
      <w:b/>
      <w:bCs/>
      <w:kern w:val="2"/>
      <w:sz w:val="21"/>
    </w:rPr>
  </w:style>
  <w:style w:type="paragraph" w:customStyle="1" w:styleId="142">
    <w:name w:val="Blockquote"/>
    <w:basedOn w:val="1"/>
    <w:link w:val="143"/>
    <w:qFormat/>
    <w:uiPriority w:val="99"/>
    <w:pPr>
      <w:autoSpaceDE w:val="0"/>
      <w:autoSpaceDN w:val="0"/>
      <w:adjustRightInd w:val="0"/>
      <w:spacing w:before="100" w:after="100"/>
      <w:ind w:left="360" w:right="360"/>
      <w:jc w:val="left"/>
    </w:pPr>
    <w:rPr>
      <w:kern w:val="0"/>
      <w:sz w:val="24"/>
    </w:rPr>
  </w:style>
  <w:style w:type="character" w:customStyle="1" w:styleId="143">
    <w:name w:val="Blockquote Char"/>
    <w:link w:val="142"/>
    <w:qFormat/>
    <w:uiPriority w:val="99"/>
    <w:rPr>
      <w:sz w:val="24"/>
    </w:rPr>
  </w:style>
  <w:style w:type="paragraph" w:customStyle="1" w:styleId="144">
    <w:name w:val="Normal_0"/>
    <w:qFormat/>
    <w:uiPriority w:val="0"/>
    <w:pPr>
      <w:widowControl w:val="0"/>
      <w:jc w:val="both"/>
    </w:pPr>
    <w:rPr>
      <w:rFonts w:ascii="Calibri" w:hAnsi="Calibri" w:eastAsia="宋体" w:cs="Times New Roman"/>
      <w:lang w:val="en-US" w:eastAsia="zh-CN" w:bidi="ar-SA"/>
    </w:rPr>
  </w:style>
  <w:style w:type="paragraph" w:customStyle="1" w:styleId="145">
    <w:name w:val="正文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6">
    <w:name w:val="Normal_1"/>
    <w:qFormat/>
    <w:uiPriority w:val="0"/>
    <w:pPr>
      <w:widowControl w:val="0"/>
      <w:jc w:val="both"/>
    </w:pPr>
    <w:rPr>
      <w:rFonts w:ascii="Calibri" w:hAnsi="Calibri" w:eastAsia="宋体" w:cs="Times New Roman"/>
      <w:lang w:val="en-US" w:eastAsia="zh-CN" w:bidi="ar-SA"/>
    </w:rPr>
  </w:style>
  <w:style w:type="paragraph" w:customStyle="1" w:styleId="147">
    <w:name w:val="页脚1"/>
    <w:basedOn w:val="144"/>
    <w:link w:val="148"/>
    <w:unhideWhenUsed/>
    <w:qFormat/>
    <w:uiPriority w:val="99"/>
    <w:pPr>
      <w:tabs>
        <w:tab w:val="center" w:pos="4153"/>
        <w:tab w:val="right" w:pos="8306"/>
      </w:tabs>
      <w:snapToGrid w:val="0"/>
      <w:jc w:val="left"/>
    </w:pPr>
    <w:rPr>
      <w:sz w:val="18"/>
      <w:szCs w:val="18"/>
    </w:rPr>
  </w:style>
  <w:style w:type="character" w:customStyle="1" w:styleId="148">
    <w:name w:val="页脚 Char_0"/>
    <w:link w:val="147"/>
    <w:qFormat/>
    <w:uiPriority w:val="99"/>
    <w:rPr>
      <w:rFonts w:ascii="Calibri" w:hAnsi="Calibri"/>
      <w:sz w:val="18"/>
      <w:szCs w:val="18"/>
    </w:rPr>
  </w:style>
  <w:style w:type="paragraph" w:customStyle="1" w:styleId="149">
    <w:name w:val="正文_3_0"/>
    <w:qFormat/>
    <w:uiPriority w:val="0"/>
    <w:pPr>
      <w:widowControl w:val="0"/>
      <w:jc w:val="both"/>
    </w:pPr>
    <w:rPr>
      <w:rFonts w:ascii="Calibri" w:hAnsi="Calibri" w:eastAsia="宋体" w:cs="Times New Roman"/>
      <w:lang w:val="en-US" w:eastAsia="zh-CN" w:bidi="ar-SA"/>
    </w:rPr>
  </w:style>
  <w:style w:type="character" w:customStyle="1" w:styleId="150">
    <w:name w:val="Char Char19"/>
    <w:qFormat/>
    <w:uiPriority w:val="0"/>
    <w:rPr>
      <w:rFonts w:ascii="Arial" w:hAnsi="Arial" w:eastAsia="黑体"/>
      <w:b/>
      <w:bCs/>
      <w:sz w:val="32"/>
      <w:szCs w:val="32"/>
    </w:rPr>
  </w:style>
  <w:style w:type="paragraph" w:customStyle="1" w:styleId="151">
    <w:name w:val="Normal_2"/>
    <w:qFormat/>
    <w:uiPriority w:val="0"/>
    <w:pPr>
      <w:widowControl w:val="0"/>
      <w:jc w:val="both"/>
    </w:pPr>
    <w:rPr>
      <w:rFonts w:ascii="Calibri" w:hAnsi="Calibri" w:eastAsia="宋体" w:cs="Times New Roman"/>
      <w:lang w:val="en-US" w:eastAsia="zh-CN" w:bidi="ar-SA"/>
    </w:rPr>
  </w:style>
  <w:style w:type="paragraph" w:customStyle="1" w:styleId="152">
    <w:name w:val="Normal_1_0"/>
    <w:qFormat/>
    <w:uiPriority w:val="0"/>
    <w:pPr>
      <w:widowControl w:val="0"/>
      <w:jc w:val="both"/>
    </w:pPr>
    <w:rPr>
      <w:rFonts w:ascii="Calibri" w:hAnsi="Calibri" w:eastAsia="宋体" w:cs="Times New Roman"/>
      <w:lang w:val="en-US" w:eastAsia="zh-CN" w:bidi="ar-SA"/>
    </w:rPr>
  </w:style>
  <w:style w:type="paragraph" w:customStyle="1" w:styleId="153">
    <w:name w:val="Normal_3"/>
    <w:qFormat/>
    <w:uiPriority w:val="0"/>
    <w:pPr>
      <w:widowControl w:val="0"/>
      <w:jc w:val="both"/>
    </w:pPr>
    <w:rPr>
      <w:rFonts w:ascii="Calibri" w:hAnsi="Calibri" w:eastAsia="宋体" w:cs="Times New Roman"/>
      <w:lang w:val="en-US" w:eastAsia="zh-CN" w:bidi="ar-SA"/>
    </w:rPr>
  </w:style>
  <w:style w:type="paragraph" w:customStyle="1" w:styleId="154">
    <w:name w:val="标题4"/>
    <w:basedOn w:val="1"/>
    <w:next w:val="7"/>
    <w:link w:val="155"/>
    <w:qFormat/>
    <w:uiPriority w:val="0"/>
    <w:pPr>
      <w:widowControl/>
      <w:jc w:val="left"/>
    </w:pPr>
    <w:rPr>
      <w:rFonts w:ascii="黑体" w:eastAsia="黑体"/>
      <w:kern w:val="0"/>
      <w:sz w:val="24"/>
      <w:szCs w:val="30"/>
    </w:rPr>
  </w:style>
  <w:style w:type="character" w:customStyle="1" w:styleId="155">
    <w:name w:val="标题4 Char Char"/>
    <w:link w:val="154"/>
    <w:qFormat/>
    <w:uiPriority w:val="0"/>
    <w:rPr>
      <w:rFonts w:ascii="黑体" w:eastAsia="黑体"/>
      <w:sz w:val="24"/>
      <w:szCs w:val="30"/>
    </w:rPr>
  </w:style>
  <w:style w:type="paragraph" w:customStyle="1" w:styleId="156">
    <w:name w:val="样式2"/>
    <w:basedOn w:val="7"/>
    <w:next w:val="7"/>
    <w:qFormat/>
    <w:uiPriority w:val="99"/>
    <w:pPr>
      <w:widowControl/>
      <w:jc w:val="left"/>
    </w:pPr>
    <w:rPr>
      <w:rFonts w:ascii="黑体"/>
      <w:kern w:val="0"/>
      <w:sz w:val="24"/>
      <w:szCs w:val="30"/>
    </w:rPr>
  </w:style>
  <w:style w:type="character" w:customStyle="1" w:styleId="157">
    <w:name w:val="正文文本缩进 Char1"/>
    <w:basedOn w:val="55"/>
    <w:qFormat/>
    <w:uiPriority w:val="99"/>
  </w:style>
  <w:style w:type="paragraph" w:customStyle="1" w:styleId="158">
    <w:name w:val="Char3"/>
    <w:basedOn w:val="1"/>
    <w:qFormat/>
    <w:uiPriority w:val="99"/>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character" w:customStyle="1" w:styleId="159">
    <w:name w:val="zbggmain style9"/>
    <w:basedOn w:val="55"/>
    <w:qFormat/>
    <w:uiPriority w:val="0"/>
  </w:style>
  <w:style w:type="paragraph" w:customStyle="1" w:styleId="160">
    <w:name w:val="样式 标题 3 + (中文) 黑体 小四 非加粗 段前: 7.8 磅 段后: 0 磅 行距: 固定值 20 磅"/>
    <w:basedOn w:val="6"/>
    <w:qFormat/>
    <w:uiPriority w:val="99"/>
    <w:pPr>
      <w:spacing w:before="0" w:after="0" w:line="400" w:lineRule="exact"/>
      <w:ind w:firstLine="0"/>
    </w:pPr>
    <w:rPr>
      <w:rFonts w:ascii="Times New Roman" w:eastAsia="黑体" w:cs="宋体"/>
      <w:b w:val="0"/>
    </w:rPr>
  </w:style>
  <w:style w:type="paragraph" w:customStyle="1" w:styleId="161">
    <w:name w:val="样式 标题 2 + Times New Roman 四号 非加粗 段前: 5 磅 段后: 0 磅 行距: 固定值 20..."/>
    <w:basedOn w:val="4"/>
    <w:link w:val="162"/>
    <w:qFormat/>
    <w:uiPriority w:val="0"/>
    <w:pPr>
      <w:spacing w:before="100"/>
      <w:jc w:val="both"/>
    </w:pPr>
    <w:rPr>
      <w:rFonts w:ascii="Times New Roman" w:hAnsi="Times New Roman" w:eastAsia="黑体" w:cs="宋体"/>
      <w:b w:val="0"/>
      <w:kern w:val="2"/>
      <w:sz w:val="28"/>
    </w:rPr>
  </w:style>
  <w:style w:type="character" w:customStyle="1" w:styleId="162">
    <w:name w:val="样式 标题 2 + Times New Roman 四号 非加粗 段前: 5 磅 段后: 0 磅 行距: 固定值 20... Char Char"/>
    <w:basedOn w:val="55"/>
    <w:link w:val="161"/>
    <w:qFormat/>
    <w:uiPriority w:val="0"/>
    <w:rPr>
      <w:rFonts w:eastAsia="黑体" w:cs="宋体"/>
      <w:kern w:val="2"/>
      <w:sz w:val="28"/>
    </w:rPr>
  </w:style>
  <w:style w:type="paragraph" w:customStyle="1" w:styleId="163">
    <w:name w:val="Char6 Char Char Char"/>
    <w:basedOn w:val="1"/>
    <w:qFormat/>
    <w:uiPriority w:val="99"/>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164">
    <w:name w:val="opening2"/>
    <w:basedOn w:val="1"/>
    <w:qFormat/>
    <w:uiPriority w:val="99"/>
    <w:pPr>
      <w:widowControl/>
      <w:spacing w:before="100" w:beforeAutospacing="1" w:after="100" w:afterAutospacing="1"/>
      <w:jc w:val="left"/>
    </w:pPr>
    <w:rPr>
      <w:rFonts w:ascii="宋体" w:hAnsi="宋体" w:cs="宋体"/>
      <w:color w:val="000000"/>
      <w:kern w:val="0"/>
      <w:sz w:val="23"/>
      <w:szCs w:val="23"/>
    </w:rPr>
  </w:style>
  <w:style w:type="paragraph" w:customStyle="1" w:styleId="165">
    <w:name w:val="7"/>
    <w:basedOn w:val="1"/>
    <w:qFormat/>
    <w:uiPriority w:val="99"/>
    <w:pPr>
      <w:widowControl/>
      <w:tabs>
        <w:tab w:val="left" w:pos="425"/>
      </w:tabs>
      <w:spacing w:beforeLines="100" w:after="160" w:line="240" w:lineRule="exact"/>
      <w:ind w:left="425" w:hanging="425"/>
      <w:jc w:val="left"/>
    </w:pPr>
    <w:rPr>
      <w:rFonts w:ascii="Verdana" w:hAnsi="Verdana" w:eastAsia="黑体"/>
      <w:kern w:val="0"/>
      <w:sz w:val="20"/>
      <w:lang w:eastAsia="en-US"/>
    </w:rPr>
  </w:style>
  <w:style w:type="character" w:customStyle="1" w:styleId="166">
    <w:name w:val="javascript"/>
    <w:basedOn w:val="55"/>
    <w:qFormat/>
    <w:uiPriority w:val="0"/>
  </w:style>
  <w:style w:type="character" w:customStyle="1" w:styleId="167">
    <w:name w:val="style11"/>
    <w:qFormat/>
    <w:uiPriority w:val="0"/>
    <w:rPr>
      <w:b/>
      <w:bCs/>
    </w:rPr>
  </w:style>
  <w:style w:type="paragraph" w:customStyle="1" w:styleId="168">
    <w:name w:val="1"/>
    <w:basedOn w:val="1"/>
    <w:next w:val="24"/>
    <w:qFormat/>
    <w:uiPriority w:val="99"/>
    <w:pPr>
      <w:adjustRightInd w:val="0"/>
      <w:ind w:left="420" w:right="33"/>
      <w:jc w:val="left"/>
      <w:textAlignment w:val="baseline"/>
    </w:pPr>
    <w:rPr>
      <w:kern w:val="0"/>
      <w:sz w:val="24"/>
    </w:rPr>
  </w:style>
  <w:style w:type="paragraph" w:customStyle="1" w:styleId="169">
    <w:name w:val="样式 样式 样式 宋体 小四 黑色 两端对齐 + 首行缩进:  2 字符 + 五号 首行缩进:  2 字符"/>
    <w:basedOn w:val="1"/>
    <w:qFormat/>
    <w:uiPriority w:val="99"/>
    <w:pPr>
      <w:widowControl/>
      <w:spacing w:line="340" w:lineRule="exact"/>
      <w:ind w:firstLine="200" w:firstLineChars="200"/>
    </w:pPr>
    <w:rPr>
      <w:rFonts w:ascii="宋体" w:hAnsi="宋体"/>
      <w:color w:val="000000"/>
      <w:kern w:val="0"/>
    </w:rPr>
  </w:style>
  <w:style w:type="paragraph" w:customStyle="1" w:styleId="170">
    <w:name w:val="目录文字"/>
    <w:basedOn w:val="1"/>
    <w:qFormat/>
    <w:uiPriority w:val="99"/>
    <w:pPr>
      <w:widowControl/>
      <w:spacing w:line="480" w:lineRule="auto"/>
      <w:jc w:val="left"/>
    </w:pPr>
    <w:rPr>
      <w:rFonts w:ascii="宋体" w:hAnsi="宋体"/>
      <w:kern w:val="0"/>
      <w:sz w:val="24"/>
    </w:rPr>
  </w:style>
  <w:style w:type="paragraph" w:customStyle="1" w:styleId="171">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72">
    <w:name w:val="正文文本 3 字符"/>
    <w:basedOn w:val="55"/>
    <w:link w:val="20"/>
    <w:qFormat/>
    <w:uiPriority w:val="99"/>
    <w:rPr>
      <w:sz w:val="16"/>
      <w:szCs w:val="16"/>
    </w:rPr>
  </w:style>
  <w:style w:type="character" w:customStyle="1" w:styleId="173">
    <w:name w:val="宏文本 字符"/>
    <w:link w:val="2"/>
    <w:qFormat/>
    <w:uiPriority w:val="99"/>
    <w:rPr>
      <w:rFonts w:ascii="Courier New" w:hAnsi="Courier New"/>
      <w:sz w:val="24"/>
      <w:szCs w:val="24"/>
    </w:rPr>
  </w:style>
  <w:style w:type="character" w:customStyle="1" w:styleId="174">
    <w:name w:val="宏文本 Char1"/>
    <w:basedOn w:val="55"/>
    <w:qFormat/>
    <w:uiPriority w:val="0"/>
    <w:rPr>
      <w:rFonts w:ascii="Courier New" w:hAnsi="Courier New" w:cs="Courier New"/>
      <w:kern w:val="2"/>
      <w:sz w:val="24"/>
      <w:szCs w:val="24"/>
    </w:rPr>
  </w:style>
  <w:style w:type="character" w:customStyle="1" w:styleId="175">
    <w:name w:val="15"/>
    <w:qFormat/>
    <w:uiPriority w:val="0"/>
    <w:rPr>
      <w:rFonts w:hint="eastAsia" w:ascii="MingLiU" w:hAnsi="MingLiU" w:eastAsia="MingLiU"/>
      <w:sz w:val="22"/>
      <w:szCs w:val="22"/>
    </w:rPr>
  </w:style>
  <w:style w:type="character" w:customStyle="1" w:styleId="176">
    <w:name w:val="font51"/>
    <w:qFormat/>
    <w:uiPriority w:val="0"/>
    <w:rPr>
      <w:rFonts w:hint="eastAsia" w:ascii="宋体" w:hAnsi="宋体" w:eastAsia="宋体" w:cs="宋体"/>
      <w:b/>
      <w:color w:val="000000"/>
      <w:sz w:val="21"/>
      <w:szCs w:val="21"/>
      <w:u w:val="none"/>
    </w:rPr>
  </w:style>
  <w:style w:type="character" w:customStyle="1" w:styleId="177">
    <w:name w:val="正文文本 (2)_"/>
    <w:link w:val="178"/>
    <w:qFormat/>
    <w:uiPriority w:val="0"/>
    <w:rPr>
      <w:rFonts w:ascii="MingLiU" w:hAnsi="MingLiU" w:eastAsia="MingLiU" w:cs="MingLiU"/>
      <w:spacing w:val="4"/>
      <w:sz w:val="22"/>
      <w:szCs w:val="22"/>
    </w:rPr>
  </w:style>
  <w:style w:type="paragraph" w:customStyle="1" w:styleId="178">
    <w:name w:val="正文文本 (2)"/>
    <w:basedOn w:val="1"/>
    <w:link w:val="177"/>
    <w:qFormat/>
    <w:uiPriority w:val="0"/>
    <w:pPr>
      <w:spacing w:after="120" w:line="458" w:lineRule="exact"/>
      <w:jc w:val="distribute"/>
    </w:pPr>
    <w:rPr>
      <w:rFonts w:ascii="MingLiU" w:hAnsi="MingLiU" w:eastAsia="MingLiU" w:cs="MingLiU"/>
      <w:spacing w:val="4"/>
      <w:kern w:val="0"/>
      <w:sz w:val="22"/>
      <w:szCs w:val="22"/>
    </w:rPr>
  </w:style>
  <w:style w:type="character" w:customStyle="1" w:styleId="179">
    <w:name w:val="font61"/>
    <w:qFormat/>
    <w:uiPriority w:val="0"/>
    <w:rPr>
      <w:rFonts w:hint="default" w:ascii="Times New Roman" w:hAnsi="Times New Roman" w:cs="Times New Roman"/>
      <w:b/>
      <w:color w:val="000000"/>
      <w:sz w:val="21"/>
      <w:szCs w:val="21"/>
      <w:u w:val="none"/>
    </w:rPr>
  </w:style>
  <w:style w:type="character" w:customStyle="1" w:styleId="180">
    <w:name w:val="my Char Char"/>
    <w:link w:val="181"/>
    <w:qFormat/>
    <w:uiPriority w:val="0"/>
    <w:rPr>
      <w:color w:val="000000"/>
      <w:kern w:val="2"/>
      <w:sz w:val="24"/>
      <w:szCs w:val="24"/>
    </w:rPr>
  </w:style>
  <w:style w:type="paragraph" w:customStyle="1" w:styleId="181">
    <w:name w:val="my"/>
    <w:basedOn w:val="41"/>
    <w:link w:val="180"/>
    <w:qFormat/>
    <w:uiPriority w:val="0"/>
    <w:rPr>
      <w:color w:val="000000"/>
    </w:rPr>
  </w:style>
  <w:style w:type="character" w:customStyle="1" w:styleId="182">
    <w:name w:val="样式 标题 2 + 二号 Char"/>
    <w:qFormat/>
    <w:uiPriority w:val="0"/>
    <w:rPr>
      <w:rFonts w:ascii="Arial" w:hAnsi="Arial" w:eastAsia="宋体"/>
      <w:b/>
      <w:color w:val="FF0000"/>
      <w:sz w:val="32"/>
      <w:lang w:val="en-US" w:eastAsia="zh-CN"/>
    </w:rPr>
  </w:style>
  <w:style w:type="character" w:customStyle="1" w:styleId="183">
    <w:name w:val="font161"/>
    <w:qFormat/>
    <w:uiPriority w:val="0"/>
    <w:rPr>
      <w:rFonts w:ascii="Arial" w:hAnsi="Arial" w:eastAsia="黑体"/>
      <w:b/>
      <w:bCs/>
      <w:kern w:val="2"/>
      <w:sz w:val="32"/>
      <w:szCs w:val="32"/>
      <w:lang w:val="en-US" w:eastAsia="zh-CN" w:bidi="ar-SA"/>
    </w:rPr>
  </w:style>
  <w:style w:type="character" w:customStyle="1" w:styleId="184">
    <w:name w:val="表一 Char Char"/>
    <w:link w:val="185"/>
    <w:qFormat/>
    <w:uiPriority w:val="0"/>
    <w:rPr>
      <w:snapToGrid w:val="0"/>
      <w:sz w:val="24"/>
    </w:rPr>
  </w:style>
  <w:style w:type="paragraph" w:customStyle="1" w:styleId="185">
    <w:name w:val="表一"/>
    <w:basedOn w:val="1"/>
    <w:link w:val="184"/>
    <w:qFormat/>
    <w:uiPriority w:val="0"/>
    <w:pPr>
      <w:adjustRightInd w:val="0"/>
      <w:snapToGrid w:val="0"/>
      <w:ind w:right="-71"/>
      <w:jc w:val="center"/>
    </w:pPr>
    <w:rPr>
      <w:snapToGrid w:val="0"/>
      <w:kern w:val="0"/>
      <w:sz w:val="24"/>
    </w:rPr>
  </w:style>
  <w:style w:type="character" w:customStyle="1" w:styleId="186">
    <w:name w:val="段落 Char"/>
    <w:link w:val="187"/>
    <w:qFormat/>
    <w:uiPriority w:val="0"/>
    <w:rPr>
      <w:rFonts w:ascii="宋体" w:hAnsi="宋体"/>
      <w:kern w:val="2"/>
      <w:sz w:val="24"/>
      <w:szCs w:val="24"/>
    </w:rPr>
  </w:style>
  <w:style w:type="paragraph" w:customStyle="1" w:styleId="187">
    <w:name w:val="段落"/>
    <w:basedOn w:val="1"/>
    <w:link w:val="186"/>
    <w:qFormat/>
    <w:uiPriority w:val="0"/>
    <w:pPr>
      <w:spacing w:line="440" w:lineRule="exact"/>
      <w:ind w:firstLine="200" w:firstLineChars="200"/>
    </w:pPr>
    <w:rPr>
      <w:rFonts w:ascii="宋体" w:hAnsi="宋体"/>
      <w:sz w:val="24"/>
      <w:szCs w:val="24"/>
    </w:rPr>
  </w:style>
  <w:style w:type="character" w:customStyle="1" w:styleId="188">
    <w:name w:val="Char Char1"/>
    <w:qFormat/>
    <w:uiPriority w:val="0"/>
    <w:rPr>
      <w:rFonts w:eastAsia="宋体"/>
      <w:b/>
      <w:kern w:val="2"/>
      <w:sz w:val="32"/>
      <w:lang w:val="en-US" w:eastAsia="zh-CN"/>
    </w:rPr>
  </w:style>
  <w:style w:type="character" w:customStyle="1" w:styleId="189">
    <w:name w:val="正文文本_"/>
    <w:link w:val="190"/>
    <w:qFormat/>
    <w:uiPriority w:val="0"/>
    <w:rPr>
      <w:rFonts w:ascii="MingLiU" w:hAnsi="MingLiU" w:eastAsia="MingLiU" w:cs="MingLiU"/>
      <w:spacing w:val="9"/>
      <w:sz w:val="21"/>
      <w:szCs w:val="21"/>
    </w:rPr>
  </w:style>
  <w:style w:type="paragraph" w:customStyle="1" w:styleId="190">
    <w:name w:val="正文文本1"/>
    <w:basedOn w:val="1"/>
    <w:link w:val="189"/>
    <w:qFormat/>
    <w:uiPriority w:val="0"/>
    <w:pPr>
      <w:spacing w:after="60" w:line="463" w:lineRule="exact"/>
      <w:jc w:val="distribute"/>
    </w:pPr>
    <w:rPr>
      <w:rFonts w:ascii="MingLiU" w:hAnsi="MingLiU" w:eastAsia="MingLiU" w:cs="MingLiU"/>
      <w:spacing w:val="9"/>
      <w:kern w:val="0"/>
      <w:szCs w:val="21"/>
    </w:rPr>
  </w:style>
  <w:style w:type="character" w:customStyle="1" w:styleId="191">
    <w:name w:val="font31"/>
    <w:qFormat/>
    <w:uiPriority w:val="0"/>
    <w:rPr>
      <w:rFonts w:hint="default" w:ascii="Times New Roman" w:hAnsi="Times New Roman" w:cs="Times New Roman"/>
      <w:color w:val="000000"/>
      <w:sz w:val="21"/>
      <w:szCs w:val="21"/>
      <w:u w:val="none"/>
    </w:rPr>
  </w:style>
  <w:style w:type="character" w:customStyle="1" w:styleId="192">
    <w:name w:val="正文文本首行缩进 2 字符"/>
    <w:basedOn w:val="193"/>
    <w:link w:val="52"/>
    <w:qFormat/>
    <w:uiPriority w:val="0"/>
    <w:rPr>
      <w:kern w:val="2"/>
      <w:sz w:val="21"/>
      <w:szCs w:val="24"/>
    </w:rPr>
  </w:style>
  <w:style w:type="character" w:customStyle="1" w:styleId="193">
    <w:name w:val="正文文本缩进 Char"/>
    <w:qFormat/>
    <w:uiPriority w:val="0"/>
    <w:rPr>
      <w:kern w:val="2"/>
      <w:sz w:val="21"/>
      <w:szCs w:val="24"/>
    </w:rPr>
  </w:style>
  <w:style w:type="character" w:customStyle="1" w:styleId="194">
    <w:name w:val="正文首行缩进 2 Char1"/>
    <w:basedOn w:val="125"/>
    <w:qFormat/>
    <w:uiPriority w:val="0"/>
    <w:rPr>
      <w:kern w:val="2"/>
      <w:sz w:val="21"/>
    </w:rPr>
  </w:style>
  <w:style w:type="character" w:customStyle="1" w:styleId="195">
    <w:name w:val="HTML 预设格式 Char1"/>
    <w:qFormat/>
    <w:uiPriority w:val="0"/>
    <w:rPr>
      <w:rFonts w:ascii="Courier New" w:hAnsi="Courier New" w:cs="Courier New"/>
    </w:rPr>
  </w:style>
  <w:style w:type="character" w:customStyle="1" w:styleId="196">
    <w:name w:val="正正正文 Char1"/>
    <w:link w:val="197"/>
    <w:qFormat/>
    <w:uiPriority w:val="0"/>
    <w:rPr>
      <w:color w:val="000000"/>
      <w:kern w:val="2"/>
      <w:sz w:val="21"/>
    </w:rPr>
  </w:style>
  <w:style w:type="paragraph" w:customStyle="1" w:styleId="197">
    <w:name w:val="正正正文"/>
    <w:basedOn w:val="1"/>
    <w:link w:val="196"/>
    <w:qFormat/>
    <w:uiPriority w:val="0"/>
    <w:pPr>
      <w:snapToGrid w:val="0"/>
      <w:spacing w:line="460" w:lineRule="exact"/>
      <w:ind w:firstLine="420" w:firstLineChars="200"/>
    </w:pPr>
    <w:rPr>
      <w:color w:val="000000"/>
    </w:rPr>
  </w:style>
  <w:style w:type="character" w:customStyle="1" w:styleId="198">
    <w:name w:val="Char Char3"/>
    <w:qFormat/>
    <w:uiPriority w:val="0"/>
    <w:rPr>
      <w:rFonts w:eastAsia="宋体"/>
      <w:b/>
      <w:kern w:val="44"/>
      <w:sz w:val="44"/>
      <w:lang w:val="en-US" w:eastAsia="zh-CN"/>
    </w:rPr>
  </w:style>
  <w:style w:type="character" w:customStyle="1" w:styleId="199">
    <w:name w:val="font21"/>
    <w:qFormat/>
    <w:uiPriority w:val="0"/>
    <w:rPr>
      <w:rFonts w:hint="eastAsia" w:ascii="宋体" w:hAnsi="宋体" w:eastAsia="宋体" w:cs="宋体"/>
      <w:color w:val="FF0000"/>
      <w:sz w:val="21"/>
      <w:szCs w:val="21"/>
      <w:u w:val="none"/>
    </w:rPr>
  </w:style>
  <w:style w:type="character" w:customStyle="1" w:styleId="200">
    <w:name w:val="p21"/>
    <w:qFormat/>
    <w:uiPriority w:val="0"/>
    <w:rPr>
      <w:sz w:val="9"/>
      <w:szCs w:val="9"/>
    </w:rPr>
  </w:style>
  <w:style w:type="character" w:customStyle="1" w:styleId="201">
    <w:name w:val="正文文本 + Tahoma"/>
    <w:qFormat/>
    <w:uiPriority w:val="0"/>
    <w:rPr>
      <w:rFonts w:ascii="Tahoma" w:hAnsi="Tahoma" w:eastAsia="Tahoma" w:cs="Tahoma"/>
      <w:color w:val="000000"/>
      <w:spacing w:val="23"/>
      <w:w w:val="100"/>
      <w:position w:val="0"/>
      <w:sz w:val="19"/>
      <w:szCs w:val="19"/>
      <w:u w:val="none"/>
      <w:lang w:val="zh-CN"/>
    </w:rPr>
  </w:style>
  <w:style w:type="character" w:customStyle="1" w:styleId="202">
    <w:name w:val="正文文本 (2) + 间距 3 pt"/>
    <w:qFormat/>
    <w:uiPriority w:val="0"/>
    <w:rPr>
      <w:rFonts w:ascii="MingLiU" w:hAnsi="MingLiU" w:eastAsia="MingLiU" w:cs="MingLiU"/>
      <w:color w:val="000000"/>
      <w:spacing w:val="73"/>
      <w:w w:val="100"/>
      <w:position w:val="0"/>
      <w:sz w:val="22"/>
      <w:szCs w:val="22"/>
      <w:u w:val="none"/>
      <w:lang w:val="zh-CN"/>
    </w:rPr>
  </w:style>
  <w:style w:type="character" w:customStyle="1" w:styleId="203">
    <w:name w:val="font5 Char"/>
    <w:link w:val="204"/>
    <w:qFormat/>
    <w:uiPriority w:val="0"/>
    <w:rPr>
      <w:rFonts w:ascii="宋体" w:hAnsi="宋体"/>
      <w:sz w:val="24"/>
      <w:szCs w:val="24"/>
    </w:rPr>
  </w:style>
  <w:style w:type="paragraph" w:customStyle="1" w:styleId="204">
    <w:name w:val="font5"/>
    <w:basedOn w:val="1"/>
    <w:link w:val="203"/>
    <w:qFormat/>
    <w:uiPriority w:val="0"/>
    <w:pPr>
      <w:widowControl/>
      <w:spacing w:before="100" w:beforeAutospacing="1" w:after="100" w:afterAutospacing="1"/>
      <w:jc w:val="left"/>
    </w:pPr>
    <w:rPr>
      <w:rFonts w:ascii="宋体" w:hAnsi="宋体"/>
      <w:kern w:val="0"/>
      <w:sz w:val="24"/>
      <w:szCs w:val="24"/>
    </w:rPr>
  </w:style>
  <w:style w:type="character" w:customStyle="1" w:styleId="205">
    <w:name w:val="标题 3 Char Char"/>
    <w:qFormat/>
    <w:uiPriority w:val="0"/>
    <w:rPr>
      <w:rFonts w:eastAsia="宋体"/>
      <w:b/>
      <w:kern w:val="2"/>
      <w:sz w:val="32"/>
      <w:lang w:val="en-US" w:eastAsia="zh-CN"/>
    </w:rPr>
  </w:style>
  <w:style w:type="character" w:customStyle="1" w:styleId="206">
    <w:name w:val="正文缩进 Char1 Char"/>
    <w:qFormat/>
    <w:uiPriority w:val="0"/>
    <w:rPr>
      <w:rFonts w:eastAsia="宋体"/>
      <w:kern w:val="2"/>
      <w:sz w:val="24"/>
      <w:szCs w:val="24"/>
      <w:lang w:val="en-US" w:eastAsia="zh-CN" w:bidi="ar-SA"/>
    </w:rPr>
  </w:style>
  <w:style w:type="character" w:customStyle="1" w:styleId="207">
    <w:name w:val="font01"/>
    <w:qFormat/>
    <w:uiPriority w:val="0"/>
    <w:rPr>
      <w:rFonts w:hint="eastAsia" w:ascii="宋体" w:hAnsi="宋体" w:eastAsia="宋体" w:cs="宋体"/>
      <w:color w:val="000000"/>
      <w:sz w:val="21"/>
      <w:szCs w:val="21"/>
      <w:u w:val="none"/>
    </w:rPr>
  </w:style>
  <w:style w:type="character" w:customStyle="1" w:styleId="208">
    <w:name w:val="font11"/>
    <w:qFormat/>
    <w:uiPriority w:val="0"/>
    <w:rPr>
      <w:rFonts w:hint="default" w:ascii="Times New Roman" w:hAnsi="Times New Roman" w:cs="Times New Roman"/>
      <w:color w:val="FF0000"/>
      <w:sz w:val="21"/>
      <w:szCs w:val="21"/>
      <w:u w:val="none"/>
    </w:rPr>
  </w:style>
  <w:style w:type="paragraph" w:customStyle="1" w:styleId="209">
    <w:name w:val="样式 样式 样式 公正文 + 首行缩进:  2 字符2 + 首行缩进:  2 字符 + 首行缩进:  2 字符"/>
    <w:basedOn w:val="210"/>
    <w:qFormat/>
    <w:uiPriority w:val="0"/>
  </w:style>
  <w:style w:type="paragraph" w:customStyle="1" w:styleId="210">
    <w:name w:val="样式 样式 公正文 + 首行缩进:  2 字符2 + 首行缩进:  2 字符"/>
    <w:basedOn w:val="211"/>
    <w:qFormat/>
    <w:uiPriority w:val="0"/>
  </w:style>
  <w:style w:type="paragraph" w:customStyle="1" w:styleId="211">
    <w:name w:val="样式 公正文 + 首行缩进:  2 字符2"/>
    <w:basedOn w:val="212"/>
    <w:qFormat/>
    <w:uiPriority w:val="0"/>
    <w:rPr>
      <w:rFonts w:cs="宋体"/>
    </w:rPr>
  </w:style>
  <w:style w:type="paragraph" w:customStyle="1" w:styleId="212">
    <w:name w:val="公正文"/>
    <w:basedOn w:val="5"/>
    <w:qFormat/>
    <w:uiPriority w:val="99"/>
    <w:pPr>
      <w:adjustRightInd w:val="0"/>
      <w:snapToGrid w:val="0"/>
      <w:spacing w:line="560" w:lineRule="exact"/>
      <w:ind w:firstLine="200"/>
    </w:pPr>
    <w:rPr>
      <w:rFonts w:ascii="仿宋_GB2312" w:hAnsi="宋体" w:eastAsia="仿宋_GB2312"/>
      <w:sz w:val="28"/>
    </w:rPr>
  </w:style>
  <w:style w:type="paragraph" w:customStyle="1" w:styleId="213">
    <w:name w:val="样式 样式 样式 样式 公正文 + 首行缩进:  2 字符2 + 首行缩进:  2 字符 + 首行缩进:  2 字符 + 首行缩...1"/>
    <w:basedOn w:val="209"/>
    <w:qFormat/>
    <w:uiPriority w:val="0"/>
    <w:pPr>
      <w:adjustRightInd/>
      <w:snapToGrid/>
    </w:pPr>
  </w:style>
  <w:style w:type="paragraph" w:customStyle="1" w:styleId="214">
    <w:name w:val="表二"/>
    <w:basedOn w:val="1"/>
    <w:qFormat/>
    <w:uiPriority w:val="99"/>
    <w:pPr>
      <w:adjustRightInd w:val="0"/>
      <w:snapToGrid w:val="0"/>
    </w:pPr>
    <w:rPr>
      <w:snapToGrid w:val="0"/>
      <w:kern w:val="0"/>
    </w:rPr>
  </w:style>
  <w:style w:type="character" w:customStyle="1" w:styleId="215">
    <w:name w:val="标题 字符"/>
    <w:basedOn w:val="55"/>
    <w:link w:val="49"/>
    <w:qFormat/>
    <w:uiPriority w:val="99"/>
    <w:rPr>
      <w:rFonts w:ascii="Arial" w:hAnsi="Arial"/>
      <w:b/>
      <w:sz w:val="32"/>
    </w:rPr>
  </w:style>
  <w:style w:type="paragraph" w:customStyle="1" w:styleId="216">
    <w:name w:val="表三"/>
    <w:basedOn w:val="214"/>
    <w:qFormat/>
    <w:uiPriority w:val="99"/>
    <w:pPr>
      <w:ind w:right="-34" w:rightChars="-34"/>
      <w:jc w:val="right"/>
    </w:pPr>
  </w:style>
  <w:style w:type="paragraph" w:customStyle="1" w:styleId="217">
    <w:name w:val="样式 样式 样式 样式 样式 公正文 + 首行缩进:  2 字符2 + 首行缩进:  2 字符 + 首行缩进:  2 字符 + ..."/>
    <w:basedOn w:val="213"/>
    <w:qFormat/>
    <w:uiPriority w:val="0"/>
  </w:style>
  <w:style w:type="paragraph" w:customStyle="1" w:styleId="218">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19">
    <w:name w:val="样式 标题 2标题 2 Char章章1章2章3章11章21章4章12章22章5章6章7章8章9章..."/>
    <w:basedOn w:val="4"/>
    <w:qFormat/>
    <w:uiPriority w:val="99"/>
    <w:pPr>
      <w:spacing w:line="360" w:lineRule="auto"/>
      <w:jc w:val="left"/>
    </w:pPr>
    <w:rPr>
      <w:rFonts w:ascii="宋体" w:hAnsi="宋体" w:cs="宋体"/>
      <w:bCs/>
      <w:color w:val="FF0000"/>
      <w:sz w:val="21"/>
    </w:rPr>
  </w:style>
  <w:style w:type="paragraph" w:customStyle="1" w:styleId="220">
    <w:name w:val="样式 样式 样式 样式 样式 样式 公正文 + 首行缩进:  2 字符2 + 首行缩进:  2 字符 + 首行缩进:  2 字符..."/>
    <w:basedOn w:val="217"/>
    <w:qFormat/>
    <w:uiPriority w:val="0"/>
  </w:style>
  <w:style w:type="paragraph" w:customStyle="1" w:styleId="221">
    <w:name w:val="样式 标题 1 + 黑体 三号 非加粗 居中 段前: 6 磅 段后: 6 磅 行距: 固定值 20 磅"/>
    <w:basedOn w:val="3"/>
    <w:qFormat/>
    <w:uiPriority w:val="99"/>
    <w:pPr>
      <w:spacing w:line="400" w:lineRule="exact"/>
    </w:pPr>
    <w:rPr>
      <w:rFonts w:ascii="黑体" w:hAnsi="黑体" w:eastAsia="黑体" w:cs="宋体"/>
      <w:b w:val="0"/>
      <w:spacing w:val="0"/>
    </w:rPr>
  </w:style>
  <w:style w:type="paragraph" w:customStyle="1" w:styleId="222">
    <w:name w:val="xl31"/>
    <w:basedOn w:val="1"/>
    <w:qFormat/>
    <w:uiPriority w:val="99"/>
    <w:pPr>
      <w:widowControl/>
      <w:spacing w:before="100" w:beforeAutospacing="1" w:after="100" w:afterAutospacing="1"/>
      <w:jc w:val="center"/>
    </w:pPr>
    <w:rPr>
      <w:rFonts w:ascii="宋体" w:hAnsi="宋体"/>
      <w:kern w:val="0"/>
      <w:sz w:val="24"/>
      <w:szCs w:val="24"/>
    </w:rPr>
  </w:style>
  <w:style w:type="paragraph" w:customStyle="1" w:styleId="223">
    <w:name w:val="表格文字"/>
    <w:basedOn w:val="1"/>
    <w:qFormat/>
    <w:uiPriority w:val="99"/>
    <w:pPr>
      <w:adjustRightInd w:val="0"/>
      <w:spacing w:line="420" w:lineRule="atLeast"/>
      <w:jc w:val="left"/>
      <w:textAlignment w:val="baseline"/>
    </w:pPr>
    <w:rPr>
      <w:kern w:val="0"/>
    </w:rPr>
  </w:style>
  <w:style w:type="paragraph" w:customStyle="1" w:styleId="224">
    <w:name w:val="样式 首行缩进:  2 字符"/>
    <w:basedOn w:val="1"/>
    <w:qFormat/>
    <w:uiPriority w:val="99"/>
    <w:pPr>
      <w:widowControl/>
      <w:spacing w:line="400" w:lineRule="exact"/>
      <w:ind w:firstLine="200" w:firstLineChars="200"/>
      <w:jc w:val="left"/>
    </w:pPr>
    <w:rPr>
      <w:rFonts w:cs="宋体"/>
      <w:kern w:val="0"/>
    </w:rPr>
  </w:style>
  <w:style w:type="paragraph" w:customStyle="1" w:styleId="225">
    <w:name w:val="Char1"/>
    <w:basedOn w:val="1"/>
    <w:qFormat/>
    <w:uiPriority w:val="99"/>
    <w:pPr>
      <w:pageBreakBefore/>
      <w:spacing w:line="360" w:lineRule="auto"/>
    </w:pPr>
    <w:rPr>
      <w:sz w:val="28"/>
    </w:rPr>
  </w:style>
  <w:style w:type="paragraph" w:customStyle="1" w:styleId="226">
    <w:name w:val="标题2"/>
    <w:basedOn w:val="4"/>
    <w:next w:val="1"/>
    <w:qFormat/>
    <w:uiPriority w:val="99"/>
    <w:pPr>
      <w:snapToGrid w:val="0"/>
      <w:spacing w:before="120" w:after="120" w:line="240" w:lineRule="auto"/>
      <w:jc w:val="left"/>
    </w:pPr>
    <w:rPr>
      <w:rFonts w:ascii="Times New Roman" w:hAnsi="Times New Roman"/>
      <w:b w:val="0"/>
      <w:sz w:val="21"/>
      <w:szCs w:val="21"/>
    </w:rPr>
  </w:style>
  <w:style w:type="paragraph" w:customStyle="1" w:styleId="227">
    <w:name w:val="表格2"/>
    <w:basedOn w:val="1"/>
    <w:qFormat/>
    <w:uiPriority w:val="99"/>
    <w:pPr>
      <w:adjustRightInd w:val="0"/>
      <w:spacing w:before="60" w:after="60"/>
      <w:jc w:val="center"/>
    </w:pPr>
    <w:rPr>
      <w:rFonts w:ascii="宋体"/>
      <w:color w:val="000000"/>
      <w:kern w:val="0"/>
      <w:sz w:val="24"/>
    </w:rPr>
  </w:style>
  <w:style w:type="paragraph" w:customStyle="1" w:styleId="228">
    <w:name w:val="font7"/>
    <w:basedOn w:val="1"/>
    <w:qFormat/>
    <w:uiPriority w:val="99"/>
    <w:pPr>
      <w:widowControl/>
      <w:spacing w:before="100" w:beforeAutospacing="1" w:after="100" w:afterAutospacing="1"/>
      <w:jc w:val="left"/>
    </w:pPr>
    <w:rPr>
      <w:rFonts w:hint="eastAsia" w:ascii="宋体" w:hAnsi="宋体"/>
      <w:kern w:val="0"/>
      <w:sz w:val="28"/>
      <w:szCs w:val="28"/>
    </w:rPr>
  </w:style>
  <w:style w:type="paragraph" w:customStyle="1" w:styleId="229">
    <w:name w:val="XW正文"/>
    <w:basedOn w:val="22"/>
    <w:qFormat/>
    <w:uiPriority w:val="99"/>
    <w:pPr>
      <w:adjustRightInd w:val="0"/>
      <w:snapToGrid w:val="0"/>
      <w:spacing w:line="300" w:lineRule="auto"/>
      <w:ind w:firstLine="520" w:firstLineChars="200"/>
      <w:jc w:val="left"/>
    </w:pPr>
    <w:rPr>
      <w:kern w:val="0"/>
      <w:szCs w:val="24"/>
    </w:rPr>
  </w:style>
  <w:style w:type="paragraph" w:customStyle="1" w:styleId="230">
    <w:name w:val="样式 样式 标题 3小标题 1一、标题 3XW标题 3 Char Char Char Char Char Char Char....."/>
    <w:basedOn w:val="1"/>
    <w:qFormat/>
    <w:uiPriority w:val="99"/>
    <w:pPr>
      <w:keepNext/>
      <w:keepLines/>
      <w:spacing w:line="360" w:lineRule="auto"/>
      <w:jc w:val="left"/>
      <w:outlineLvl w:val="2"/>
    </w:pPr>
    <w:rPr>
      <w:rFonts w:ascii="宋体" w:hAnsi="宋体" w:cs="宋体"/>
      <w:b/>
      <w:bCs/>
      <w:color w:val="0000FF"/>
    </w:rPr>
  </w:style>
  <w:style w:type="paragraph" w:customStyle="1" w:styleId="231">
    <w:name w:val="xl47"/>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232">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 w:val="24"/>
      <w:szCs w:val="24"/>
    </w:rPr>
  </w:style>
  <w:style w:type="paragraph" w:customStyle="1" w:styleId="233">
    <w:name w:val="表格"/>
    <w:basedOn w:val="1"/>
    <w:qFormat/>
    <w:uiPriority w:val="99"/>
    <w:pPr>
      <w:jc w:val="center"/>
      <w:textAlignment w:val="center"/>
    </w:pPr>
    <w:rPr>
      <w:rFonts w:ascii="华文细黑" w:hAnsi="华文细黑"/>
      <w:kern w:val="0"/>
    </w:rPr>
  </w:style>
  <w:style w:type="paragraph" w:customStyle="1" w:styleId="234">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235">
    <w:name w:val="_Style 12"/>
    <w:basedOn w:val="1"/>
    <w:qFormat/>
    <w:uiPriority w:val="99"/>
    <w:rPr>
      <w:sz w:val="28"/>
      <w:szCs w:val="28"/>
    </w:rPr>
  </w:style>
  <w:style w:type="paragraph" w:customStyle="1" w:styleId="236">
    <w:name w:val="样式"/>
    <w:qFormat/>
    <w:uiPriority w:val="99"/>
    <w:pPr>
      <w:widowControl w:val="0"/>
      <w:autoSpaceDE w:val="0"/>
      <w:autoSpaceDN w:val="0"/>
      <w:adjustRightInd w:val="0"/>
    </w:pPr>
    <w:rPr>
      <w:rFonts w:ascii="宋体" w:hAnsi="宋体" w:eastAsia="宋体" w:cs="Times New Roman"/>
      <w:sz w:val="24"/>
      <w:lang w:val="en-US" w:eastAsia="zh-CN" w:bidi="ar-SA"/>
    </w:rPr>
  </w:style>
  <w:style w:type="paragraph" w:customStyle="1" w:styleId="237">
    <w:name w:val="Char2"/>
    <w:basedOn w:val="1"/>
    <w:qFormat/>
    <w:uiPriority w:val="99"/>
    <w:pPr>
      <w:ind w:left="432" w:hanging="432"/>
    </w:pPr>
    <w:rPr>
      <w:sz w:val="24"/>
    </w:rPr>
  </w:style>
  <w:style w:type="paragraph" w:customStyle="1" w:styleId="238">
    <w:name w:val="样式 标题 1 + 首行缩进:  2 字符"/>
    <w:basedOn w:val="3"/>
    <w:qFormat/>
    <w:uiPriority w:val="99"/>
    <w:pPr>
      <w:spacing w:before="0" w:after="0" w:line="576" w:lineRule="auto"/>
      <w:jc w:val="left"/>
    </w:pPr>
    <w:rPr>
      <w:rFonts w:cs="宋体"/>
      <w:spacing w:val="0"/>
      <w:sz w:val="44"/>
    </w:rPr>
  </w:style>
  <w:style w:type="paragraph" w:customStyle="1" w:styleId="239">
    <w:name w:val="_Style 7"/>
    <w:basedOn w:val="1"/>
    <w:qFormat/>
    <w:uiPriority w:val="99"/>
    <w:pPr>
      <w:pageBreakBefore/>
      <w:spacing w:line="360" w:lineRule="auto"/>
    </w:pPr>
  </w:style>
  <w:style w:type="paragraph" w:customStyle="1" w:styleId="240">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241">
    <w:name w:val="Char Char Char Char Char Char Char Char Char Char"/>
    <w:basedOn w:val="1"/>
    <w:qFormat/>
    <w:uiPriority w:val="99"/>
  </w:style>
  <w:style w:type="paragraph" w:customStyle="1" w:styleId="242">
    <w:name w:val="t_black_12_b"/>
    <w:basedOn w:val="1"/>
    <w:qFormat/>
    <w:uiPriority w:val="99"/>
    <w:pPr>
      <w:widowControl/>
      <w:jc w:val="left"/>
    </w:pPr>
    <w:rPr>
      <w:rFonts w:ascii="宋体" w:hAnsi="宋体" w:cs="宋体"/>
      <w:b/>
      <w:bCs/>
      <w:color w:val="212121"/>
      <w:kern w:val="0"/>
      <w:sz w:val="9"/>
      <w:szCs w:val="9"/>
    </w:rPr>
  </w:style>
  <w:style w:type="paragraph" w:customStyle="1" w:styleId="243">
    <w:name w:val="4 Char Char Char Char Char Char Char Char Char Char Char Char Char Char Char Char Char Char Char Char Char Char"/>
    <w:basedOn w:val="1"/>
    <w:qFormat/>
    <w:uiPriority w:val="99"/>
  </w:style>
  <w:style w:type="paragraph" w:customStyle="1" w:styleId="24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45">
    <w:name w:val="Char Char Char Char Char Char Char Char Char Char Char Char Char"/>
    <w:basedOn w:val="1"/>
    <w:qFormat/>
    <w:uiPriority w:val="99"/>
    <w:rPr>
      <w:szCs w:val="24"/>
    </w:rPr>
  </w:style>
  <w:style w:type="character" w:customStyle="1" w:styleId="246">
    <w:name w:val="脚注文本 字符"/>
    <w:basedOn w:val="55"/>
    <w:link w:val="39"/>
    <w:qFormat/>
    <w:uiPriority w:val="99"/>
    <w:rPr>
      <w:kern w:val="2"/>
      <w:sz w:val="18"/>
      <w:szCs w:val="18"/>
    </w:rPr>
  </w:style>
  <w:style w:type="character" w:customStyle="1" w:styleId="247">
    <w:name w:val="样式 粉红 下划线"/>
    <w:qFormat/>
    <w:uiPriority w:val="0"/>
    <w:rPr>
      <w:color w:val="auto"/>
      <w:u w:val="none"/>
    </w:rPr>
  </w:style>
  <w:style w:type="character" w:customStyle="1" w:styleId="248">
    <w:name w:val="样式 粉红"/>
    <w:qFormat/>
    <w:uiPriority w:val="0"/>
    <w:rPr>
      <w:color w:val="auto"/>
      <w:u w:val="none"/>
    </w:rPr>
  </w:style>
  <w:style w:type="character" w:customStyle="1" w:styleId="249">
    <w:name w:val="正文文本首行缩进 字符"/>
    <w:basedOn w:val="123"/>
    <w:link w:val="51"/>
    <w:qFormat/>
    <w:uiPriority w:val="99"/>
    <w:rPr>
      <w:rFonts w:ascii="宋体" w:hAnsi="宋体"/>
      <w:color w:val="000000"/>
      <w:kern w:val="28"/>
      <w:sz w:val="21"/>
      <w:szCs w:val="21"/>
    </w:rPr>
  </w:style>
  <w:style w:type="paragraph" w:customStyle="1" w:styleId="250">
    <w:name w:val="范本-正文"/>
    <w:qFormat/>
    <w:uiPriority w:val="99"/>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251">
    <w:name w:val="金安桥正文"/>
    <w:basedOn w:val="22"/>
    <w:qFormat/>
    <w:uiPriority w:val="99"/>
    <w:pPr>
      <w:adjustRightInd w:val="0"/>
      <w:spacing w:line="300" w:lineRule="auto"/>
      <w:ind w:firstLine="200" w:firstLineChars="200"/>
      <w:jc w:val="left"/>
    </w:pPr>
    <w:rPr>
      <w:kern w:val="0"/>
      <w:sz w:val="24"/>
    </w:rPr>
  </w:style>
  <w:style w:type="paragraph" w:customStyle="1" w:styleId="252">
    <w:name w:val="正  文"/>
    <w:basedOn w:val="1"/>
    <w:qFormat/>
    <w:uiPriority w:val="99"/>
    <w:pPr>
      <w:spacing w:line="360" w:lineRule="auto"/>
      <w:ind w:firstLine="200" w:firstLineChars="200"/>
    </w:pPr>
    <w:rPr>
      <w:rFonts w:ascii="宋体"/>
      <w:sz w:val="24"/>
      <w:szCs w:val="24"/>
    </w:rPr>
  </w:style>
  <w:style w:type="paragraph" w:customStyle="1" w:styleId="253">
    <w:name w:val="XW标题3"/>
    <w:basedOn w:val="229"/>
    <w:next w:val="229"/>
    <w:qFormat/>
    <w:uiPriority w:val="99"/>
    <w:pPr>
      <w:snapToGrid/>
      <w:spacing w:before="200" w:line="360" w:lineRule="auto"/>
      <w:ind w:firstLine="0" w:firstLineChars="0"/>
      <w:outlineLvl w:val="2"/>
    </w:pPr>
    <w:rPr>
      <w:rFonts w:ascii="Arial" w:hAnsi="Arial" w:eastAsia="黑体"/>
      <w:sz w:val="30"/>
      <w:szCs w:val="20"/>
    </w:rPr>
  </w:style>
  <w:style w:type="paragraph" w:customStyle="1" w:styleId="254">
    <w:name w:val="XW悬挂正文"/>
    <w:basedOn w:val="229"/>
    <w:qFormat/>
    <w:uiPriority w:val="99"/>
    <w:pPr>
      <w:snapToGrid/>
      <w:spacing w:line="360" w:lineRule="auto"/>
      <w:ind w:left="1474" w:hanging="340" w:firstLineChars="0"/>
    </w:pPr>
    <w:rPr>
      <w:rFonts w:hAnsi="宋体"/>
      <w:sz w:val="24"/>
      <w:szCs w:val="20"/>
    </w:rPr>
  </w:style>
  <w:style w:type="paragraph" w:customStyle="1" w:styleId="255">
    <w:name w:val="XW标题1"/>
    <w:basedOn w:val="229"/>
    <w:next w:val="229"/>
    <w:qFormat/>
    <w:uiPriority w:val="99"/>
    <w:pPr>
      <w:snapToGrid/>
      <w:spacing w:before="5000" w:line="360" w:lineRule="auto"/>
      <w:ind w:left="425" w:hanging="425" w:firstLineChars="0"/>
      <w:jc w:val="center"/>
      <w:outlineLvl w:val="0"/>
    </w:pPr>
    <w:rPr>
      <w:rFonts w:ascii="Arial" w:hAnsi="Arial" w:eastAsia="黑体"/>
      <w:sz w:val="44"/>
      <w:szCs w:val="20"/>
    </w:rPr>
  </w:style>
  <w:style w:type="paragraph" w:customStyle="1" w:styleId="256">
    <w:name w:val="首页脚样式"/>
    <w:basedOn w:val="33"/>
    <w:qFormat/>
    <w:uiPriority w:val="99"/>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smallCaps/>
      <w:spacing w:val="15"/>
      <w:kern w:val="0"/>
      <w:sz w:val="24"/>
    </w:rPr>
  </w:style>
  <w:style w:type="paragraph" w:customStyle="1" w:styleId="257">
    <w:name w:val="标题3"/>
    <w:basedOn w:val="226"/>
    <w:qFormat/>
    <w:uiPriority w:val="99"/>
    <w:pPr>
      <w:snapToGrid/>
      <w:spacing w:before="0" w:after="0" w:line="360" w:lineRule="auto"/>
      <w:jc w:val="both"/>
      <w:outlineLvl w:val="0"/>
    </w:pPr>
    <w:rPr>
      <w:b/>
      <w:kern w:val="44"/>
    </w:rPr>
  </w:style>
  <w:style w:type="paragraph" w:customStyle="1" w:styleId="258">
    <w:name w:val="正文小标题"/>
    <w:basedOn w:val="1"/>
    <w:next w:val="21"/>
    <w:qFormat/>
    <w:uiPriority w:val="99"/>
    <w:pPr>
      <w:tabs>
        <w:tab w:val="left" w:pos="735"/>
        <w:tab w:val="left" w:pos="780"/>
      </w:tabs>
      <w:overflowPunct w:val="0"/>
      <w:autoSpaceDE w:val="0"/>
      <w:autoSpaceDN w:val="0"/>
      <w:adjustRightInd w:val="0"/>
      <w:ind w:firstLine="420" w:firstLineChars="200"/>
    </w:pPr>
    <w:rPr>
      <w:rFonts w:hAnsi="宋体"/>
      <w:kern w:val="0"/>
    </w:rPr>
  </w:style>
  <w:style w:type="paragraph" w:customStyle="1" w:styleId="259">
    <w:name w:val="基准标题"/>
    <w:basedOn w:val="21"/>
    <w:next w:val="21"/>
    <w:qFormat/>
    <w:uiPriority w:val="99"/>
    <w:pPr>
      <w:widowControl/>
      <w:tabs>
        <w:tab w:val="left" w:pos="6000"/>
        <w:tab w:val="left" w:pos="7680"/>
      </w:tabs>
      <w:adjustRightInd/>
      <w:spacing w:line="360" w:lineRule="auto"/>
      <w:ind w:firstLine="422" w:firstLineChars="200"/>
      <w:jc w:val="left"/>
    </w:pPr>
    <w:rPr>
      <w:rFonts w:ascii="Garamond" w:hAnsi="Garamond"/>
      <w:bCs w:val="0"/>
      <w:color w:val="auto"/>
      <w:kern w:val="0"/>
      <w:sz w:val="21"/>
    </w:rPr>
  </w:style>
  <w:style w:type="paragraph" w:customStyle="1" w:styleId="260">
    <w:name w:val="XW标题2"/>
    <w:basedOn w:val="229"/>
    <w:next w:val="229"/>
    <w:qFormat/>
    <w:uiPriority w:val="99"/>
    <w:pPr>
      <w:snapToGrid/>
      <w:spacing w:before="300" w:line="360" w:lineRule="auto"/>
      <w:ind w:firstLine="0" w:firstLineChars="0"/>
      <w:outlineLvl w:val="1"/>
    </w:pPr>
    <w:rPr>
      <w:rFonts w:ascii="Arial" w:hAnsi="Arial" w:eastAsia="黑体"/>
      <w:sz w:val="32"/>
      <w:szCs w:val="20"/>
    </w:rPr>
  </w:style>
  <w:style w:type="paragraph" w:customStyle="1" w:styleId="261">
    <w:name w:val="奇页脚样式"/>
    <w:basedOn w:val="33"/>
    <w:qFormat/>
    <w:uiPriority w:val="99"/>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smallCaps/>
      <w:spacing w:val="15"/>
      <w:kern w:val="0"/>
      <w:sz w:val="24"/>
    </w:rPr>
  </w:style>
  <w:style w:type="paragraph" w:customStyle="1" w:styleId="262">
    <w:name w:val="XW标题4"/>
    <w:basedOn w:val="229"/>
    <w:next w:val="229"/>
    <w:qFormat/>
    <w:uiPriority w:val="99"/>
    <w:pPr>
      <w:snapToGrid/>
      <w:spacing w:before="200" w:line="360" w:lineRule="auto"/>
      <w:ind w:firstLine="0" w:firstLineChars="0"/>
      <w:outlineLvl w:val="3"/>
    </w:pPr>
    <w:rPr>
      <w:rFonts w:hAnsi="宋体" w:eastAsia="仿宋_GB2312"/>
      <w:b/>
      <w:sz w:val="28"/>
      <w:szCs w:val="20"/>
    </w:rPr>
  </w:style>
  <w:style w:type="paragraph" w:customStyle="1" w:styleId="263">
    <w:name w:val="XW表名"/>
    <w:basedOn w:val="3"/>
    <w:qFormat/>
    <w:uiPriority w:val="99"/>
    <w:pPr>
      <w:keepNext w:val="0"/>
      <w:keepLines w:val="0"/>
      <w:adjustRightInd w:val="0"/>
      <w:spacing w:before="300" w:after="80"/>
      <w:outlineLvl w:val="9"/>
    </w:pPr>
    <w:rPr>
      <w:rFonts w:eastAsia="黑体"/>
      <w:b w:val="0"/>
      <w:spacing w:val="0"/>
      <w:sz w:val="24"/>
    </w:rPr>
  </w:style>
  <w:style w:type="paragraph" w:customStyle="1" w:styleId="264">
    <w:name w:val="XW表内文字"/>
    <w:basedOn w:val="1"/>
    <w:qFormat/>
    <w:uiPriority w:val="99"/>
    <w:pPr>
      <w:adjustRightInd w:val="0"/>
      <w:spacing w:before="60" w:after="60" w:line="300" w:lineRule="exact"/>
      <w:ind w:firstLine="422" w:firstLineChars="200"/>
      <w:jc w:val="center"/>
    </w:pPr>
    <w:rPr>
      <w:rFonts w:hAnsi="宋体"/>
      <w:kern w:val="0"/>
    </w:rPr>
  </w:style>
  <w:style w:type="paragraph" w:customStyle="1" w:styleId="265">
    <w:name w:val="XW图名表名"/>
    <w:basedOn w:val="1"/>
    <w:qFormat/>
    <w:uiPriority w:val="99"/>
    <w:pPr>
      <w:adjustRightInd w:val="0"/>
      <w:spacing w:before="120" w:after="60"/>
      <w:ind w:firstLine="422" w:firstLineChars="200"/>
      <w:jc w:val="center"/>
    </w:pPr>
    <w:rPr>
      <w:rFonts w:hAnsi="宋体" w:eastAsia="黑体"/>
      <w:kern w:val="0"/>
      <w:sz w:val="24"/>
    </w:rPr>
  </w:style>
  <w:style w:type="paragraph" w:customStyle="1" w:styleId="266">
    <w:name w:val="正文2"/>
    <w:basedOn w:val="1"/>
    <w:next w:val="1"/>
    <w:qFormat/>
    <w:uiPriority w:val="99"/>
    <w:pPr>
      <w:tabs>
        <w:tab w:val="left" w:pos="4025"/>
      </w:tabs>
      <w:spacing w:line="360" w:lineRule="auto"/>
      <w:ind w:left="4025" w:hanging="425" w:firstLineChars="200"/>
    </w:pPr>
    <w:rPr>
      <w:rFonts w:hAnsi="宋体"/>
      <w:sz w:val="24"/>
    </w:rPr>
  </w:style>
  <w:style w:type="paragraph" w:customStyle="1" w:styleId="267">
    <w:name w:val="目录"/>
    <w:basedOn w:val="1"/>
    <w:qFormat/>
    <w:uiPriority w:val="99"/>
    <w:pPr>
      <w:spacing w:before="240" w:after="600" w:line="560" w:lineRule="exact"/>
      <w:jc w:val="center"/>
    </w:pPr>
    <w:rPr>
      <w:rFonts w:eastAsia="黑体"/>
      <w:sz w:val="32"/>
      <w:szCs w:val="32"/>
    </w:rPr>
  </w:style>
  <w:style w:type="paragraph" w:customStyle="1" w:styleId="268">
    <w:name w:val="简单回函地址"/>
    <w:basedOn w:val="1"/>
    <w:qFormat/>
    <w:uiPriority w:val="99"/>
    <w:rPr>
      <w:szCs w:val="24"/>
    </w:rPr>
  </w:style>
  <w:style w:type="paragraph" w:customStyle="1" w:styleId="269">
    <w:name w:val="条款正文（三级标题）"/>
    <w:basedOn w:val="6"/>
    <w:qFormat/>
    <w:uiPriority w:val="99"/>
    <w:pPr>
      <w:keepNext w:val="0"/>
      <w:keepLines w:val="0"/>
      <w:tabs>
        <w:tab w:val="left" w:pos="720"/>
      </w:tabs>
      <w:autoSpaceDE w:val="0"/>
      <w:autoSpaceDN w:val="0"/>
      <w:adjustRightInd w:val="0"/>
      <w:spacing w:before="0" w:after="0" w:line="360" w:lineRule="auto"/>
      <w:ind w:firstLine="416" w:firstLineChars="198"/>
    </w:pPr>
    <w:rPr>
      <w:rFonts w:ascii="Times New Roman"/>
      <w:b w:val="0"/>
      <w:color w:val="000000"/>
      <w:kern w:val="24"/>
      <w:sz w:val="21"/>
    </w:rPr>
  </w:style>
  <w:style w:type="paragraph" w:customStyle="1" w:styleId="270">
    <w:name w:val="正文3"/>
    <w:basedOn w:val="1"/>
    <w:next w:val="1"/>
    <w:qFormat/>
    <w:uiPriority w:val="99"/>
    <w:pPr>
      <w:tabs>
        <w:tab w:val="left" w:pos="1276"/>
      </w:tabs>
      <w:autoSpaceDE w:val="0"/>
      <w:autoSpaceDN w:val="0"/>
      <w:adjustRightInd w:val="0"/>
      <w:spacing w:line="360" w:lineRule="auto"/>
      <w:ind w:left="1276" w:hanging="425" w:firstLineChars="200"/>
    </w:pPr>
    <w:rPr>
      <w:rFonts w:hAnsi="宋体"/>
      <w:spacing w:val="4"/>
      <w:sz w:val="24"/>
    </w:rPr>
  </w:style>
  <w:style w:type="paragraph" w:customStyle="1" w:styleId="271">
    <w:name w:val="标题一"/>
    <w:basedOn w:val="1"/>
    <w:qFormat/>
    <w:uiPriority w:val="99"/>
    <w:rPr>
      <w:b/>
      <w:sz w:val="30"/>
      <w:szCs w:val="24"/>
    </w:rPr>
  </w:style>
  <w:style w:type="character" w:customStyle="1" w:styleId="272">
    <w:name w:val="标题 1 Char1"/>
    <w:qFormat/>
    <w:uiPriority w:val="0"/>
    <w:rPr>
      <w:rFonts w:eastAsia="宋体"/>
      <w:b/>
      <w:bCs/>
      <w:kern w:val="44"/>
      <w:sz w:val="44"/>
      <w:szCs w:val="44"/>
      <w:lang w:val="en-US" w:eastAsia="zh-CN" w:bidi="ar-SA"/>
    </w:rPr>
  </w:style>
  <w:style w:type="character" w:customStyle="1" w:styleId="273">
    <w:name w:val="question-title2"/>
    <w:basedOn w:val="55"/>
    <w:qFormat/>
    <w:uiPriority w:val="0"/>
  </w:style>
  <w:style w:type="paragraph" w:customStyle="1" w:styleId="274">
    <w:name w:val="Char Char Char Char Char Char1 Char1"/>
    <w:basedOn w:val="1"/>
    <w:qFormat/>
    <w:uiPriority w:val="99"/>
    <w:pPr>
      <w:ind w:left="510"/>
    </w:pPr>
    <w:rPr>
      <w:szCs w:val="24"/>
    </w:rPr>
  </w:style>
  <w:style w:type="paragraph" w:customStyle="1" w:styleId="275">
    <w:name w:val="Char Char Char Char Char Char Char"/>
    <w:basedOn w:val="1"/>
    <w:next w:val="2"/>
    <w:qFormat/>
    <w:uiPriority w:val="99"/>
    <w:rPr>
      <w:sz w:val="28"/>
      <w:szCs w:val="28"/>
    </w:rPr>
  </w:style>
  <w:style w:type="paragraph" w:customStyle="1" w:styleId="276">
    <w:name w:val="Char Char Char Char Char Char"/>
    <w:basedOn w:val="1"/>
    <w:next w:val="2"/>
    <w:qFormat/>
    <w:uiPriority w:val="99"/>
    <w:rPr>
      <w:szCs w:val="24"/>
    </w:rPr>
  </w:style>
  <w:style w:type="paragraph" w:customStyle="1" w:styleId="277">
    <w:name w:val="正文4"/>
    <w:qFormat/>
    <w:uiPriority w:val="99"/>
    <w:pPr>
      <w:jc w:val="both"/>
    </w:pPr>
    <w:rPr>
      <w:rFonts w:ascii="Times New Roman" w:hAnsi="Times New Roman" w:eastAsia="宋体" w:cs="Times New Roman"/>
      <w:kern w:val="2"/>
      <w:sz w:val="21"/>
      <w:szCs w:val="21"/>
      <w:lang w:val="en-US" w:eastAsia="zh-CN" w:bidi="ar-SA"/>
    </w:rPr>
  </w:style>
  <w:style w:type="paragraph" w:customStyle="1" w:styleId="278">
    <w:name w:val="Char Char Char Char Char Char1 Char Char Char Char Char Char Char Char Char Char Char Char Char"/>
    <w:basedOn w:val="1"/>
    <w:qFormat/>
    <w:uiPriority w:val="99"/>
    <w:rPr>
      <w:szCs w:val="24"/>
    </w:rPr>
  </w:style>
  <w:style w:type="character" w:customStyle="1" w:styleId="279">
    <w:name w:val="正文文本 Char1"/>
    <w:qFormat/>
    <w:uiPriority w:val="0"/>
    <w:rPr>
      <w:kern w:val="2"/>
      <w:sz w:val="21"/>
      <w:szCs w:val="22"/>
    </w:rPr>
  </w:style>
  <w:style w:type="character" w:customStyle="1" w:styleId="280">
    <w:name w:val="明显强调1"/>
    <w:qFormat/>
    <w:uiPriority w:val="0"/>
    <w:rPr>
      <w:b/>
      <w:bCs/>
      <w:i/>
      <w:iCs/>
      <w:color w:val="4F81BD"/>
    </w:rPr>
  </w:style>
  <w:style w:type="character" w:customStyle="1" w:styleId="281">
    <w:name w:val="批注主题 Char1"/>
    <w:qFormat/>
    <w:uiPriority w:val="0"/>
    <w:rPr>
      <w:b/>
      <w:bCs/>
      <w:kern w:val="2"/>
      <w:sz w:val="21"/>
      <w:szCs w:val="22"/>
    </w:rPr>
  </w:style>
  <w:style w:type="character" w:customStyle="1" w:styleId="282">
    <w:name w:val="批注框文本 Char1"/>
    <w:qFormat/>
    <w:uiPriority w:val="0"/>
    <w:rPr>
      <w:kern w:val="2"/>
      <w:sz w:val="18"/>
      <w:szCs w:val="18"/>
    </w:rPr>
  </w:style>
  <w:style w:type="character" w:customStyle="1" w:styleId="283">
    <w:name w:val="书籍标题1"/>
    <w:qFormat/>
    <w:uiPriority w:val="0"/>
    <w:rPr>
      <w:b/>
      <w:bCs/>
      <w:smallCaps/>
      <w:spacing w:val="5"/>
    </w:rPr>
  </w:style>
  <w:style w:type="character" w:customStyle="1" w:styleId="284">
    <w:name w:val="副标题 字符"/>
    <w:link w:val="37"/>
    <w:qFormat/>
    <w:uiPriority w:val="99"/>
    <w:rPr>
      <w:rFonts w:ascii="Cambria" w:hAnsi="Cambria"/>
      <w:b/>
      <w:bCs/>
      <w:kern w:val="28"/>
      <w:sz w:val="32"/>
      <w:szCs w:val="32"/>
    </w:rPr>
  </w:style>
  <w:style w:type="character" w:customStyle="1" w:styleId="285">
    <w:name w:val="副标题 Char1"/>
    <w:basedOn w:val="55"/>
    <w:qFormat/>
    <w:uiPriority w:val="0"/>
    <w:rPr>
      <w:rFonts w:asciiTheme="majorHAnsi" w:hAnsiTheme="majorHAnsi" w:cstheme="majorBidi"/>
      <w:b/>
      <w:bCs/>
      <w:kern w:val="28"/>
      <w:sz w:val="32"/>
      <w:szCs w:val="32"/>
    </w:rPr>
  </w:style>
  <w:style w:type="character" w:customStyle="1" w:styleId="286">
    <w:name w:val="批注文字 Char Char"/>
    <w:qFormat/>
    <w:uiPriority w:val="0"/>
    <w:rPr>
      <w:rFonts w:ascii="宋体" w:hAnsi="Times New Roman" w:eastAsia="宋体" w:cs="Times New Roman"/>
      <w:sz w:val="28"/>
      <w:szCs w:val="20"/>
    </w:rPr>
  </w:style>
  <w:style w:type="character" w:customStyle="1" w:styleId="287">
    <w:name w:val="不明显强调1"/>
    <w:qFormat/>
    <w:uiPriority w:val="0"/>
    <w:rPr>
      <w:i/>
      <w:iCs/>
      <w:color w:val="808080"/>
    </w:rPr>
  </w:style>
  <w:style w:type="character" w:customStyle="1" w:styleId="288">
    <w:name w:val="不明显参考1"/>
    <w:qFormat/>
    <w:uiPriority w:val="0"/>
    <w:rPr>
      <w:smallCaps/>
      <w:color w:val="C0504D"/>
      <w:u w:val="single"/>
    </w:rPr>
  </w:style>
  <w:style w:type="character" w:customStyle="1" w:styleId="289">
    <w:name w:val="明显参考1"/>
    <w:qFormat/>
    <w:uiPriority w:val="0"/>
    <w:rPr>
      <w:b/>
      <w:bCs/>
      <w:smallCaps/>
      <w:color w:val="C0504D"/>
      <w:spacing w:val="5"/>
      <w:u w:val="single"/>
    </w:rPr>
  </w:style>
  <w:style w:type="character" w:customStyle="1" w:styleId="290">
    <w:name w:val="标题5 Char Char"/>
    <w:link w:val="291"/>
    <w:qFormat/>
    <w:uiPriority w:val="0"/>
    <w:rPr>
      <w:rFonts w:ascii="Arial" w:hAnsi="Arial"/>
      <w:b/>
      <w:bCs/>
      <w:sz w:val="24"/>
      <w:szCs w:val="32"/>
    </w:rPr>
  </w:style>
  <w:style w:type="paragraph" w:customStyle="1" w:styleId="291">
    <w:name w:val="标题5"/>
    <w:basedOn w:val="6"/>
    <w:link w:val="290"/>
    <w:qFormat/>
    <w:uiPriority w:val="0"/>
    <w:pPr>
      <w:spacing w:before="260" w:after="260" w:line="413" w:lineRule="auto"/>
      <w:ind w:firstLine="0"/>
    </w:pPr>
    <w:rPr>
      <w:rFonts w:ascii="Arial" w:hAnsi="Arial"/>
      <w:bCs/>
      <w:kern w:val="0"/>
      <w:szCs w:val="32"/>
    </w:rPr>
  </w:style>
  <w:style w:type="character" w:customStyle="1" w:styleId="292">
    <w:name w:val="明显引用 字符"/>
    <w:link w:val="293"/>
    <w:qFormat/>
    <w:uiPriority w:val="99"/>
    <w:rPr>
      <w:b/>
      <w:bCs/>
      <w:i/>
      <w:iCs/>
      <w:color w:val="4F81BD"/>
    </w:rPr>
  </w:style>
  <w:style w:type="paragraph" w:styleId="293">
    <w:name w:val="Intense Quote"/>
    <w:basedOn w:val="1"/>
    <w:next w:val="1"/>
    <w:link w:val="292"/>
    <w:qFormat/>
    <w:uiPriority w:val="99"/>
    <w:pPr>
      <w:pBdr>
        <w:bottom w:val="single" w:color="4F81BD" w:sz="4" w:space="4"/>
      </w:pBdr>
      <w:spacing w:before="200" w:after="280"/>
      <w:ind w:left="936" w:right="936"/>
    </w:pPr>
    <w:rPr>
      <w:b/>
      <w:bCs/>
      <w:i/>
      <w:iCs/>
      <w:color w:val="4F81BD"/>
      <w:kern w:val="0"/>
      <w:sz w:val="20"/>
    </w:rPr>
  </w:style>
  <w:style w:type="character" w:customStyle="1" w:styleId="294">
    <w:name w:val="明显引用 Char1"/>
    <w:basedOn w:val="55"/>
    <w:qFormat/>
    <w:uiPriority w:val="0"/>
    <w:rPr>
      <w:b/>
      <w:bCs/>
      <w:i/>
      <w:iCs/>
      <w:color w:val="4F81BD" w:themeColor="accent1"/>
      <w:kern w:val="2"/>
      <w:sz w:val="21"/>
      <w14:textFill>
        <w14:solidFill>
          <w14:schemeClr w14:val="accent1"/>
        </w14:solidFill>
      </w14:textFill>
    </w:rPr>
  </w:style>
  <w:style w:type="character" w:customStyle="1" w:styleId="295">
    <w:name w:val="日期 Char1"/>
    <w:qFormat/>
    <w:uiPriority w:val="0"/>
    <w:rPr>
      <w:kern w:val="2"/>
      <w:sz w:val="21"/>
      <w:szCs w:val="22"/>
    </w:rPr>
  </w:style>
  <w:style w:type="character" w:customStyle="1" w:styleId="296">
    <w:name w:val="文档结构图 Char1"/>
    <w:qFormat/>
    <w:uiPriority w:val="0"/>
    <w:rPr>
      <w:rFonts w:ascii="宋体"/>
      <w:kern w:val="2"/>
      <w:sz w:val="18"/>
      <w:szCs w:val="18"/>
    </w:rPr>
  </w:style>
  <w:style w:type="character" w:customStyle="1" w:styleId="297">
    <w:name w:val="textcontents"/>
    <w:qFormat/>
    <w:uiPriority w:val="0"/>
    <w:rPr>
      <w:rFonts w:cs="Times New Roman"/>
    </w:rPr>
  </w:style>
  <w:style w:type="character" w:customStyle="1" w:styleId="298">
    <w:name w:val="引用 字符"/>
    <w:link w:val="299"/>
    <w:qFormat/>
    <w:uiPriority w:val="99"/>
    <w:rPr>
      <w:i/>
      <w:iCs/>
      <w:color w:val="000000"/>
    </w:rPr>
  </w:style>
  <w:style w:type="paragraph" w:styleId="299">
    <w:name w:val="Quote"/>
    <w:basedOn w:val="1"/>
    <w:next w:val="1"/>
    <w:link w:val="298"/>
    <w:qFormat/>
    <w:uiPriority w:val="99"/>
    <w:rPr>
      <w:i/>
      <w:iCs/>
      <w:color w:val="000000"/>
      <w:kern w:val="0"/>
      <w:sz w:val="20"/>
    </w:rPr>
  </w:style>
  <w:style w:type="character" w:customStyle="1" w:styleId="300">
    <w:name w:val="引用 Char1"/>
    <w:basedOn w:val="55"/>
    <w:qFormat/>
    <w:uiPriority w:val="0"/>
    <w:rPr>
      <w:i/>
      <w:iCs/>
      <w:color w:val="000000" w:themeColor="text1"/>
      <w:kern w:val="2"/>
      <w:sz w:val="21"/>
      <w14:textFill>
        <w14:solidFill>
          <w14:schemeClr w14:val="tx1"/>
        </w14:solidFill>
      </w14:textFill>
    </w:rPr>
  </w:style>
  <w:style w:type="character" w:customStyle="1" w:styleId="301">
    <w:name w:val="Char Char Char1"/>
    <w:qFormat/>
    <w:uiPriority w:val="0"/>
    <w:rPr>
      <w:rFonts w:ascii="Verdana" w:hAnsi="Verdana" w:eastAsia="黑体"/>
      <w:lang w:eastAsia="en-US"/>
    </w:rPr>
  </w:style>
  <w:style w:type="character" w:customStyle="1" w:styleId="302">
    <w:name w:val="副标题 Char2"/>
    <w:basedOn w:val="55"/>
    <w:qFormat/>
    <w:uiPriority w:val="0"/>
    <w:rPr>
      <w:rFonts w:ascii="Cambria" w:hAnsi="Cambria" w:cs="Times New Roman"/>
      <w:b/>
      <w:bCs/>
      <w:kern w:val="28"/>
      <w:sz w:val="32"/>
      <w:szCs w:val="32"/>
    </w:rPr>
  </w:style>
  <w:style w:type="character" w:customStyle="1" w:styleId="303">
    <w:name w:val="明显引用 Char2"/>
    <w:basedOn w:val="55"/>
    <w:qFormat/>
    <w:uiPriority w:val="30"/>
    <w:rPr>
      <w:b/>
      <w:bCs/>
      <w:i/>
      <w:iCs/>
      <w:color w:val="4F81BD"/>
    </w:rPr>
  </w:style>
  <w:style w:type="paragraph" w:styleId="30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5">
    <w:name w:val="Char Char Char Char Char Char Char1"/>
    <w:basedOn w:val="1"/>
    <w:qFormat/>
    <w:uiPriority w:val="99"/>
    <w:pPr>
      <w:jc w:val="left"/>
    </w:pPr>
    <w:rPr>
      <w:rFonts w:ascii="宋体" w:hAnsi="宋体" w:cs="宋体"/>
      <w:kern w:val="0"/>
      <w:sz w:val="24"/>
      <w:szCs w:val="24"/>
    </w:rPr>
  </w:style>
  <w:style w:type="character" w:customStyle="1" w:styleId="306">
    <w:name w:val="引用 Char2"/>
    <w:basedOn w:val="55"/>
    <w:qFormat/>
    <w:uiPriority w:val="29"/>
    <w:rPr>
      <w:i/>
      <w:iCs/>
      <w:color w:val="000000"/>
    </w:rPr>
  </w:style>
  <w:style w:type="paragraph" w:customStyle="1" w:styleId="307">
    <w:name w:val="Char11"/>
    <w:basedOn w:val="1"/>
    <w:qFormat/>
    <w:uiPriority w:val="99"/>
    <w:rPr>
      <w:rFonts w:ascii="仿宋_GB2312" w:eastAsia="仿宋_GB2312"/>
      <w:b/>
      <w:sz w:val="32"/>
      <w:szCs w:val="32"/>
    </w:rPr>
  </w:style>
  <w:style w:type="paragraph" w:customStyle="1" w:styleId="308">
    <w:name w:val="Char12"/>
    <w:basedOn w:val="1"/>
    <w:qFormat/>
    <w:uiPriority w:val="99"/>
    <w:pPr>
      <w:pageBreakBefore/>
      <w:spacing w:line="360" w:lineRule="auto"/>
    </w:pPr>
    <w:rPr>
      <w:sz w:val="28"/>
    </w:rPr>
  </w:style>
  <w:style w:type="paragraph" w:customStyle="1" w:styleId="309">
    <w:name w:val="flNote"/>
    <w:basedOn w:val="1"/>
    <w:qFormat/>
    <w:uiPriority w:val="99"/>
    <w:pPr>
      <w:adjustRightInd w:val="0"/>
      <w:spacing w:before="320" w:after="160" w:line="360" w:lineRule="atLeast"/>
      <w:jc w:val="center"/>
    </w:pPr>
    <w:rPr>
      <w:rFonts w:ascii="Arial" w:eastAsia="黑体"/>
      <w:kern w:val="0"/>
      <w:sz w:val="30"/>
    </w:rPr>
  </w:style>
  <w:style w:type="paragraph" w:customStyle="1" w:styleId="310">
    <w:name w:val="空半行"/>
    <w:basedOn w:val="1"/>
    <w:qFormat/>
    <w:uiPriority w:val="99"/>
    <w:pPr>
      <w:adjustRightInd w:val="0"/>
      <w:spacing w:line="120" w:lineRule="exact"/>
    </w:pPr>
    <w:rPr>
      <w:rFonts w:eastAsia="仿宋_GB2312"/>
      <w:color w:val="FFFFFF"/>
      <w:kern w:val="0"/>
      <w:sz w:val="30"/>
    </w:rPr>
  </w:style>
  <w:style w:type="character" w:customStyle="1" w:styleId="311">
    <w:name w:val="标题 Char1"/>
    <w:basedOn w:val="55"/>
    <w:qFormat/>
    <w:locked/>
    <w:uiPriority w:val="0"/>
    <w:rPr>
      <w:rFonts w:ascii="Cambria" w:hAnsi="Cambria"/>
      <w:b/>
      <w:bCs/>
      <w:kern w:val="2"/>
      <w:sz w:val="32"/>
      <w:szCs w:val="32"/>
    </w:rPr>
  </w:style>
  <w:style w:type="character" w:customStyle="1" w:styleId="312">
    <w:name w:val="正文文本 Char2"/>
    <w:basedOn w:val="55"/>
    <w:qFormat/>
    <w:locked/>
    <w:uiPriority w:val="0"/>
  </w:style>
  <w:style w:type="paragraph" w:customStyle="1" w:styleId="313">
    <w:name w:val="Normal_5"/>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14">
    <w:name w:val="标题 1 字符1"/>
    <w:basedOn w:val="55"/>
    <w:qFormat/>
    <w:uiPriority w:val="0"/>
    <w:rPr>
      <w:b/>
      <w:bCs/>
      <w:kern w:val="44"/>
      <w:sz w:val="44"/>
      <w:szCs w:val="44"/>
    </w:rPr>
  </w:style>
  <w:style w:type="paragraph" w:customStyle="1" w:styleId="31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16">
    <w:name w:val="副标题 字符1"/>
    <w:basedOn w:val="55"/>
    <w:qFormat/>
    <w:uiPriority w:val="11"/>
    <w:rPr>
      <w:rFonts w:hint="default" w:asciiTheme="minorHAnsi" w:hAnsiTheme="minorHAnsi" w:eastAsiaTheme="minorEastAsia" w:cstheme="minorBidi"/>
      <w:b/>
      <w:bCs/>
      <w:kern w:val="28"/>
      <w:sz w:val="32"/>
      <w:szCs w:val="32"/>
    </w:rPr>
  </w:style>
  <w:style w:type="character" w:customStyle="1" w:styleId="317">
    <w:name w:val="明显引用 字符1"/>
    <w:basedOn w:val="55"/>
    <w:qFormat/>
    <w:uiPriority w:val="30"/>
    <w:rPr>
      <w:i/>
      <w:iCs/>
      <w:color w:val="4F81BD" w:themeColor="accent1"/>
      <w14:textFill>
        <w14:solidFill>
          <w14:schemeClr w14:val="accent1"/>
        </w14:solidFill>
      </w14:textFill>
    </w:rPr>
  </w:style>
  <w:style w:type="character" w:customStyle="1" w:styleId="318">
    <w:name w:val="引用 字符1"/>
    <w:basedOn w:val="55"/>
    <w:qFormat/>
    <w:uiPriority w:val="29"/>
    <w:rPr>
      <w:i/>
      <w:iCs/>
      <w:color w:val="404040" w:themeColor="text1" w:themeTint="BF"/>
      <w14:textFill>
        <w14:solidFill>
          <w14:schemeClr w14:val="tx1">
            <w14:lumMod w14:val="75000"/>
            <w14:lumOff w14:val="25000"/>
          </w14:schemeClr>
        </w14:solidFill>
      </w14:textFill>
    </w:rPr>
  </w:style>
  <w:style w:type="paragraph" w:customStyle="1" w:styleId="319">
    <w:name w:val="正文_5_0"/>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320">
    <w:name w:val="Normal_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1">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2">
    <w:name w:val="10"/>
    <w:basedOn w:val="55"/>
    <w:qFormat/>
    <w:uiPriority w:val="0"/>
    <w:rPr>
      <w:rFonts w:hint="default" w:ascii="Times New Roman" w:hAnsi="Times New Roman" w:cs="Times New Roman"/>
    </w:rPr>
  </w:style>
  <w:style w:type="character" w:customStyle="1" w:styleId="323">
    <w:name w:val="p0 Char"/>
    <w:link w:val="101"/>
    <w:qFormat/>
    <w:uiPriority w:val="0"/>
    <w:rPr>
      <w:sz w:val="21"/>
      <w:szCs w:val="21"/>
    </w:rPr>
  </w:style>
  <w:style w:type="character" w:customStyle="1" w:styleId="324">
    <w:name w:val="未处理的提及1"/>
    <w:basedOn w:val="55"/>
    <w:semiHidden/>
    <w:unhideWhenUsed/>
    <w:qFormat/>
    <w:uiPriority w:val="99"/>
    <w:rPr>
      <w:color w:val="605E5C"/>
      <w:shd w:val="clear" w:color="auto" w:fill="E1DFDD"/>
    </w:rPr>
  </w:style>
  <w:style w:type="character" w:customStyle="1" w:styleId="325">
    <w:name w:val="Char Char8"/>
    <w:qFormat/>
    <w:uiPriority w:val="0"/>
    <w:rPr>
      <w:rFonts w:hint="default" w:ascii="Arial" w:hAnsi="Arial" w:eastAsia="黑体" w:cs="Arial"/>
      <w:b/>
      <w:bCs/>
      <w:kern w:val="2"/>
      <w:sz w:val="32"/>
      <w:szCs w:val="32"/>
      <w:lang w:val="en-US" w:eastAsia="zh-CN" w:bidi="ar-SA"/>
    </w:rPr>
  </w:style>
  <w:style w:type="paragraph" w:customStyle="1" w:styleId="326">
    <w:name w:val="Table Paragraph"/>
    <w:basedOn w:val="1"/>
    <w:qFormat/>
    <w:uiPriority w:val="1"/>
    <w:pPr>
      <w:autoSpaceDE w:val="0"/>
      <w:autoSpaceDN w:val="0"/>
      <w:spacing w:before="2"/>
      <w:jc w:val="left"/>
    </w:pPr>
    <w:rPr>
      <w:rFonts w:ascii="宋体" w:hAnsi="宋体" w:cs="宋体"/>
      <w:kern w:val="0"/>
      <w:sz w:val="22"/>
      <w:szCs w:val="22"/>
      <w:lang w:eastAsia="en-US"/>
    </w:rPr>
  </w:style>
  <w:style w:type="character" w:customStyle="1" w:styleId="327">
    <w:name w:val="日期 字符1"/>
    <w:basedOn w:val="55"/>
    <w:semiHidden/>
    <w:qFormat/>
    <w:uiPriority w:val="99"/>
    <w:rPr>
      <w:rFonts w:ascii="Times New Roman" w:hAnsi="Times New Roman" w:eastAsia="宋体" w:cs="Times New Roman"/>
      <w:szCs w:val="20"/>
    </w:rPr>
  </w:style>
  <w:style w:type="character" w:customStyle="1" w:styleId="328">
    <w:name w:val="宏文本 字符1"/>
    <w:basedOn w:val="55"/>
    <w:semiHidden/>
    <w:qFormat/>
    <w:uiPriority w:val="99"/>
    <w:rPr>
      <w:rFonts w:ascii="Courier New" w:hAnsi="Courier New" w:eastAsia="宋体" w:cs="Courier New"/>
      <w:sz w:val="24"/>
      <w:szCs w:val="24"/>
    </w:rPr>
  </w:style>
  <w:style w:type="character" w:customStyle="1" w:styleId="329">
    <w:name w:val="正文文本首行缩进 2 字符1"/>
    <w:basedOn w:val="125"/>
    <w:semiHidden/>
    <w:qFormat/>
    <w:uiPriority w:val="99"/>
    <w:rPr>
      <w:rFonts w:ascii="Times New Roman" w:hAnsi="Times New Roman" w:eastAsia="宋体" w:cs="Times New Roman"/>
      <w:kern w:val="2"/>
      <w:sz w:val="21"/>
      <w:szCs w:val="20"/>
    </w:rPr>
  </w:style>
  <w:style w:type="character" w:customStyle="1" w:styleId="330">
    <w:name w:val="未处理的提及2"/>
    <w:basedOn w:val="55"/>
    <w:semiHidden/>
    <w:unhideWhenUsed/>
    <w:qFormat/>
    <w:uiPriority w:val="99"/>
    <w:rPr>
      <w:color w:val="605E5C"/>
      <w:shd w:val="clear" w:color="auto" w:fill="E1DFDD"/>
    </w:rPr>
  </w:style>
  <w:style w:type="table" w:customStyle="1" w:styleId="33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32">
    <w:name w:val="p16"/>
    <w:basedOn w:val="1"/>
    <w:qFormat/>
    <w:uiPriority w:val="0"/>
    <w:pPr>
      <w:widowControl/>
    </w:pPr>
    <w:rPr>
      <w:rFonts w:ascii="Calibri" w:hAnsi="Calibri" w:cs="宋体"/>
      <w:kern w:val="0"/>
      <w:szCs w:val="21"/>
    </w:rPr>
  </w:style>
  <w:style w:type="character" w:customStyle="1" w:styleId="333">
    <w:name w:val="正文文本缩进 字符1"/>
    <w:basedOn w:val="55"/>
    <w:qFormat/>
    <w:uiPriority w:val="0"/>
  </w:style>
  <w:style w:type="character" w:customStyle="1" w:styleId="334">
    <w:name w:val="未处理的提及3"/>
    <w:basedOn w:val="55"/>
    <w:semiHidden/>
    <w:unhideWhenUsed/>
    <w:qFormat/>
    <w:uiPriority w:val="99"/>
    <w:rPr>
      <w:color w:val="605E5C"/>
      <w:shd w:val="clear" w:color="auto" w:fill="E1DFDD"/>
    </w:rPr>
  </w:style>
  <w:style w:type="paragraph" w:customStyle="1" w:styleId="335">
    <w:name w:val="tiaonoa"/>
    <w:basedOn w:val="1"/>
    <w:qFormat/>
    <w:uiPriority w:val="0"/>
    <w:pPr>
      <w:widowControl/>
      <w:spacing w:before="100" w:beforeAutospacing="1" w:after="100" w:afterAutospacing="1"/>
      <w:jc w:val="left"/>
    </w:pPr>
    <w:rPr>
      <w:rFonts w:ascii="宋体" w:hAnsi="宋体" w:cs="宋体"/>
      <w:b/>
      <w:bCs/>
      <w:smallCaps/>
      <w:color w:val="000000"/>
      <w:kern w:val="0"/>
      <w:sz w:val="18"/>
      <w:szCs w:val="18"/>
    </w:rPr>
  </w:style>
  <w:style w:type="paragraph" w:customStyle="1" w:styleId="336">
    <w:name w:val="节标题"/>
    <w:basedOn w:val="1"/>
    <w:qFormat/>
    <w:uiPriority w:val="0"/>
    <w:pPr>
      <w:widowControl/>
      <w:spacing w:line="289" w:lineRule="atLeast"/>
      <w:jc w:val="center"/>
      <w:textAlignment w:val="baseline"/>
    </w:pPr>
    <w:rPr>
      <w:color w:val="000000"/>
      <w:kern w:val="0"/>
      <w:sz w:val="28"/>
      <w:u w:color="00000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55</Pages>
  <Words>2369</Words>
  <Characters>3030</Characters>
  <Lines>289</Lines>
  <Paragraphs>81</Paragraphs>
  <TotalTime>10</TotalTime>
  <ScaleCrop>false</ScaleCrop>
  <LinksUpToDate>false</LinksUpToDate>
  <CharactersWithSpaces>3097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2023-05-12T01:32:00Z</dcterms:created>
  <dc:creator>Administrator</dc:creator>
  <cp:lastModifiedBy>admin</cp:lastModifiedBy>
  <cp:lastPrinted>2024-12-05T06:34:00Z</cp:lastPrinted>
  <dcterms:modified xsi:type="dcterms:W3CDTF">2024-12-17T09:23:34Z</dcterms:modified>
  <dc:title>云南铭漾</dc:title>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561F78E3F6B94451BF014845F6E77945_13</vt:lpwstr>
  </property>
</Properties>
</file>