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8A0986">
      <w:pPr>
        <w:spacing w:line="276" w:lineRule="auto"/>
        <w:jc w:val="center"/>
        <w:rPr>
          <w:rFonts w:hint="eastAsia" w:asciiTheme="minorEastAsia" w:hAnsiTheme="minorEastAsia" w:eastAsiaTheme="minorEastAsia"/>
          <w:b/>
          <w:bCs/>
          <w:color w:val="auto"/>
          <w:sz w:val="44"/>
          <w:szCs w:val="44"/>
          <w:highlight w:val="none"/>
        </w:rPr>
      </w:pPr>
      <w:bookmarkStart w:id="0" w:name="_Toc458763736"/>
      <w:bookmarkStart w:id="1" w:name="_Toc37603093"/>
      <w:bookmarkStart w:id="2" w:name="_Hlk521320756"/>
      <w:r>
        <w:rPr>
          <w:rFonts w:hint="eastAsia" w:asciiTheme="minorEastAsia" w:hAnsiTheme="minorEastAsia" w:eastAsiaTheme="minorEastAsia"/>
          <w:b/>
          <w:bCs/>
          <w:color w:val="auto"/>
          <w:sz w:val="44"/>
          <w:szCs w:val="44"/>
          <w:highlight w:val="none"/>
        </w:rPr>
        <w:t>昆明市第二十四中学理化生实验室升级改造</w:t>
      </w:r>
    </w:p>
    <w:p w14:paraId="439C2EA6">
      <w:pPr>
        <w:spacing w:line="276" w:lineRule="auto"/>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b/>
          <w:bCs/>
          <w:color w:val="auto"/>
          <w:sz w:val="44"/>
          <w:szCs w:val="44"/>
          <w:highlight w:val="none"/>
        </w:rPr>
        <w:t>设备采购项目</w:t>
      </w:r>
    </w:p>
    <w:p w14:paraId="59B66F65">
      <w:pPr>
        <w:spacing w:line="360" w:lineRule="auto"/>
        <w:jc w:val="left"/>
        <w:rPr>
          <w:rFonts w:hint="eastAsia" w:asciiTheme="minorEastAsia" w:hAnsiTheme="minorEastAsia" w:eastAsiaTheme="minorEastAsia"/>
          <w:color w:val="auto"/>
          <w:sz w:val="24"/>
          <w:szCs w:val="24"/>
          <w:highlight w:val="none"/>
        </w:rPr>
      </w:pPr>
    </w:p>
    <w:p w14:paraId="46DC4E68">
      <w:pPr>
        <w:spacing w:line="360" w:lineRule="auto"/>
        <w:jc w:val="left"/>
        <w:rPr>
          <w:rFonts w:hint="eastAsia" w:asciiTheme="minorEastAsia" w:hAnsiTheme="minorEastAsia" w:eastAsiaTheme="minorEastAsia"/>
          <w:color w:val="auto"/>
          <w:sz w:val="24"/>
          <w:szCs w:val="24"/>
          <w:highlight w:val="none"/>
        </w:rPr>
      </w:pPr>
    </w:p>
    <w:p w14:paraId="0CB8C805">
      <w:pPr>
        <w:spacing w:line="360" w:lineRule="auto"/>
        <w:jc w:val="left"/>
        <w:rPr>
          <w:rFonts w:hint="eastAsia" w:asciiTheme="minorEastAsia" w:hAnsiTheme="minorEastAsia" w:eastAsiaTheme="minorEastAsia"/>
          <w:color w:val="auto"/>
          <w:sz w:val="24"/>
          <w:szCs w:val="24"/>
          <w:highlight w:val="none"/>
        </w:rPr>
      </w:pPr>
    </w:p>
    <w:p w14:paraId="27DE324C">
      <w:pPr>
        <w:spacing w:line="360" w:lineRule="auto"/>
        <w:jc w:val="left"/>
        <w:rPr>
          <w:rFonts w:hint="eastAsia" w:asciiTheme="minorEastAsia" w:hAnsiTheme="minorEastAsia" w:eastAsiaTheme="minorEastAsia"/>
          <w:color w:val="auto"/>
          <w:sz w:val="24"/>
          <w:szCs w:val="24"/>
          <w:highlight w:val="none"/>
        </w:rPr>
      </w:pPr>
    </w:p>
    <w:p w14:paraId="123C5638">
      <w:pPr>
        <w:spacing w:line="360" w:lineRule="auto"/>
        <w:jc w:val="left"/>
        <w:rPr>
          <w:rFonts w:hint="eastAsia" w:asciiTheme="minorEastAsia" w:hAnsiTheme="minorEastAsia" w:eastAsiaTheme="minorEastAsia"/>
          <w:color w:val="auto"/>
          <w:sz w:val="24"/>
          <w:szCs w:val="24"/>
          <w:highlight w:val="none"/>
        </w:rPr>
      </w:pPr>
    </w:p>
    <w:p w14:paraId="2FC45632">
      <w:pPr>
        <w:spacing w:line="360" w:lineRule="auto"/>
        <w:jc w:val="left"/>
        <w:rPr>
          <w:rFonts w:hint="eastAsia" w:asciiTheme="minorEastAsia" w:hAnsiTheme="minorEastAsia" w:eastAsiaTheme="minorEastAsia"/>
          <w:color w:val="auto"/>
          <w:sz w:val="24"/>
          <w:szCs w:val="24"/>
          <w:highlight w:val="none"/>
        </w:rPr>
      </w:pPr>
    </w:p>
    <w:p w14:paraId="1A2B8A51">
      <w:pPr>
        <w:spacing w:line="360" w:lineRule="auto"/>
        <w:jc w:val="left"/>
        <w:rPr>
          <w:rFonts w:hint="eastAsia" w:asciiTheme="minorEastAsia" w:hAnsiTheme="minorEastAsia" w:eastAsiaTheme="minorEastAsia"/>
          <w:color w:val="auto"/>
          <w:sz w:val="24"/>
          <w:szCs w:val="24"/>
          <w:highlight w:val="none"/>
        </w:rPr>
      </w:pPr>
    </w:p>
    <w:p w14:paraId="13660A37">
      <w:pPr>
        <w:spacing w:line="360" w:lineRule="auto"/>
        <w:jc w:val="left"/>
        <w:rPr>
          <w:rFonts w:hint="eastAsia" w:asciiTheme="minorEastAsia" w:hAnsiTheme="minorEastAsia" w:eastAsiaTheme="minorEastAsia"/>
          <w:color w:val="auto"/>
          <w:sz w:val="24"/>
          <w:szCs w:val="24"/>
          <w:highlight w:val="none"/>
        </w:rPr>
      </w:pPr>
    </w:p>
    <w:p w14:paraId="4CA289B7">
      <w:pPr>
        <w:pStyle w:val="28"/>
        <w:jc w:val="center"/>
        <w:rPr>
          <w:rFonts w:hint="eastAsia" w:asciiTheme="minorEastAsia" w:hAnsiTheme="minorEastAsia" w:eastAsiaTheme="minorEastAsia"/>
          <w:b/>
          <w:bCs/>
          <w:color w:val="auto"/>
          <w:sz w:val="72"/>
          <w:szCs w:val="72"/>
          <w:highlight w:val="none"/>
        </w:rPr>
      </w:pPr>
      <w:r>
        <w:rPr>
          <w:rFonts w:hint="eastAsia" w:asciiTheme="minorEastAsia" w:hAnsiTheme="minorEastAsia" w:eastAsiaTheme="minorEastAsia"/>
          <w:b/>
          <w:bCs/>
          <w:color w:val="auto"/>
          <w:sz w:val="72"/>
          <w:szCs w:val="72"/>
          <w:highlight w:val="none"/>
        </w:rPr>
        <w:t>采 购 文 件</w:t>
      </w:r>
    </w:p>
    <w:p w14:paraId="128A11FE">
      <w:pPr>
        <w:spacing w:before="120" w:beforeLines="50" w:line="360" w:lineRule="auto"/>
        <w:jc w:val="center"/>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项目编号：YNMY-2024-0184</w:t>
      </w:r>
    </w:p>
    <w:p w14:paraId="55E0EEF3">
      <w:pPr>
        <w:spacing w:line="360" w:lineRule="auto"/>
        <w:rPr>
          <w:rFonts w:hint="eastAsia" w:asciiTheme="minorEastAsia" w:hAnsiTheme="minorEastAsia" w:eastAsiaTheme="minorEastAsia"/>
          <w:b/>
          <w:color w:val="auto"/>
          <w:sz w:val="32"/>
          <w:szCs w:val="32"/>
          <w:highlight w:val="none"/>
        </w:rPr>
      </w:pPr>
    </w:p>
    <w:p w14:paraId="313BCA87">
      <w:pPr>
        <w:spacing w:line="360" w:lineRule="auto"/>
        <w:rPr>
          <w:rFonts w:hint="eastAsia" w:asciiTheme="minorEastAsia" w:hAnsiTheme="minorEastAsia" w:eastAsiaTheme="minorEastAsia"/>
          <w:color w:val="auto"/>
          <w:sz w:val="24"/>
          <w:szCs w:val="24"/>
          <w:highlight w:val="none"/>
        </w:rPr>
      </w:pPr>
    </w:p>
    <w:p w14:paraId="5DD5663F">
      <w:pPr>
        <w:tabs>
          <w:tab w:val="left" w:pos="5190"/>
        </w:tabs>
        <w:spacing w:line="360" w:lineRule="auto"/>
        <w:rPr>
          <w:rFonts w:hint="eastAsia" w:asciiTheme="minorEastAsia" w:hAnsiTheme="minorEastAsia" w:eastAsiaTheme="minorEastAsia"/>
          <w:color w:val="auto"/>
          <w:sz w:val="24"/>
          <w:szCs w:val="24"/>
          <w:highlight w:val="none"/>
        </w:rPr>
      </w:pPr>
    </w:p>
    <w:p w14:paraId="5EC06A7B">
      <w:pPr>
        <w:tabs>
          <w:tab w:val="left" w:pos="5190"/>
        </w:tabs>
        <w:spacing w:line="360" w:lineRule="auto"/>
        <w:rPr>
          <w:rFonts w:hint="eastAsia" w:asciiTheme="minorEastAsia" w:hAnsiTheme="minorEastAsia" w:eastAsiaTheme="minorEastAsia"/>
          <w:color w:val="auto"/>
          <w:sz w:val="24"/>
          <w:szCs w:val="24"/>
          <w:highlight w:val="none"/>
        </w:rPr>
      </w:pPr>
    </w:p>
    <w:p w14:paraId="16C1EA98">
      <w:pPr>
        <w:tabs>
          <w:tab w:val="left" w:pos="5190"/>
        </w:tabs>
        <w:spacing w:line="360" w:lineRule="auto"/>
        <w:rPr>
          <w:rFonts w:hint="eastAsia" w:asciiTheme="minorEastAsia" w:hAnsiTheme="minorEastAsia" w:eastAsiaTheme="minorEastAsia"/>
          <w:color w:val="auto"/>
          <w:sz w:val="24"/>
          <w:szCs w:val="24"/>
          <w:highlight w:val="none"/>
        </w:rPr>
      </w:pPr>
    </w:p>
    <w:p w14:paraId="28519100">
      <w:pPr>
        <w:tabs>
          <w:tab w:val="left" w:pos="5190"/>
        </w:tabs>
        <w:spacing w:line="360" w:lineRule="auto"/>
        <w:rPr>
          <w:rFonts w:hint="eastAsia" w:asciiTheme="minorEastAsia" w:hAnsiTheme="minorEastAsia" w:eastAsiaTheme="minorEastAsia"/>
          <w:color w:val="auto"/>
          <w:sz w:val="24"/>
          <w:szCs w:val="24"/>
          <w:highlight w:val="none"/>
        </w:rPr>
      </w:pPr>
    </w:p>
    <w:p w14:paraId="5C34874A">
      <w:pPr>
        <w:spacing w:line="360" w:lineRule="auto"/>
        <w:rPr>
          <w:color w:val="auto"/>
          <w:highlight w:val="none"/>
        </w:rPr>
      </w:pPr>
    </w:p>
    <w:p w14:paraId="6636F700">
      <w:pPr>
        <w:spacing w:line="360" w:lineRule="auto"/>
        <w:rPr>
          <w:color w:val="auto"/>
          <w:highlight w:val="none"/>
        </w:rPr>
      </w:pPr>
    </w:p>
    <w:p w14:paraId="65AEA206">
      <w:pPr>
        <w:spacing w:line="360" w:lineRule="auto"/>
        <w:rPr>
          <w:color w:val="auto"/>
          <w:highlight w:val="none"/>
        </w:rPr>
      </w:pPr>
    </w:p>
    <w:p w14:paraId="778AB703">
      <w:pPr>
        <w:spacing w:line="360" w:lineRule="auto"/>
        <w:rPr>
          <w:color w:val="auto"/>
          <w:highlight w:val="none"/>
        </w:rPr>
      </w:pPr>
    </w:p>
    <w:p w14:paraId="1F9BF171">
      <w:pPr>
        <w:spacing w:line="480" w:lineRule="auto"/>
        <w:ind w:firstLine="964" w:firstLineChars="300"/>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采购人：云南省昆明市第二十四中学</w:t>
      </w:r>
    </w:p>
    <w:p w14:paraId="3C8A3F90">
      <w:pPr>
        <w:spacing w:line="480" w:lineRule="auto"/>
        <w:ind w:firstLine="964" w:firstLineChars="300"/>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采购代理机构：云南铭漾工程技术咨询有限公司</w:t>
      </w:r>
    </w:p>
    <w:p w14:paraId="1EB5440B">
      <w:pPr>
        <w:ind w:firstLine="3213" w:firstLineChars="1000"/>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2024年11月</w:t>
      </w:r>
    </w:p>
    <w:p w14:paraId="2B000D79">
      <w:pPr>
        <w:rPr>
          <w:color w:val="auto"/>
          <w:highlight w:val="none"/>
        </w:rPr>
      </w:pPr>
    </w:p>
    <w:p w14:paraId="0305B510">
      <w:pPr>
        <w:rPr>
          <w:color w:val="auto"/>
          <w:highlight w:val="none"/>
        </w:rPr>
        <w:sectPr>
          <w:headerReference r:id="rId4" w:type="first"/>
          <w:headerReference r:id="rId3" w:type="even"/>
          <w:footerReference r:id="rId5" w:type="even"/>
          <w:pgSz w:w="11906" w:h="16838"/>
          <w:pgMar w:top="1440" w:right="1474" w:bottom="1440" w:left="1474" w:header="851" w:footer="851" w:gutter="0"/>
          <w:cols w:space="720" w:num="1"/>
          <w:docGrid w:linePitch="312" w:charSpace="0"/>
        </w:sectPr>
      </w:pPr>
    </w:p>
    <w:p w14:paraId="0D1875E2">
      <w:pPr>
        <w:pStyle w:val="42"/>
        <w:tabs>
          <w:tab w:val="right" w:leader="dot" w:pos="9736"/>
        </w:tabs>
        <w:spacing w:line="360" w:lineRule="auto"/>
        <w:ind w:left="0"/>
        <w:jc w:val="center"/>
        <w:rPr>
          <w:rFonts w:hint="eastAsia"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目 录</w:t>
      </w:r>
    </w:p>
    <w:bookmarkEnd w:id="0"/>
    <w:bookmarkEnd w:id="1"/>
    <w:p w14:paraId="7E6F06F6">
      <w:pPr>
        <w:pStyle w:val="35"/>
        <w:tabs>
          <w:tab w:val="right" w:leader="dot" w:pos="8948"/>
        </w:tabs>
        <w:spacing w:before="0" w:after="0" w:line="360" w:lineRule="auto"/>
        <w:rPr>
          <w:rFonts w:hint="eastAsia" w:ascii="宋体" w:hAnsi="宋体" w:cstheme="minorBidi"/>
          <w:b w:val="0"/>
          <w:bCs w:val="0"/>
          <w:caps w:val="0"/>
          <w:color w:val="auto"/>
          <w:sz w:val="21"/>
          <w:szCs w:val="21"/>
          <w:highlight w:val="none"/>
          <w14:ligatures w14:val="standardContextual"/>
        </w:rPr>
      </w:pPr>
      <w:bookmarkStart w:id="3" w:name="_Toc28359011"/>
      <w:bookmarkStart w:id="4" w:name="_Toc35393797"/>
      <w:bookmarkStart w:id="5" w:name="_Hlk9513089"/>
      <w:r>
        <w:rPr>
          <w:rStyle w:val="60"/>
          <w:rFonts w:hint="eastAsia"/>
          <w:color w:val="auto"/>
          <w:highlight w:val="none"/>
        </w:rPr>
        <w:fldChar w:fldCharType="begin"/>
      </w:r>
      <w:r>
        <w:rPr>
          <w:rStyle w:val="60"/>
          <w:rFonts w:hint="eastAsia" w:ascii="宋体" w:hAnsi="宋体" w:cs="宋体"/>
          <w:b w:val="0"/>
          <w:bCs w:val="0"/>
          <w:color w:val="auto"/>
          <w:sz w:val="21"/>
          <w:szCs w:val="21"/>
          <w:highlight w:val="none"/>
        </w:rPr>
        <w:instrText xml:space="preserve"> TOC \o "1-2" \h \z \u </w:instrText>
      </w:r>
      <w:r>
        <w:rPr>
          <w:rStyle w:val="60"/>
          <w:rFonts w:hint="eastAsia"/>
          <w:color w:val="auto"/>
          <w:highlight w:val="none"/>
        </w:rPr>
        <w:fldChar w:fldCharType="separate"/>
      </w:r>
      <w:r>
        <w:rPr>
          <w:color w:val="auto"/>
          <w:highlight w:val="none"/>
        </w:rPr>
        <w:fldChar w:fldCharType="begin"/>
      </w:r>
      <w:r>
        <w:rPr>
          <w:color w:val="auto"/>
          <w:highlight w:val="none"/>
        </w:rPr>
        <w:instrText xml:space="preserve"> HYPERLINK \l "_Toc180143768" </w:instrText>
      </w:r>
      <w:r>
        <w:rPr>
          <w:color w:val="auto"/>
          <w:highlight w:val="none"/>
        </w:rPr>
        <w:fldChar w:fldCharType="separate"/>
      </w:r>
      <w:r>
        <w:rPr>
          <w:rStyle w:val="60"/>
          <w:rFonts w:hint="eastAsia" w:ascii="宋体" w:hAnsi="宋体"/>
          <w:b w:val="0"/>
          <w:bCs w:val="0"/>
          <w:color w:val="auto"/>
          <w:sz w:val="21"/>
          <w:szCs w:val="21"/>
          <w:highlight w:val="none"/>
        </w:rPr>
        <w:t>第一章 公开招标公告</w:t>
      </w:r>
      <w:r>
        <w:rPr>
          <w:rFonts w:hint="eastAsia" w:ascii="宋体" w:hAnsi="宋体"/>
          <w:b w:val="0"/>
          <w:bCs w:val="0"/>
          <w:color w:val="auto"/>
          <w:sz w:val="21"/>
          <w:szCs w:val="21"/>
          <w:highlight w:val="none"/>
        </w:rPr>
        <w:tab/>
      </w:r>
      <w:r>
        <w:rPr>
          <w:rFonts w:hint="eastAsia" w:ascii="宋体" w:hAnsi="宋体"/>
          <w:b w:val="0"/>
          <w:bCs w:val="0"/>
          <w:color w:val="auto"/>
          <w:sz w:val="21"/>
          <w:szCs w:val="21"/>
          <w:highlight w:val="none"/>
        </w:rPr>
        <w:fldChar w:fldCharType="begin"/>
      </w:r>
      <w:r>
        <w:rPr>
          <w:rFonts w:hint="eastAsia" w:ascii="宋体" w:hAnsi="宋体"/>
          <w:b w:val="0"/>
          <w:bCs w:val="0"/>
          <w:color w:val="auto"/>
          <w:sz w:val="21"/>
          <w:szCs w:val="21"/>
          <w:highlight w:val="none"/>
        </w:rPr>
        <w:instrText xml:space="preserve"> </w:instrText>
      </w:r>
      <w:r>
        <w:rPr>
          <w:rFonts w:ascii="宋体" w:hAnsi="宋体"/>
          <w:b w:val="0"/>
          <w:bCs w:val="0"/>
          <w:color w:val="auto"/>
          <w:sz w:val="21"/>
          <w:szCs w:val="21"/>
          <w:highlight w:val="none"/>
        </w:rPr>
        <w:instrText xml:space="preserve">PAGEREF _Toc180143768 \h</w:instrText>
      </w:r>
      <w:r>
        <w:rPr>
          <w:rFonts w:hint="eastAsia" w:ascii="宋体" w:hAnsi="宋体"/>
          <w:b w:val="0"/>
          <w:bCs w:val="0"/>
          <w:color w:val="auto"/>
          <w:sz w:val="21"/>
          <w:szCs w:val="21"/>
          <w:highlight w:val="none"/>
        </w:rPr>
        <w:instrText xml:space="preserve"> </w:instrText>
      </w:r>
      <w:r>
        <w:rPr>
          <w:rFonts w:hint="eastAsia" w:ascii="宋体" w:hAnsi="宋体"/>
          <w:b w:val="0"/>
          <w:bCs w:val="0"/>
          <w:color w:val="auto"/>
          <w:sz w:val="21"/>
          <w:szCs w:val="21"/>
          <w:highlight w:val="none"/>
        </w:rPr>
        <w:fldChar w:fldCharType="separate"/>
      </w:r>
      <w:r>
        <w:rPr>
          <w:rFonts w:ascii="宋体" w:hAnsi="宋体"/>
          <w:b w:val="0"/>
          <w:bCs w:val="0"/>
          <w:color w:val="auto"/>
          <w:sz w:val="21"/>
          <w:szCs w:val="21"/>
          <w:highlight w:val="none"/>
        </w:rPr>
        <w:t>2</w:t>
      </w:r>
      <w:r>
        <w:rPr>
          <w:rFonts w:hint="eastAsia" w:ascii="宋体" w:hAnsi="宋体"/>
          <w:b w:val="0"/>
          <w:bCs w:val="0"/>
          <w:color w:val="auto"/>
          <w:sz w:val="21"/>
          <w:szCs w:val="21"/>
          <w:highlight w:val="none"/>
        </w:rPr>
        <w:fldChar w:fldCharType="end"/>
      </w:r>
      <w:r>
        <w:rPr>
          <w:rFonts w:hint="eastAsia" w:ascii="宋体" w:hAnsi="宋体"/>
          <w:b w:val="0"/>
          <w:bCs w:val="0"/>
          <w:color w:val="auto"/>
          <w:sz w:val="21"/>
          <w:szCs w:val="21"/>
          <w:highlight w:val="none"/>
        </w:rPr>
        <w:fldChar w:fldCharType="end"/>
      </w:r>
    </w:p>
    <w:p w14:paraId="046AFD7D">
      <w:pPr>
        <w:pStyle w:val="35"/>
        <w:tabs>
          <w:tab w:val="right" w:leader="dot" w:pos="8948"/>
        </w:tabs>
        <w:spacing w:before="0" w:after="0" w:line="360" w:lineRule="auto"/>
        <w:rPr>
          <w:rFonts w:hint="eastAsia" w:ascii="宋体" w:hAnsi="宋体" w:cstheme="minorBidi"/>
          <w:b w:val="0"/>
          <w:bCs w:val="0"/>
          <w:caps w:val="0"/>
          <w:color w:val="auto"/>
          <w:sz w:val="21"/>
          <w:szCs w:val="21"/>
          <w:highlight w:val="none"/>
          <w14:ligatures w14:val="standardContextual"/>
        </w:rPr>
      </w:pPr>
      <w:r>
        <w:rPr>
          <w:color w:val="auto"/>
          <w:highlight w:val="none"/>
        </w:rPr>
        <w:fldChar w:fldCharType="begin"/>
      </w:r>
      <w:r>
        <w:rPr>
          <w:color w:val="auto"/>
          <w:highlight w:val="none"/>
        </w:rPr>
        <w:instrText xml:space="preserve"> HYPERLINK \l "_Toc180143776" </w:instrText>
      </w:r>
      <w:r>
        <w:rPr>
          <w:color w:val="auto"/>
          <w:highlight w:val="none"/>
        </w:rPr>
        <w:fldChar w:fldCharType="separate"/>
      </w:r>
      <w:r>
        <w:rPr>
          <w:rStyle w:val="60"/>
          <w:rFonts w:hint="eastAsia" w:ascii="宋体" w:hAnsi="宋体"/>
          <w:b w:val="0"/>
          <w:bCs w:val="0"/>
          <w:color w:val="auto"/>
          <w:sz w:val="21"/>
          <w:szCs w:val="21"/>
          <w:highlight w:val="none"/>
        </w:rPr>
        <w:t>第二章 供应商须知</w:t>
      </w:r>
      <w:r>
        <w:rPr>
          <w:rFonts w:hint="eastAsia" w:ascii="宋体" w:hAnsi="宋体"/>
          <w:b w:val="0"/>
          <w:bCs w:val="0"/>
          <w:color w:val="auto"/>
          <w:sz w:val="21"/>
          <w:szCs w:val="21"/>
          <w:highlight w:val="none"/>
        </w:rPr>
        <w:tab/>
      </w:r>
      <w:r>
        <w:rPr>
          <w:rFonts w:hint="eastAsia" w:ascii="宋体" w:hAnsi="宋体"/>
          <w:b w:val="0"/>
          <w:bCs w:val="0"/>
          <w:color w:val="auto"/>
          <w:sz w:val="21"/>
          <w:szCs w:val="21"/>
          <w:highlight w:val="none"/>
        </w:rPr>
        <w:fldChar w:fldCharType="begin"/>
      </w:r>
      <w:r>
        <w:rPr>
          <w:rFonts w:hint="eastAsia" w:ascii="宋体" w:hAnsi="宋体"/>
          <w:b w:val="0"/>
          <w:bCs w:val="0"/>
          <w:color w:val="auto"/>
          <w:sz w:val="21"/>
          <w:szCs w:val="21"/>
          <w:highlight w:val="none"/>
        </w:rPr>
        <w:instrText xml:space="preserve"> </w:instrText>
      </w:r>
      <w:r>
        <w:rPr>
          <w:rFonts w:ascii="宋体" w:hAnsi="宋体"/>
          <w:b w:val="0"/>
          <w:bCs w:val="0"/>
          <w:color w:val="auto"/>
          <w:sz w:val="21"/>
          <w:szCs w:val="21"/>
          <w:highlight w:val="none"/>
        </w:rPr>
        <w:instrText xml:space="preserve">PAGEREF _Toc180143776 \h</w:instrText>
      </w:r>
      <w:r>
        <w:rPr>
          <w:rFonts w:hint="eastAsia" w:ascii="宋体" w:hAnsi="宋体"/>
          <w:b w:val="0"/>
          <w:bCs w:val="0"/>
          <w:color w:val="auto"/>
          <w:sz w:val="21"/>
          <w:szCs w:val="21"/>
          <w:highlight w:val="none"/>
        </w:rPr>
        <w:instrText xml:space="preserve"> </w:instrText>
      </w:r>
      <w:r>
        <w:rPr>
          <w:rFonts w:hint="eastAsia" w:ascii="宋体" w:hAnsi="宋体"/>
          <w:b w:val="0"/>
          <w:bCs w:val="0"/>
          <w:color w:val="auto"/>
          <w:sz w:val="21"/>
          <w:szCs w:val="21"/>
          <w:highlight w:val="none"/>
        </w:rPr>
        <w:fldChar w:fldCharType="separate"/>
      </w:r>
      <w:r>
        <w:rPr>
          <w:rFonts w:ascii="宋体" w:hAnsi="宋体"/>
          <w:b w:val="0"/>
          <w:bCs w:val="0"/>
          <w:color w:val="auto"/>
          <w:sz w:val="21"/>
          <w:szCs w:val="21"/>
          <w:highlight w:val="none"/>
        </w:rPr>
        <w:t>5</w:t>
      </w:r>
      <w:r>
        <w:rPr>
          <w:rFonts w:hint="eastAsia" w:ascii="宋体" w:hAnsi="宋体"/>
          <w:b w:val="0"/>
          <w:bCs w:val="0"/>
          <w:color w:val="auto"/>
          <w:sz w:val="21"/>
          <w:szCs w:val="21"/>
          <w:highlight w:val="none"/>
        </w:rPr>
        <w:fldChar w:fldCharType="end"/>
      </w:r>
      <w:r>
        <w:rPr>
          <w:rFonts w:hint="eastAsia" w:ascii="宋体" w:hAnsi="宋体"/>
          <w:b w:val="0"/>
          <w:bCs w:val="0"/>
          <w:color w:val="auto"/>
          <w:sz w:val="21"/>
          <w:szCs w:val="21"/>
          <w:highlight w:val="none"/>
        </w:rPr>
        <w:fldChar w:fldCharType="end"/>
      </w:r>
    </w:p>
    <w:p w14:paraId="178B4A1A">
      <w:pPr>
        <w:pStyle w:val="42"/>
        <w:tabs>
          <w:tab w:val="right" w:leader="dot" w:pos="8948"/>
        </w:tabs>
        <w:spacing w:line="360" w:lineRule="auto"/>
        <w:ind w:left="0" w:firstLine="400" w:firstLineChars="200"/>
        <w:rPr>
          <w:rFonts w:hint="eastAsia" w:ascii="宋体" w:hAnsi="宋体" w:cstheme="minorBidi"/>
          <w:smallCaps w:val="0"/>
          <w:color w:val="auto"/>
          <w:sz w:val="21"/>
          <w:szCs w:val="21"/>
          <w:highlight w:val="none"/>
          <w14:ligatures w14:val="standardContextual"/>
        </w:rPr>
      </w:pPr>
      <w:r>
        <w:rPr>
          <w:color w:val="auto"/>
          <w:highlight w:val="none"/>
        </w:rPr>
        <w:fldChar w:fldCharType="begin"/>
      </w:r>
      <w:r>
        <w:rPr>
          <w:color w:val="auto"/>
          <w:highlight w:val="none"/>
        </w:rPr>
        <w:instrText xml:space="preserve"> HYPERLINK \l "_Toc180143777" </w:instrText>
      </w:r>
      <w:r>
        <w:rPr>
          <w:color w:val="auto"/>
          <w:highlight w:val="none"/>
        </w:rPr>
        <w:fldChar w:fldCharType="separate"/>
      </w:r>
      <w:r>
        <w:rPr>
          <w:rStyle w:val="60"/>
          <w:rFonts w:hint="eastAsia" w:ascii="宋体" w:hAnsi="宋体"/>
          <w:color w:val="auto"/>
          <w:sz w:val="21"/>
          <w:szCs w:val="21"/>
          <w:highlight w:val="none"/>
        </w:rPr>
        <w:t>一、供应商须知前附表</w:t>
      </w:r>
      <w:r>
        <w:rPr>
          <w:rFonts w:hint="eastAsia" w:ascii="宋体" w:hAnsi="宋体"/>
          <w:color w:val="auto"/>
          <w:sz w:val="21"/>
          <w:szCs w:val="21"/>
          <w:highlight w:val="none"/>
        </w:rPr>
        <w:tab/>
      </w:r>
      <w:r>
        <w:rPr>
          <w:rFonts w:hint="eastAsia" w:ascii="宋体" w:hAnsi="宋体"/>
          <w:color w:val="auto"/>
          <w:sz w:val="21"/>
          <w:szCs w:val="21"/>
          <w:highlight w:val="none"/>
        </w:rPr>
        <w:fldChar w:fldCharType="begin"/>
      </w:r>
      <w:r>
        <w:rPr>
          <w:rFonts w:hint="eastAsia" w:ascii="宋体" w:hAnsi="宋体"/>
          <w:color w:val="auto"/>
          <w:sz w:val="21"/>
          <w:szCs w:val="21"/>
          <w:highlight w:val="none"/>
        </w:rPr>
        <w:instrText xml:space="preserve"> </w:instrText>
      </w:r>
      <w:r>
        <w:rPr>
          <w:rFonts w:ascii="宋体" w:hAnsi="宋体"/>
          <w:color w:val="auto"/>
          <w:sz w:val="21"/>
          <w:szCs w:val="21"/>
          <w:highlight w:val="none"/>
        </w:rPr>
        <w:instrText xml:space="preserve">PAGEREF _Toc180143777 \h</w:instrText>
      </w:r>
      <w:r>
        <w:rPr>
          <w:rFonts w:hint="eastAsia" w:ascii="宋体" w:hAnsi="宋体"/>
          <w:color w:val="auto"/>
          <w:sz w:val="21"/>
          <w:szCs w:val="21"/>
          <w:highlight w:val="none"/>
        </w:rPr>
        <w:instrText xml:space="preserve"> </w:instrText>
      </w:r>
      <w:r>
        <w:rPr>
          <w:rFonts w:hint="eastAsia" w:ascii="宋体" w:hAnsi="宋体"/>
          <w:color w:val="auto"/>
          <w:sz w:val="21"/>
          <w:szCs w:val="21"/>
          <w:highlight w:val="none"/>
        </w:rPr>
        <w:fldChar w:fldCharType="separate"/>
      </w:r>
      <w:r>
        <w:rPr>
          <w:rFonts w:ascii="宋体" w:hAnsi="宋体"/>
          <w:color w:val="auto"/>
          <w:sz w:val="21"/>
          <w:szCs w:val="21"/>
          <w:highlight w:val="none"/>
        </w:rPr>
        <w:t>5</w:t>
      </w:r>
      <w:r>
        <w:rPr>
          <w:rFonts w:hint="eastAsia" w:ascii="宋体" w:hAnsi="宋体"/>
          <w:color w:val="auto"/>
          <w:sz w:val="21"/>
          <w:szCs w:val="21"/>
          <w:highlight w:val="none"/>
        </w:rPr>
        <w:fldChar w:fldCharType="end"/>
      </w:r>
      <w:r>
        <w:rPr>
          <w:rFonts w:hint="eastAsia" w:ascii="宋体" w:hAnsi="宋体"/>
          <w:color w:val="auto"/>
          <w:sz w:val="21"/>
          <w:szCs w:val="21"/>
          <w:highlight w:val="none"/>
        </w:rPr>
        <w:fldChar w:fldCharType="end"/>
      </w:r>
    </w:p>
    <w:p w14:paraId="55A688EF">
      <w:pPr>
        <w:pStyle w:val="42"/>
        <w:tabs>
          <w:tab w:val="right" w:leader="dot" w:pos="8948"/>
        </w:tabs>
        <w:spacing w:line="360" w:lineRule="auto"/>
        <w:ind w:left="0" w:firstLine="400" w:firstLineChars="200"/>
        <w:rPr>
          <w:rFonts w:hint="eastAsia" w:ascii="宋体" w:hAnsi="宋体" w:cstheme="minorBidi"/>
          <w:smallCaps w:val="0"/>
          <w:color w:val="auto"/>
          <w:sz w:val="21"/>
          <w:szCs w:val="21"/>
          <w:highlight w:val="none"/>
          <w14:ligatures w14:val="standardContextual"/>
        </w:rPr>
      </w:pPr>
      <w:r>
        <w:rPr>
          <w:color w:val="auto"/>
          <w:highlight w:val="none"/>
        </w:rPr>
        <w:fldChar w:fldCharType="begin"/>
      </w:r>
      <w:r>
        <w:rPr>
          <w:color w:val="auto"/>
          <w:highlight w:val="none"/>
        </w:rPr>
        <w:instrText xml:space="preserve"> HYPERLINK \l "_Toc180143778" </w:instrText>
      </w:r>
      <w:r>
        <w:rPr>
          <w:color w:val="auto"/>
          <w:highlight w:val="none"/>
        </w:rPr>
        <w:fldChar w:fldCharType="separate"/>
      </w:r>
      <w:r>
        <w:rPr>
          <w:rStyle w:val="60"/>
          <w:rFonts w:hint="eastAsia" w:ascii="宋体" w:hAnsi="宋体"/>
          <w:color w:val="auto"/>
          <w:sz w:val="21"/>
          <w:szCs w:val="21"/>
          <w:highlight w:val="none"/>
        </w:rPr>
        <w:t>二、供应商须知正文部分</w:t>
      </w:r>
      <w:r>
        <w:rPr>
          <w:rFonts w:hint="eastAsia" w:ascii="宋体" w:hAnsi="宋体"/>
          <w:color w:val="auto"/>
          <w:sz w:val="21"/>
          <w:szCs w:val="21"/>
          <w:highlight w:val="none"/>
        </w:rPr>
        <w:tab/>
      </w:r>
      <w:r>
        <w:rPr>
          <w:rFonts w:hint="eastAsia" w:ascii="宋体" w:hAnsi="宋体"/>
          <w:color w:val="auto"/>
          <w:sz w:val="21"/>
          <w:szCs w:val="21"/>
          <w:highlight w:val="none"/>
        </w:rPr>
        <w:fldChar w:fldCharType="begin"/>
      </w:r>
      <w:r>
        <w:rPr>
          <w:rFonts w:hint="eastAsia" w:ascii="宋体" w:hAnsi="宋体"/>
          <w:color w:val="auto"/>
          <w:sz w:val="21"/>
          <w:szCs w:val="21"/>
          <w:highlight w:val="none"/>
        </w:rPr>
        <w:instrText xml:space="preserve"> </w:instrText>
      </w:r>
      <w:r>
        <w:rPr>
          <w:rFonts w:ascii="宋体" w:hAnsi="宋体"/>
          <w:color w:val="auto"/>
          <w:sz w:val="21"/>
          <w:szCs w:val="21"/>
          <w:highlight w:val="none"/>
        </w:rPr>
        <w:instrText xml:space="preserve">PAGEREF _Toc180143778 \h</w:instrText>
      </w:r>
      <w:r>
        <w:rPr>
          <w:rFonts w:hint="eastAsia" w:ascii="宋体" w:hAnsi="宋体"/>
          <w:color w:val="auto"/>
          <w:sz w:val="21"/>
          <w:szCs w:val="21"/>
          <w:highlight w:val="none"/>
        </w:rPr>
        <w:instrText xml:space="preserve"> </w:instrText>
      </w:r>
      <w:r>
        <w:rPr>
          <w:rFonts w:hint="eastAsia" w:ascii="宋体" w:hAnsi="宋体"/>
          <w:color w:val="auto"/>
          <w:sz w:val="21"/>
          <w:szCs w:val="21"/>
          <w:highlight w:val="none"/>
        </w:rPr>
        <w:fldChar w:fldCharType="separate"/>
      </w:r>
      <w:r>
        <w:rPr>
          <w:rFonts w:ascii="宋体" w:hAnsi="宋体"/>
          <w:color w:val="auto"/>
          <w:sz w:val="21"/>
          <w:szCs w:val="21"/>
          <w:highlight w:val="none"/>
        </w:rPr>
        <w:t>14</w:t>
      </w:r>
      <w:r>
        <w:rPr>
          <w:rFonts w:hint="eastAsia" w:ascii="宋体" w:hAnsi="宋体"/>
          <w:color w:val="auto"/>
          <w:sz w:val="21"/>
          <w:szCs w:val="21"/>
          <w:highlight w:val="none"/>
        </w:rPr>
        <w:fldChar w:fldCharType="end"/>
      </w:r>
      <w:r>
        <w:rPr>
          <w:rFonts w:hint="eastAsia" w:ascii="宋体" w:hAnsi="宋体"/>
          <w:color w:val="auto"/>
          <w:sz w:val="21"/>
          <w:szCs w:val="21"/>
          <w:highlight w:val="none"/>
        </w:rPr>
        <w:fldChar w:fldCharType="end"/>
      </w:r>
    </w:p>
    <w:p w14:paraId="70E00938">
      <w:pPr>
        <w:pStyle w:val="35"/>
        <w:tabs>
          <w:tab w:val="right" w:leader="dot" w:pos="8948"/>
        </w:tabs>
        <w:spacing w:before="0" w:after="0" w:line="360" w:lineRule="auto"/>
        <w:rPr>
          <w:rFonts w:hint="eastAsia" w:ascii="宋体" w:hAnsi="宋体" w:cstheme="minorBidi"/>
          <w:b w:val="0"/>
          <w:bCs w:val="0"/>
          <w:caps w:val="0"/>
          <w:color w:val="auto"/>
          <w:sz w:val="21"/>
          <w:szCs w:val="21"/>
          <w:highlight w:val="none"/>
          <w14:ligatures w14:val="standardContextual"/>
        </w:rPr>
      </w:pPr>
      <w:r>
        <w:rPr>
          <w:color w:val="auto"/>
          <w:highlight w:val="none"/>
        </w:rPr>
        <w:fldChar w:fldCharType="begin"/>
      </w:r>
      <w:r>
        <w:rPr>
          <w:color w:val="auto"/>
          <w:highlight w:val="none"/>
        </w:rPr>
        <w:instrText xml:space="preserve"> HYPERLINK \l "_Toc180143779" </w:instrText>
      </w:r>
      <w:r>
        <w:rPr>
          <w:color w:val="auto"/>
          <w:highlight w:val="none"/>
        </w:rPr>
        <w:fldChar w:fldCharType="separate"/>
      </w:r>
      <w:r>
        <w:rPr>
          <w:rStyle w:val="60"/>
          <w:rFonts w:hint="eastAsia" w:ascii="宋体" w:hAnsi="宋体"/>
          <w:b w:val="0"/>
          <w:bCs w:val="0"/>
          <w:color w:val="auto"/>
          <w:sz w:val="21"/>
          <w:szCs w:val="21"/>
          <w:highlight w:val="none"/>
        </w:rPr>
        <w:t>第三章 合同条款及格式</w:t>
      </w:r>
      <w:r>
        <w:rPr>
          <w:rFonts w:hint="eastAsia" w:ascii="宋体" w:hAnsi="宋体"/>
          <w:b w:val="0"/>
          <w:bCs w:val="0"/>
          <w:color w:val="auto"/>
          <w:sz w:val="21"/>
          <w:szCs w:val="21"/>
          <w:highlight w:val="none"/>
        </w:rPr>
        <w:tab/>
      </w:r>
      <w:r>
        <w:rPr>
          <w:rFonts w:hint="eastAsia" w:ascii="宋体" w:hAnsi="宋体"/>
          <w:b w:val="0"/>
          <w:bCs w:val="0"/>
          <w:color w:val="auto"/>
          <w:sz w:val="21"/>
          <w:szCs w:val="21"/>
          <w:highlight w:val="none"/>
        </w:rPr>
        <w:fldChar w:fldCharType="begin"/>
      </w:r>
      <w:r>
        <w:rPr>
          <w:rFonts w:hint="eastAsia" w:ascii="宋体" w:hAnsi="宋体"/>
          <w:b w:val="0"/>
          <w:bCs w:val="0"/>
          <w:color w:val="auto"/>
          <w:sz w:val="21"/>
          <w:szCs w:val="21"/>
          <w:highlight w:val="none"/>
        </w:rPr>
        <w:instrText xml:space="preserve"> </w:instrText>
      </w:r>
      <w:r>
        <w:rPr>
          <w:rFonts w:ascii="宋体" w:hAnsi="宋体"/>
          <w:b w:val="0"/>
          <w:bCs w:val="0"/>
          <w:color w:val="auto"/>
          <w:sz w:val="21"/>
          <w:szCs w:val="21"/>
          <w:highlight w:val="none"/>
        </w:rPr>
        <w:instrText xml:space="preserve">PAGEREF _Toc180143779 \h</w:instrText>
      </w:r>
      <w:r>
        <w:rPr>
          <w:rFonts w:hint="eastAsia" w:ascii="宋体" w:hAnsi="宋体"/>
          <w:b w:val="0"/>
          <w:bCs w:val="0"/>
          <w:color w:val="auto"/>
          <w:sz w:val="21"/>
          <w:szCs w:val="21"/>
          <w:highlight w:val="none"/>
        </w:rPr>
        <w:instrText xml:space="preserve"> </w:instrText>
      </w:r>
      <w:r>
        <w:rPr>
          <w:rFonts w:hint="eastAsia" w:ascii="宋体" w:hAnsi="宋体"/>
          <w:b w:val="0"/>
          <w:bCs w:val="0"/>
          <w:color w:val="auto"/>
          <w:sz w:val="21"/>
          <w:szCs w:val="21"/>
          <w:highlight w:val="none"/>
        </w:rPr>
        <w:fldChar w:fldCharType="separate"/>
      </w:r>
      <w:r>
        <w:rPr>
          <w:rFonts w:ascii="宋体" w:hAnsi="宋体"/>
          <w:b w:val="0"/>
          <w:bCs w:val="0"/>
          <w:color w:val="auto"/>
          <w:sz w:val="21"/>
          <w:szCs w:val="21"/>
          <w:highlight w:val="none"/>
        </w:rPr>
        <w:t>22</w:t>
      </w:r>
      <w:r>
        <w:rPr>
          <w:rFonts w:hint="eastAsia" w:ascii="宋体" w:hAnsi="宋体"/>
          <w:b w:val="0"/>
          <w:bCs w:val="0"/>
          <w:color w:val="auto"/>
          <w:sz w:val="21"/>
          <w:szCs w:val="21"/>
          <w:highlight w:val="none"/>
        </w:rPr>
        <w:fldChar w:fldCharType="end"/>
      </w:r>
      <w:r>
        <w:rPr>
          <w:rFonts w:hint="eastAsia" w:ascii="宋体" w:hAnsi="宋体"/>
          <w:b w:val="0"/>
          <w:bCs w:val="0"/>
          <w:color w:val="auto"/>
          <w:sz w:val="21"/>
          <w:szCs w:val="21"/>
          <w:highlight w:val="none"/>
        </w:rPr>
        <w:fldChar w:fldCharType="end"/>
      </w:r>
    </w:p>
    <w:p w14:paraId="5DCEA5B9">
      <w:pPr>
        <w:pStyle w:val="35"/>
        <w:tabs>
          <w:tab w:val="right" w:leader="dot" w:pos="8948"/>
        </w:tabs>
        <w:spacing w:before="0" w:after="0" w:line="360" w:lineRule="auto"/>
        <w:rPr>
          <w:rFonts w:hint="eastAsia" w:ascii="宋体" w:hAnsi="宋体" w:cstheme="minorBidi"/>
          <w:b w:val="0"/>
          <w:bCs w:val="0"/>
          <w:caps w:val="0"/>
          <w:color w:val="auto"/>
          <w:sz w:val="21"/>
          <w:szCs w:val="21"/>
          <w:highlight w:val="none"/>
          <w14:ligatures w14:val="standardContextual"/>
        </w:rPr>
      </w:pPr>
      <w:r>
        <w:rPr>
          <w:color w:val="auto"/>
          <w:highlight w:val="none"/>
        </w:rPr>
        <w:fldChar w:fldCharType="begin"/>
      </w:r>
      <w:r>
        <w:rPr>
          <w:color w:val="auto"/>
          <w:highlight w:val="none"/>
        </w:rPr>
        <w:instrText xml:space="preserve"> HYPERLINK \l "_Toc180143783" </w:instrText>
      </w:r>
      <w:r>
        <w:rPr>
          <w:color w:val="auto"/>
          <w:highlight w:val="none"/>
        </w:rPr>
        <w:fldChar w:fldCharType="separate"/>
      </w:r>
      <w:r>
        <w:rPr>
          <w:rStyle w:val="60"/>
          <w:rFonts w:hint="eastAsia" w:ascii="宋体" w:hAnsi="宋体"/>
          <w:b w:val="0"/>
          <w:bCs w:val="0"/>
          <w:color w:val="auto"/>
          <w:sz w:val="21"/>
          <w:szCs w:val="21"/>
          <w:highlight w:val="none"/>
        </w:rPr>
        <w:t>第四章 投标文件格式</w:t>
      </w:r>
      <w:r>
        <w:rPr>
          <w:rFonts w:hint="eastAsia" w:ascii="宋体" w:hAnsi="宋体"/>
          <w:b w:val="0"/>
          <w:bCs w:val="0"/>
          <w:color w:val="auto"/>
          <w:sz w:val="21"/>
          <w:szCs w:val="21"/>
          <w:highlight w:val="none"/>
        </w:rPr>
        <w:tab/>
      </w:r>
      <w:r>
        <w:rPr>
          <w:rFonts w:hint="eastAsia" w:ascii="宋体" w:hAnsi="宋体"/>
          <w:b w:val="0"/>
          <w:bCs w:val="0"/>
          <w:color w:val="auto"/>
          <w:sz w:val="21"/>
          <w:szCs w:val="21"/>
          <w:highlight w:val="none"/>
        </w:rPr>
        <w:fldChar w:fldCharType="begin"/>
      </w:r>
      <w:r>
        <w:rPr>
          <w:rFonts w:hint="eastAsia" w:ascii="宋体" w:hAnsi="宋体"/>
          <w:b w:val="0"/>
          <w:bCs w:val="0"/>
          <w:color w:val="auto"/>
          <w:sz w:val="21"/>
          <w:szCs w:val="21"/>
          <w:highlight w:val="none"/>
        </w:rPr>
        <w:instrText xml:space="preserve"> </w:instrText>
      </w:r>
      <w:r>
        <w:rPr>
          <w:rFonts w:ascii="宋体" w:hAnsi="宋体"/>
          <w:b w:val="0"/>
          <w:bCs w:val="0"/>
          <w:color w:val="auto"/>
          <w:sz w:val="21"/>
          <w:szCs w:val="21"/>
          <w:highlight w:val="none"/>
        </w:rPr>
        <w:instrText xml:space="preserve">PAGEREF _Toc180143783 \h</w:instrText>
      </w:r>
      <w:r>
        <w:rPr>
          <w:rFonts w:hint="eastAsia" w:ascii="宋体" w:hAnsi="宋体"/>
          <w:b w:val="0"/>
          <w:bCs w:val="0"/>
          <w:color w:val="auto"/>
          <w:sz w:val="21"/>
          <w:szCs w:val="21"/>
          <w:highlight w:val="none"/>
        </w:rPr>
        <w:instrText xml:space="preserve"> </w:instrText>
      </w:r>
      <w:r>
        <w:rPr>
          <w:rFonts w:hint="eastAsia" w:ascii="宋体" w:hAnsi="宋体"/>
          <w:b w:val="0"/>
          <w:bCs w:val="0"/>
          <w:color w:val="auto"/>
          <w:sz w:val="21"/>
          <w:szCs w:val="21"/>
          <w:highlight w:val="none"/>
        </w:rPr>
        <w:fldChar w:fldCharType="separate"/>
      </w:r>
      <w:r>
        <w:rPr>
          <w:rFonts w:ascii="宋体" w:hAnsi="宋体"/>
          <w:b w:val="0"/>
          <w:bCs w:val="0"/>
          <w:color w:val="auto"/>
          <w:sz w:val="21"/>
          <w:szCs w:val="21"/>
          <w:highlight w:val="none"/>
        </w:rPr>
        <w:t>37</w:t>
      </w:r>
      <w:r>
        <w:rPr>
          <w:rFonts w:hint="eastAsia" w:ascii="宋体" w:hAnsi="宋体"/>
          <w:b w:val="0"/>
          <w:bCs w:val="0"/>
          <w:color w:val="auto"/>
          <w:sz w:val="21"/>
          <w:szCs w:val="21"/>
          <w:highlight w:val="none"/>
        </w:rPr>
        <w:fldChar w:fldCharType="end"/>
      </w:r>
      <w:r>
        <w:rPr>
          <w:rFonts w:hint="eastAsia" w:ascii="宋体" w:hAnsi="宋体"/>
          <w:b w:val="0"/>
          <w:bCs w:val="0"/>
          <w:color w:val="auto"/>
          <w:sz w:val="21"/>
          <w:szCs w:val="21"/>
          <w:highlight w:val="none"/>
        </w:rPr>
        <w:fldChar w:fldCharType="end"/>
      </w:r>
    </w:p>
    <w:p w14:paraId="5BB89820">
      <w:pPr>
        <w:pStyle w:val="42"/>
        <w:tabs>
          <w:tab w:val="right" w:leader="dot" w:pos="8948"/>
        </w:tabs>
        <w:spacing w:line="360" w:lineRule="auto"/>
        <w:ind w:left="0" w:firstLine="400" w:firstLineChars="200"/>
        <w:rPr>
          <w:rFonts w:hint="eastAsia" w:ascii="宋体" w:hAnsi="宋体" w:cstheme="minorBidi"/>
          <w:smallCaps w:val="0"/>
          <w:color w:val="auto"/>
          <w:sz w:val="21"/>
          <w:szCs w:val="21"/>
          <w:highlight w:val="none"/>
          <w14:ligatures w14:val="standardContextual"/>
        </w:rPr>
      </w:pPr>
      <w:r>
        <w:rPr>
          <w:color w:val="auto"/>
          <w:highlight w:val="none"/>
        </w:rPr>
        <w:fldChar w:fldCharType="begin"/>
      </w:r>
      <w:r>
        <w:rPr>
          <w:color w:val="auto"/>
          <w:highlight w:val="none"/>
        </w:rPr>
        <w:instrText xml:space="preserve"> HYPERLINK \l "_Toc180143784" </w:instrText>
      </w:r>
      <w:r>
        <w:rPr>
          <w:color w:val="auto"/>
          <w:highlight w:val="none"/>
        </w:rPr>
        <w:fldChar w:fldCharType="separate"/>
      </w:r>
      <w:r>
        <w:rPr>
          <w:rStyle w:val="60"/>
          <w:rFonts w:hint="eastAsia" w:ascii="宋体" w:hAnsi="宋体"/>
          <w:color w:val="auto"/>
          <w:sz w:val="21"/>
          <w:szCs w:val="21"/>
          <w:highlight w:val="none"/>
        </w:rPr>
        <w:t>一、资格文件</w:t>
      </w:r>
      <w:r>
        <w:rPr>
          <w:rFonts w:hint="eastAsia" w:ascii="宋体" w:hAnsi="宋体"/>
          <w:color w:val="auto"/>
          <w:sz w:val="21"/>
          <w:szCs w:val="21"/>
          <w:highlight w:val="none"/>
        </w:rPr>
        <w:tab/>
      </w:r>
      <w:r>
        <w:rPr>
          <w:rFonts w:hint="eastAsia" w:ascii="宋体" w:hAnsi="宋体"/>
          <w:color w:val="auto"/>
          <w:sz w:val="21"/>
          <w:szCs w:val="21"/>
          <w:highlight w:val="none"/>
        </w:rPr>
        <w:fldChar w:fldCharType="begin"/>
      </w:r>
      <w:r>
        <w:rPr>
          <w:rFonts w:hint="eastAsia" w:ascii="宋体" w:hAnsi="宋体"/>
          <w:color w:val="auto"/>
          <w:sz w:val="21"/>
          <w:szCs w:val="21"/>
          <w:highlight w:val="none"/>
        </w:rPr>
        <w:instrText xml:space="preserve"> </w:instrText>
      </w:r>
      <w:r>
        <w:rPr>
          <w:rFonts w:ascii="宋体" w:hAnsi="宋体"/>
          <w:color w:val="auto"/>
          <w:sz w:val="21"/>
          <w:szCs w:val="21"/>
          <w:highlight w:val="none"/>
        </w:rPr>
        <w:instrText xml:space="preserve">PAGEREF _Toc180143784 \h</w:instrText>
      </w:r>
      <w:r>
        <w:rPr>
          <w:rFonts w:hint="eastAsia" w:ascii="宋体" w:hAnsi="宋体"/>
          <w:color w:val="auto"/>
          <w:sz w:val="21"/>
          <w:szCs w:val="21"/>
          <w:highlight w:val="none"/>
        </w:rPr>
        <w:instrText xml:space="preserve"> </w:instrText>
      </w:r>
      <w:r>
        <w:rPr>
          <w:rFonts w:hint="eastAsia" w:ascii="宋体" w:hAnsi="宋体"/>
          <w:color w:val="auto"/>
          <w:sz w:val="21"/>
          <w:szCs w:val="21"/>
          <w:highlight w:val="none"/>
        </w:rPr>
        <w:fldChar w:fldCharType="separate"/>
      </w:r>
      <w:r>
        <w:rPr>
          <w:rFonts w:ascii="宋体" w:hAnsi="宋体"/>
          <w:color w:val="auto"/>
          <w:sz w:val="21"/>
          <w:szCs w:val="21"/>
          <w:highlight w:val="none"/>
        </w:rPr>
        <w:t>38</w:t>
      </w:r>
      <w:r>
        <w:rPr>
          <w:rFonts w:hint="eastAsia" w:ascii="宋体" w:hAnsi="宋体"/>
          <w:color w:val="auto"/>
          <w:sz w:val="21"/>
          <w:szCs w:val="21"/>
          <w:highlight w:val="none"/>
        </w:rPr>
        <w:fldChar w:fldCharType="end"/>
      </w:r>
      <w:r>
        <w:rPr>
          <w:rFonts w:hint="eastAsia" w:ascii="宋体" w:hAnsi="宋体"/>
          <w:color w:val="auto"/>
          <w:sz w:val="21"/>
          <w:szCs w:val="21"/>
          <w:highlight w:val="none"/>
        </w:rPr>
        <w:fldChar w:fldCharType="end"/>
      </w:r>
    </w:p>
    <w:p w14:paraId="53B0EF5F">
      <w:pPr>
        <w:pStyle w:val="42"/>
        <w:tabs>
          <w:tab w:val="right" w:leader="dot" w:pos="8948"/>
        </w:tabs>
        <w:spacing w:line="360" w:lineRule="auto"/>
        <w:ind w:left="0" w:firstLine="400" w:firstLineChars="200"/>
        <w:rPr>
          <w:rFonts w:hint="eastAsia" w:ascii="宋体" w:hAnsi="宋体" w:cstheme="minorBidi"/>
          <w:smallCaps w:val="0"/>
          <w:color w:val="auto"/>
          <w:sz w:val="21"/>
          <w:szCs w:val="21"/>
          <w:highlight w:val="none"/>
          <w14:ligatures w14:val="standardContextual"/>
        </w:rPr>
      </w:pPr>
      <w:r>
        <w:rPr>
          <w:color w:val="auto"/>
          <w:highlight w:val="none"/>
        </w:rPr>
        <w:fldChar w:fldCharType="begin"/>
      </w:r>
      <w:r>
        <w:rPr>
          <w:color w:val="auto"/>
          <w:highlight w:val="none"/>
        </w:rPr>
        <w:instrText xml:space="preserve"> HYPERLINK \l "_Toc180143785" </w:instrText>
      </w:r>
      <w:r>
        <w:rPr>
          <w:color w:val="auto"/>
          <w:highlight w:val="none"/>
        </w:rPr>
        <w:fldChar w:fldCharType="separate"/>
      </w:r>
      <w:r>
        <w:rPr>
          <w:rStyle w:val="60"/>
          <w:rFonts w:hint="eastAsia" w:ascii="宋体" w:hAnsi="宋体"/>
          <w:color w:val="auto"/>
          <w:sz w:val="21"/>
          <w:szCs w:val="21"/>
          <w:highlight w:val="none"/>
        </w:rPr>
        <w:t>二、商务报价文件</w:t>
      </w:r>
      <w:r>
        <w:rPr>
          <w:rFonts w:hint="eastAsia" w:ascii="宋体" w:hAnsi="宋体"/>
          <w:color w:val="auto"/>
          <w:sz w:val="21"/>
          <w:szCs w:val="21"/>
          <w:highlight w:val="none"/>
        </w:rPr>
        <w:tab/>
      </w:r>
      <w:r>
        <w:rPr>
          <w:rFonts w:hint="eastAsia" w:ascii="宋体" w:hAnsi="宋体"/>
          <w:color w:val="auto"/>
          <w:sz w:val="21"/>
          <w:szCs w:val="21"/>
          <w:highlight w:val="none"/>
        </w:rPr>
        <w:fldChar w:fldCharType="begin"/>
      </w:r>
      <w:r>
        <w:rPr>
          <w:rFonts w:hint="eastAsia" w:ascii="宋体" w:hAnsi="宋体"/>
          <w:color w:val="auto"/>
          <w:sz w:val="21"/>
          <w:szCs w:val="21"/>
          <w:highlight w:val="none"/>
        </w:rPr>
        <w:instrText xml:space="preserve"> </w:instrText>
      </w:r>
      <w:r>
        <w:rPr>
          <w:rFonts w:ascii="宋体" w:hAnsi="宋体"/>
          <w:color w:val="auto"/>
          <w:sz w:val="21"/>
          <w:szCs w:val="21"/>
          <w:highlight w:val="none"/>
        </w:rPr>
        <w:instrText xml:space="preserve">PAGEREF _Toc180143785 \h</w:instrText>
      </w:r>
      <w:r>
        <w:rPr>
          <w:rFonts w:hint="eastAsia" w:ascii="宋体" w:hAnsi="宋体"/>
          <w:color w:val="auto"/>
          <w:sz w:val="21"/>
          <w:szCs w:val="21"/>
          <w:highlight w:val="none"/>
        </w:rPr>
        <w:instrText xml:space="preserve"> </w:instrText>
      </w:r>
      <w:r>
        <w:rPr>
          <w:rFonts w:hint="eastAsia" w:ascii="宋体" w:hAnsi="宋体"/>
          <w:color w:val="auto"/>
          <w:sz w:val="21"/>
          <w:szCs w:val="21"/>
          <w:highlight w:val="none"/>
        </w:rPr>
        <w:fldChar w:fldCharType="separate"/>
      </w:r>
      <w:r>
        <w:rPr>
          <w:rFonts w:ascii="宋体" w:hAnsi="宋体"/>
          <w:color w:val="auto"/>
          <w:sz w:val="21"/>
          <w:szCs w:val="21"/>
          <w:highlight w:val="none"/>
        </w:rPr>
        <w:t>43</w:t>
      </w:r>
      <w:r>
        <w:rPr>
          <w:rFonts w:hint="eastAsia" w:ascii="宋体" w:hAnsi="宋体"/>
          <w:color w:val="auto"/>
          <w:sz w:val="21"/>
          <w:szCs w:val="21"/>
          <w:highlight w:val="none"/>
        </w:rPr>
        <w:fldChar w:fldCharType="end"/>
      </w:r>
      <w:r>
        <w:rPr>
          <w:rFonts w:hint="eastAsia" w:ascii="宋体" w:hAnsi="宋体"/>
          <w:color w:val="auto"/>
          <w:sz w:val="21"/>
          <w:szCs w:val="21"/>
          <w:highlight w:val="none"/>
        </w:rPr>
        <w:fldChar w:fldCharType="end"/>
      </w:r>
    </w:p>
    <w:p w14:paraId="45DBF0FE">
      <w:pPr>
        <w:pStyle w:val="42"/>
        <w:tabs>
          <w:tab w:val="right" w:leader="dot" w:pos="8948"/>
        </w:tabs>
        <w:spacing w:line="360" w:lineRule="auto"/>
        <w:ind w:left="0" w:firstLine="400" w:firstLineChars="200"/>
        <w:rPr>
          <w:rFonts w:hint="eastAsia" w:ascii="宋体" w:hAnsi="宋体" w:cstheme="minorBidi"/>
          <w:smallCaps w:val="0"/>
          <w:color w:val="auto"/>
          <w:sz w:val="21"/>
          <w:szCs w:val="21"/>
          <w:highlight w:val="none"/>
          <w14:ligatures w14:val="standardContextual"/>
        </w:rPr>
      </w:pPr>
      <w:r>
        <w:rPr>
          <w:color w:val="auto"/>
          <w:highlight w:val="none"/>
        </w:rPr>
        <w:fldChar w:fldCharType="begin"/>
      </w:r>
      <w:r>
        <w:rPr>
          <w:color w:val="auto"/>
          <w:highlight w:val="none"/>
        </w:rPr>
        <w:instrText xml:space="preserve"> HYPERLINK \l "_Toc180143786" </w:instrText>
      </w:r>
      <w:r>
        <w:rPr>
          <w:color w:val="auto"/>
          <w:highlight w:val="none"/>
        </w:rPr>
        <w:fldChar w:fldCharType="separate"/>
      </w:r>
      <w:r>
        <w:rPr>
          <w:rStyle w:val="60"/>
          <w:rFonts w:hint="eastAsia" w:ascii="宋体" w:hAnsi="宋体"/>
          <w:color w:val="auto"/>
          <w:sz w:val="21"/>
          <w:szCs w:val="21"/>
          <w:highlight w:val="none"/>
        </w:rPr>
        <w:t>三、技术文件</w:t>
      </w:r>
      <w:r>
        <w:rPr>
          <w:rFonts w:hint="eastAsia" w:ascii="宋体" w:hAnsi="宋体"/>
          <w:color w:val="auto"/>
          <w:sz w:val="21"/>
          <w:szCs w:val="21"/>
          <w:highlight w:val="none"/>
        </w:rPr>
        <w:tab/>
      </w:r>
      <w:r>
        <w:rPr>
          <w:rFonts w:hint="eastAsia" w:ascii="宋体" w:hAnsi="宋体"/>
          <w:color w:val="auto"/>
          <w:sz w:val="21"/>
          <w:szCs w:val="21"/>
          <w:highlight w:val="none"/>
        </w:rPr>
        <w:fldChar w:fldCharType="begin"/>
      </w:r>
      <w:r>
        <w:rPr>
          <w:rFonts w:hint="eastAsia" w:ascii="宋体" w:hAnsi="宋体"/>
          <w:color w:val="auto"/>
          <w:sz w:val="21"/>
          <w:szCs w:val="21"/>
          <w:highlight w:val="none"/>
        </w:rPr>
        <w:instrText xml:space="preserve"> </w:instrText>
      </w:r>
      <w:r>
        <w:rPr>
          <w:rFonts w:ascii="宋体" w:hAnsi="宋体"/>
          <w:color w:val="auto"/>
          <w:sz w:val="21"/>
          <w:szCs w:val="21"/>
          <w:highlight w:val="none"/>
        </w:rPr>
        <w:instrText xml:space="preserve">PAGEREF _Toc180143786 \h</w:instrText>
      </w:r>
      <w:r>
        <w:rPr>
          <w:rFonts w:hint="eastAsia" w:ascii="宋体" w:hAnsi="宋体"/>
          <w:color w:val="auto"/>
          <w:sz w:val="21"/>
          <w:szCs w:val="21"/>
          <w:highlight w:val="none"/>
        </w:rPr>
        <w:instrText xml:space="preserve"> </w:instrText>
      </w:r>
      <w:r>
        <w:rPr>
          <w:rFonts w:hint="eastAsia" w:ascii="宋体" w:hAnsi="宋体"/>
          <w:color w:val="auto"/>
          <w:sz w:val="21"/>
          <w:szCs w:val="21"/>
          <w:highlight w:val="none"/>
        </w:rPr>
        <w:fldChar w:fldCharType="separate"/>
      </w:r>
      <w:r>
        <w:rPr>
          <w:rFonts w:ascii="宋体" w:hAnsi="宋体"/>
          <w:color w:val="auto"/>
          <w:sz w:val="21"/>
          <w:szCs w:val="21"/>
          <w:highlight w:val="none"/>
        </w:rPr>
        <w:t>57</w:t>
      </w:r>
      <w:r>
        <w:rPr>
          <w:rFonts w:hint="eastAsia" w:ascii="宋体" w:hAnsi="宋体"/>
          <w:color w:val="auto"/>
          <w:sz w:val="21"/>
          <w:szCs w:val="21"/>
          <w:highlight w:val="none"/>
        </w:rPr>
        <w:fldChar w:fldCharType="end"/>
      </w:r>
      <w:r>
        <w:rPr>
          <w:rFonts w:hint="eastAsia" w:ascii="宋体" w:hAnsi="宋体"/>
          <w:color w:val="auto"/>
          <w:sz w:val="21"/>
          <w:szCs w:val="21"/>
          <w:highlight w:val="none"/>
        </w:rPr>
        <w:fldChar w:fldCharType="end"/>
      </w:r>
    </w:p>
    <w:p w14:paraId="21B9262E">
      <w:pPr>
        <w:pStyle w:val="35"/>
        <w:tabs>
          <w:tab w:val="right" w:leader="dot" w:pos="8948"/>
        </w:tabs>
        <w:spacing w:before="0" w:after="0" w:line="360" w:lineRule="auto"/>
        <w:rPr>
          <w:rFonts w:hint="eastAsia" w:ascii="宋体" w:hAnsi="宋体" w:cstheme="minorBidi"/>
          <w:b w:val="0"/>
          <w:bCs w:val="0"/>
          <w:caps w:val="0"/>
          <w:color w:val="auto"/>
          <w:sz w:val="21"/>
          <w:szCs w:val="21"/>
          <w:highlight w:val="none"/>
          <w14:ligatures w14:val="standardContextual"/>
        </w:rPr>
      </w:pPr>
      <w:r>
        <w:rPr>
          <w:color w:val="auto"/>
          <w:highlight w:val="none"/>
        </w:rPr>
        <w:fldChar w:fldCharType="begin"/>
      </w:r>
      <w:r>
        <w:rPr>
          <w:color w:val="auto"/>
          <w:highlight w:val="none"/>
        </w:rPr>
        <w:instrText xml:space="preserve"> HYPERLINK \l "_Toc180143787" </w:instrText>
      </w:r>
      <w:r>
        <w:rPr>
          <w:color w:val="auto"/>
          <w:highlight w:val="none"/>
        </w:rPr>
        <w:fldChar w:fldCharType="separate"/>
      </w:r>
      <w:r>
        <w:rPr>
          <w:rStyle w:val="60"/>
          <w:rFonts w:hint="eastAsia" w:ascii="宋体" w:hAnsi="宋体"/>
          <w:b w:val="0"/>
          <w:bCs w:val="0"/>
          <w:color w:val="auto"/>
          <w:sz w:val="21"/>
          <w:szCs w:val="21"/>
          <w:highlight w:val="none"/>
        </w:rPr>
        <w:t>第五章 采购清单及要求</w:t>
      </w:r>
      <w:r>
        <w:rPr>
          <w:rFonts w:hint="eastAsia" w:ascii="宋体" w:hAnsi="宋体"/>
          <w:b w:val="0"/>
          <w:bCs w:val="0"/>
          <w:color w:val="auto"/>
          <w:sz w:val="21"/>
          <w:szCs w:val="21"/>
          <w:highlight w:val="none"/>
        </w:rPr>
        <w:tab/>
      </w:r>
      <w:r>
        <w:rPr>
          <w:rFonts w:hint="eastAsia" w:ascii="宋体" w:hAnsi="宋体"/>
          <w:b w:val="0"/>
          <w:bCs w:val="0"/>
          <w:color w:val="auto"/>
          <w:sz w:val="21"/>
          <w:szCs w:val="21"/>
          <w:highlight w:val="none"/>
        </w:rPr>
        <w:fldChar w:fldCharType="begin"/>
      </w:r>
      <w:r>
        <w:rPr>
          <w:rFonts w:hint="eastAsia" w:ascii="宋体" w:hAnsi="宋体"/>
          <w:b w:val="0"/>
          <w:bCs w:val="0"/>
          <w:color w:val="auto"/>
          <w:sz w:val="21"/>
          <w:szCs w:val="21"/>
          <w:highlight w:val="none"/>
        </w:rPr>
        <w:instrText xml:space="preserve"> </w:instrText>
      </w:r>
      <w:r>
        <w:rPr>
          <w:rFonts w:ascii="宋体" w:hAnsi="宋体"/>
          <w:b w:val="0"/>
          <w:bCs w:val="0"/>
          <w:color w:val="auto"/>
          <w:sz w:val="21"/>
          <w:szCs w:val="21"/>
          <w:highlight w:val="none"/>
        </w:rPr>
        <w:instrText xml:space="preserve">PAGEREF _Toc180143787 \h</w:instrText>
      </w:r>
      <w:r>
        <w:rPr>
          <w:rFonts w:hint="eastAsia" w:ascii="宋体" w:hAnsi="宋体"/>
          <w:b w:val="0"/>
          <w:bCs w:val="0"/>
          <w:color w:val="auto"/>
          <w:sz w:val="21"/>
          <w:szCs w:val="21"/>
          <w:highlight w:val="none"/>
        </w:rPr>
        <w:instrText xml:space="preserve"> </w:instrText>
      </w:r>
      <w:r>
        <w:rPr>
          <w:rFonts w:hint="eastAsia" w:ascii="宋体" w:hAnsi="宋体"/>
          <w:b w:val="0"/>
          <w:bCs w:val="0"/>
          <w:color w:val="auto"/>
          <w:sz w:val="21"/>
          <w:szCs w:val="21"/>
          <w:highlight w:val="none"/>
        </w:rPr>
        <w:fldChar w:fldCharType="separate"/>
      </w:r>
      <w:r>
        <w:rPr>
          <w:rFonts w:ascii="宋体" w:hAnsi="宋体"/>
          <w:b w:val="0"/>
          <w:bCs w:val="0"/>
          <w:color w:val="auto"/>
          <w:sz w:val="21"/>
          <w:szCs w:val="21"/>
          <w:highlight w:val="none"/>
        </w:rPr>
        <w:t>61</w:t>
      </w:r>
      <w:r>
        <w:rPr>
          <w:rFonts w:hint="eastAsia" w:ascii="宋体" w:hAnsi="宋体"/>
          <w:b w:val="0"/>
          <w:bCs w:val="0"/>
          <w:color w:val="auto"/>
          <w:sz w:val="21"/>
          <w:szCs w:val="21"/>
          <w:highlight w:val="none"/>
        </w:rPr>
        <w:fldChar w:fldCharType="end"/>
      </w:r>
      <w:r>
        <w:rPr>
          <w:rFonts w:hint="eastAsia" w:ascii="宋体" w:hAnsi="宋体"/>
          <w:b w:val="0"/>
          <w:bCs w:val="0"/>
          <w:color w:val="auto"/>
          <w:sz w:val="21"/>
          <w:szCs w:val="21"/>
          <w:highlight w:val="none"/>
        </w:rPr>
        <w:fldChar w:fldCharType="end"/>
      </w:r>
    </w:p>
    <w:p w14:paraId="56FA6762">
      <w:pPr>
        <w:pStyle w:val="35"/>
        <w:tabs>
          <w:tab w:val="right" w:leader="dot" w:pos="8948"/>
        </w:tabs>
        <w:spacing w:before="0" w:after="0" w:line="360" w:lineRule="auto"/>
        <w:rPr>
          <w:rFonts w:hint="eastAsia" w:ascii="宋体" w:hAnsi="宋体" w:cstheme="minorBidi"/>
          <w:b w:val="0"/>
          <w:bCs w:val="0"/>
          <w:caps w:val="0"/>
          <w:color w:val="auto"/>
          <w:sz w:val="21"/>
          <w:szCs w:val="21"/>
          <w:highlight w:val="none"/>
          <w14:ligatures w14:val="standardContextual"/>
        </w:rPr>
      </w:pPr>
      <w:r>
        <w:rPr>
          <w:color w:val="auto"/>
          <w:highlight w:val="none"/>
        </w:rPr>
        <w:fldChar w:fldCharType="begin"/>
      </w:r>
      <w:r>
        <w:rPr>
          <w:color w:val="auto"/>
          <w:highlight w:val="none"/>
        </w:rPr>
        <w:instrText xml:space="preserve"> HYPERLINK \l "_Toc180143788" </w:instrText>
      </w:r>
      <w:r>
        <w:rPr>
          <w:color w:val="auto"/>
          <w:highlight w:val="none"/>
        </w:rPr>
        <w:fldChar w:fldCharType="separate"/>
      </w:r>
      <w:r>
        <w:rPr>
          <w:rStyle w:val="60"/>
          <w:rFonts w:hint="eastAsia" w:ascii="宋体" w:hAnsi="宋体"/>
          <w:b w:val="0"/>
          <w:bCs w:val="0"/>
          <w:color w:val="auto"/>
          <w:sz w:val="21"/>
          <w:szCs w:val="21"/>
          <w:highlight w:val="none"/>
        </w:rPr>
        <w:t>第六章 资格审查</w:t>
      </w:r>
      <w:r>
        <w:rPr>
          <w:rFonts w:hint="eastAsia" w:ascii="宋体" w:hAnsi="宋体"/>
          <w:b w:val="0"/>
          <w:bCs w:val="0"/>
          <w:color w:val="auto"/>
          <w:sz w:val="21"/>
          <w:szCs w:val="21"/>
          <w:highlight w:val="none"/>
        </w:rPr>
        <w:tab/>
      </w:r>
      <w:r>
        <w:rPr>
          <w:rFonts w:hint="eastAsia" w:ascii="宋体" w:hAnsi="宋体"/>
          <w:b w:val="0"/>
          <w:bCs w:val="0"/>
          <w:color w:val="auto"/>
          <w:sz w:val="21"/>
          <w:szCs w:val="21"/>
          <w:highlight w:val="none"/>
        </w:rPr>
        <w:fldChar w:fldCharType="begin"/>
      </w:r>
      <w:r>
        <w:rPr>
          <w:rFonts w:hint="eastAsia" w:ascii="宋体" w:hAnsi="宋体"/>
          <w:b w:val="0"/>
          <w:bCs w:val="0"/>
          <w:color w:val="auto"/>
          <w:sz w:val="21"/>
          <w:szCs w:val="21"/>
          <w:highlight w:val="none"/>
        </w:rPr>
        <w:instrText xml:space="preserve"> </w:instrText>
      </w:r>
      <w:r>
        <w:rPr>
          <w:rFonts w:ascii="宋体" w:hAnsi="宋体"/>
          <w:b w:val="0"/>
          <w:bCs w:val="0"/>
          <w:color w:val="auto"/>
          <w:sz w:val="21"/>
          <w:szCs w:val="21"/>
          <w:highlight w:val="none"/>
        </w:rPr>
        <w:instrText xml:space="preserve">PAGEREF _Toc180143788 \h</w:instrText>
      </w:r>
      <w:r>
        <w:rPr>
          <w:rFonts w:hint="eastAsia" w:ascii="宋体" w:hAnsi="宋体"/>
          <w:b w:val="0"/>
          <w:bCs w:val="0"/>
          <w:color w:val="auto"/>
          <w:sz w:val="21"/>
          <w:szCs w:val="21"/>
          <w:highlight w:val="none"/>
        </w:rPr>
        <w:instrText xml:space="preserve"> </w:instrText>
      </w:r>
      <w:r>
        <w:rPr>
          <w:rFonts w:hint="eastAsia" w:ascii="宋体" w:hAnsi="宋体"/>
          <w:b w:val="0"/>
          <w:bCs w:val="0"/>
          <w:color w:val="auto"/>
          <w:sz w:val="21"/>
          <w:szCs w:val="21"/>
          <w:highlight w:val="none"/>
        </w:rPr>
        <w:fldChar w:fldCharType="separate"/>
      </w:r>
      <w:r>
        <w:rPr>
          <w:rFonts w:ascii="宋体" w:hAnsi="宋体"/>
          <w:b w:val="0"/>
          <w:bCs w:val="0"/>
          <w:color w:val="auto"/>
          <w:sz w:val="21"/>
          <w:szCs w:val="21"/>
          <w:highlight w:val="none"/>
        </w:rPr>
        <w:t>86</w:t>
      </w:r>
      <w:r>
        <w:rPr>
          <w:rFonts w:hint="eastAsia" w:ascii="宋体" w:hAnsi="宋体"/>
          <w:b w:val="0"/>
          <w:bCs w:val="0"/>
          <w:color w:val="auto"/>
          <w:sz w:val="21"/>
          <w:szCs w:val="21"/>
          <w:highlight w:val="none"/>
        </w:rPr>
        <w:fldChar w:fldCharType="end"/>
      </w:r>
      <w:r>
        <w:rPr>
          <w:rFonts w:hint="eastAsia" w:ascii="宋体" w:hAnsi="宋体"/>
          <w:b w:val="0"/>
          <w:bCs w:val="0"/>
          <w:color w:val="auto"/>
          <w:sz w:val="21"/>
          <w:szCs w:val="21"/>
          <w:highlight w:val="none"/>
        </w:rPr>
        <w:fldChar w:fldCharType="end"/>
      </w:r>
    </w:p>
    <w:p w14:paraId="5F5D0F0A">
      <w:pPr>
        <w:pStyle w:val="42"/>
        <w:tabs>
          <w:tab w:val="right" w:leader="dot" w:pos="8948"/>
        </w:tabs>
        <w:spacing w:line="360" w:lineRule="auto"/>
        <w:ind w:left="0" w:firstLine="400" w:firstLineChars="200"/>
        <w:rPr>
          <w:rFonts w:hint="eastAsia" w:ascii="宋体" w:hAnsi="宋体" w:cstheme="minorBidi"/>
          <w:smallCaps w:val="0"/>
          <w:color w:val="auto"/>
          <w:sz w:val="21"/>
          <w:szCs w:val="21"/>
          <w:highlight w:val="none"/>
          <w14:ligatures w14:val="standardContextual"/>
        </w:rPr>
      </w:pPr>
      <w:r>
        <w:rPr>
          <w:color w:val="auto"/>
          <w:highlight w:val="none"/>
        </w:rPr>
        <w:fldChar w:fldCharType="begin"/>
      </w:r>
      <w:r>
        <w:rPr>
          <w:color w:val="auto"/>
          <w:highlight w:val="none"/>
        </w:rPr>
        <w:instrText xml:space="preserve"> HYPERLINK \l "_Toc180143789" </w:instrText>
      </w:r>
      <w:r>
        <w:rPr>
          <w:color w:val="auto"/>
          <w:highlight w:val="none"/>
        </w:rPr>
        <w:fldChar w:fldCharType="separate"/>
      </w:r>
      <w:r>
        <w:rPr>
          <w:rStyle w:val="60"/>
          <w:rFonts w:hint="eastAsia" w:ascii="宋体" w:hAnsi="宋体"/>
          <w:color w:val="auto"/>
          <w:sz w:val="21"/>
          <w:szCs w:val="21"/>
          <w:highlight w:val="none"/>
        </w:rPr>
        <w:t>资格审查前附表</w:t>
      </w:r>
      <w:r>
        <w:rPr>
          <w:rFonts w:hint="eastAsia" w:ascii="宋体" w:hAnsi="宋体"/>
          <w:color w:val="auto"/>
          <w:sz w:val="21"/>
          <w:szCs w:val="21"/>
          <w:highlight w:val="none"/>
        </w:rPr>
        <w:tab/>
      </w:r>
      <w:r>
        <w:rPr>
          <w:rFonts w:hint="eastAsia" w:ascii="宋体" w:hAnsi="宋体"/>
          <w:color w:val="auto"/>
          <w:sz w:val="21"/>
          <w:szCs w:val="21"/>
          <w:highlight w:val="none"/>
        </w:rPr>
        <w:fldChar w:fldCharType="begin"/>
      </w:r>
      <w:r>
        <w:rPr>
          <w:rFonts w:hint="eastAsia" w:ascii="宋体" w:hAnsi="宋体"/>
          <w:color w:val="auto"/>
          <w:sz w:val="21"/>
          <w:szCs w:val="21"/>
          <w:highlight w:val="none"/>
        </w:rPr>
        <w:instrText xml:space="preserve"> </w:instrText>
      </w:r>
      <w:r>
        <w:rPr>
          <w:rFonts w:ascii="宋体" w:hAnsi="宋体"/>
          <w:color w:val="auto"/>
          <w:sz w:val="21"/>
          <w:szCs w:val="21"/>
          <w:highlight w:val="none"/>
        </w:rPr>
        <w:instrText xml:space="preserve">PAGEREF _Toc180143789 \h</w:instrText>
      </w:r>
      <w:r>
        <w:rPr>
          <w:rFonts w:hint="eastAsia" w:ascii="宋体" w:hAnsi="宋体"/>
          <w:color w:val="auto"/>
          <w:sz w:val="21"/>
          <w:szCs w:val="21"/>
          <w:highlight w:val="none"/>
        </w:rPr>
        <w:instrText xml:space="preserve"> </w:instrText>
      </w:r>
      <w:r>
        <w:rPr>
          <w:rFonts w:hint="eastAsia" w:ascii="宋体" w:hAnsi="宋体"/>
          <w:color w:val="auto"/>
          <w:sz w:val="21"/>
          <w:szCs w:val="21"/>
          <w:highlight w:val="none"/>
        </w:rPr>
        <w:fldChar w:fldCharType="separate"/>
      </w:r>
      <w:r>
        <w:rPr>
          <w:rFonts w:ascii="宋体" w:hAnsi="宋体"/>
          <w:color w:val="auto"/>
          <w:sz w:val="21"/>
          <w:szCs w:val="21"/>
          <w:highlight w:val="none"/>
        </w:rPr>
        <w:t>86</w:t>
      </w:r>
      <w:r>
        <w:rPr>
          <w:rFonts w:hint="eastAsia" w:ascii="宋体" w:hAnsi="宋体"/>
          <w:color w:val="auto"/>
          <w:sz w:val="21"/>
          <w:szCs w:val="21"/>
          <w:highlight w:val="none"/>
        </w:rPr>
        <w:fldChar w:fldCharType="end"/>
      </w:r>
      <w:r>
        <w:rPr>
          <w:rFonts w:hint="eastAsia" w:ascii="宋体" w:hAnsi="宋体"/>
          <w:color w:val="auto"/>
          <w:sz w:val="21"/>
          <w:szCs w:val="21"/>
          <w:highlight w:val="none"/>
        </w:rPr>
        <w:fldChar w:fldCharType="end"/>
      </w:r>
    </w:p>
    <w:p w14:paraId="1016D6D1">
      <w:pPr>
        <w:pStyle w:val="35"/>
        <w:tabs>
          <w:tab w:val="right" w:leader="dot" w:pos="8948"/>
        </w:tabs>
        <w:spacing w:before="0" w:after="0" w:line="360" w:lineRule="auto"/>
        <w:rPr>
          <w:rFonts w:hint="eastAsia" w:ascii="宋体" w:hAnsi="宋体" w:cstheme="minorBidi"/>
          <w:b w:val="0"/>
          <w:bCs w:val="0"/>
          <w:caps w:val="0"/>
          <w:color w:val="auto"/>
          <w:sz w:val="21"/>
          <w:szCs w:val="21"/>
          <w:highlight w:val="none"/>
          <w14:ligatures w14:val="standardContextual"/>
        </w:rPr>
      </w:pPr>
      <w:r>
        <w:rPr>
          <w:color w:val="auto"/>
          <w:highlight w:val="none"/>
        </w:rPr>
        <w:fldChar w:fldCharType="begin"/>
      </w:r>
      <w:r>
        <w:rPr>
          <w:color w:val="auto"/>
          <w:highlight w:val="none"/>
        </w:rPr>
        <w:instrText xml:space="preserve"> HYPERLINK \l "_Toc180143790" </w:instrText>
      </w:r>
      <w:r>
        <w:rPr>
          <w:color w:val="auto"/>
          <w:highlight w:val="none"/>
        </w:rPr>
        <w:fldChar w:fldCharType="separate"/>
      </w:r>
      <w:r>
        <w:rPr>
          <w:rStyle w:val="60"/>
          <w:rFonts w:hint="eastAsia" w:ascii="宋体" w:hAnsi="宋体"/>
          <w:b w:val="0"/>
          <w:bCs w:val="0"/>
          <w:color w:val="auto"/>
          <w:sz w:val="21"/>
          <w:szCs w:val="21"/>
          <w:highlight w:val="none"/>
        </w:rPr>
        <w:t>第七章 评标办法（综合评分法）</w:t>
      </w:r>
      <w:r>
        <w:rPr>
          <w:rFonts w:hint="eastAsia" w:ascii="宋体" w:hAnsi="宋体"/>
          <w:b w:val="0"/>
          <w:bCs w:val="0"/>
          <w:color w:val="auto"/>
          <w:sz w:val="21"/>
          <w:szCs w:val="21"/>
          <w:highlight w:val="none"/>
        </w:rPr>
        <w:tab/>
      </w:r>
      <w:r>
        <w:rPr>
          <w:rFonts w:hint="eastAsia" w:ascii="宋体" w:hAnsi="宋体"/>
          <w:b w:val="0"/>
          <w:bCs w:val="0"/>
          <w:color w:val="auto"/>
          <w:sz w:val="21"/>
          <w:szCs w:val="21"/>
          <w:highlight w:val="none"/>
        </w:rPr>
        <w:fldChar w:fldCharType="begin"/>
      </w:r>
      <w:r>
        <w:rPr>
          <w:rFonts w:hint="eastAsia" w:ascii="宋体" w:hAnsi="宋体"/>
          <w:b w:val="0"/>
          <w:bCs w:val="0"/>
          <w:color w:val="auto"/>
          <w:sz w:val="21"/>
          <w:szCs w:val="21"/>
          <w:highlight w:val="none"/>
        </w:rPr>
        <w:instrText xml:space="preserve"> </w:instrText>
      </w:r>
      <w:r>
        <w:rPr>
          <w:rFonts w:ascii="宋体" w:hAnsi="宋体"/>
          <w:b w:val="0"/>
          <w:bCs w:val="0"/>
          <w:color w:val="auto"/>
          <w:sz w:val="21"/>
          <w:szCs w:val="21"/>
          <w:highlight w:val="none"/>
        </w:rPr>
        <w:instrText xml:space="preserve">PAGEREF _Toc180143790 \h</w:instrText>
      </w:r>
      <w:r>
        <w:rPr>
          <w:rFonts w:hint="eastAsia" w:ascii="宋体" w:hAnsi="宋体"/>
          <w:b w:val="0"/>
          <w:bCs w:val="0"/>
          <w:color w:val="auto"/>
          <w:sz w:val="21"/>
          <w:szCs w:val="21"/>
          <w:highlight w:val="none"/>
        </w:rPr>
        <w:instrText xml:space="preserve"> </w:instrText>
      </w:r>
      <w:r>
        <w:rPr>
          <w:rFonts w:hint="eastAsia" w:ascii="宋体" w:hAnsi="宋体"/>
          <w:b w:val="0"/>
          <w:bCs w:val="0"/>
          <w:color w:val="auto"/>
          <w:sz w:val="21"/>
          <w:szCs w:val="21"/>
          <w:highlight w:val="none"/>
        </w:rPr>
        <w:fldChar w:fldCharType="separate"/>
      </w:r>
      <w:r>
        <w:rPr>
          <w:rFonts w:ascii="宋体" w:hAnsi="宋体"/>
          <w:b w:val="0"/>
          <w:bCs w:val="0"/>
          <w:color w:val="auto"/>
          <w:sz w:val="21"/>
          <w:szCs w:val="21"/>
          <w:highlight w:val="none"/>
        </w:rPr>
        <w:t>87</w:t>
      </w:r>
      <w:r>
        <w:rPr>
          <w:rFonts w:hint="eastAsia" w:ascii="宋体" w:hAnsi="宋体"/>
          <w:b w:val="0"/>
          <w:bCs w:val="0"/>
          <w:color w:val="auto"/>
          <w:sz w:val="21"/>
          <w:szCs w:val="21"/>
          <w:highlight w:val="none"/>
        </w:rPr>
        <w:fldChar w:fldCharType="end"/>
      </w:r>
      <w:r>
        <w:rPr>
          <w:rFonts w:hint="eastAsia" w:ascii="宋体" w:hAnsi="宋体"/>
          <w:b w:val="0"/>
          <w:bCs w:val="0"/>
          <w:color w:val="auto"/>
          <w:sz w:val="21"/>
          <w:szCs w:val="21"/>
          <w:highlight w:val="none"/>
        </w:rPr>
        <w:fldChar w:fldCharType="end"/>
      </w:r>
    </w:p>
    <w:p w14:paraId="573BBDC8">
      <w:pPr>
        <w:pStyle w:val="42"/>
        <w:tabs>
          <w:tab w:val="right" w:leader="dot" w:pos="8948"/>
        </w:tabs>
        <w:spacing w:line="360" w:lineRule="auto"/>
        <w:ind w:left="0" w:firstLine="400" w:firstLineChars="200"/>
        <w:rPr>
          <w:rFonts w:hint="eastAsia" w:ascii="宋体" w:hAnsi="宋体" w:cstheme="minorBidi"/>
          <w:smallCaps w:val="0"/>
          <w:color w:val="auto"/>
          <w:sz w:val="21"/>
          <w:szCs w:val="21"/>
          <w:highlight w:val="none"/>
          <w14:ligatures w14:val="standardContextual"/>
        </w:rPr>
      </w:pPr>
      <w:r>
        <w:rPr>
          <w:color w:val="auto"/>
          <w:highlight w:val="none"/>
        </w:rPr>
        <w:fldChar w:fldCharType="begin"/>
      </w:r>
      <w:r>
        <w:rPr>
          <w:color w:val="auto"/>
          <w:highlight w:val="none"/>
        </w:rPr>
        <w:instrText xml:space="preserve"> HYPERLINK \l "_Toc180143791" </w:instrText>
      </w:r>
      <w:r>
        <w:rPr>
          <w:color w:val="auto"/>
          <w:highlight w:val="none"/>
        </w:rPr>
        <w:fldChar w:fldCharType="separate"/>
      </w:r>
      <w:r>
        <w:rPr>
          <w:rStyle w:val="60"/>
          <w:rFonts w:hint="eastAsia" w:ascii="宋体" w:hAnsi="宋体"/>
          <w:color w:val="auto"/>
          <w:sz w:val="21"/>
          <w:szCs w:val="21"/>
          <w:highlight w:val="none"/>
        </w:rPr>
        <w:t>一、评标办法前附表</w:t>
      </w:r>
      <w:r>
        <w:rPr>
          <w:rFonts w:hint="eastAsia" w:ascii="宋体" w:hAnsi="宋体"/>
          <w:color w:val="auto"/>
          <w:sz w:val="21"/>
          <w:szCs w:val="21"/>
          <w:highlight w:val="none"/>
        </w:rPr>
        <w:tab/>
      </w:r>
      <w:r>
        <w:rPr>
          <w:rFonts w:hint="eastAsia" w:ascii="宋体" w:hAnsi="宋体"/>
          <w:color w:val="auto"/>
          <w:sz w:val="21"/>
          <w:szCs w:val="21"/>
          <w:highlight w:val="none"/>
        </w:rPr>
        <w:fldChar w:fldCharType="begin"/>
      </w:r>
      <w:r>
        <w:rPr>
          <w:rFonts w:hint="eastAsia" w:ascii="宋体" w:hAnsi="宋体"/>
          <w:color w:val="auto"/>
          <w:sz w:val="21"/>
          <w:szCs w:val="21"/>
          <w:highlight w:val="none"/>
        </w:rPr>
        <w:instrText xml:space="preserve"> </w:instrText>
      </w:r>
      <w:r>
        <w:rPr>
          <w:rFonts w:ascii="宋体" w:hAnsi="宋体"/>
          <w:color w:val="auto"/>
          <w:sz w:val="21"/>
          <w:szCs w:val="21"/>
          <w:highlight w:val="none"/>
        </w:rPr>
        <w:instrText xml:space="preserve">PAGEREF _Toc180143791 \h</w:instrText>
      </w:r>
      <w:r>
        <w:rPr>
          <w:rFonts w:hint="eastAsia" w:ascii="宋体" w:hAnsi="宋体"/>
          <w:color w:val="auto"/>
          <w:sz w:val="21"/>
          <w:szCs w:val="21"/>
          <w:highlight w:val="none"/>
        </w:rPr>
        <w:instrText xml:space="preserve"> </w:instrText>
      </w:r>
      <w:r>
        <w:rPr>
          <w:rFonts w:hint="eastAsia" w:ascii="宋体" w:hAnsi="宋体"/>
          <w:color w:val="auto"/>
          <w:sz w:val="21"/>
          <w:szCs w:val="21"/>
          <w:highlight w:val="none"/>
        </w:rPr>
        <w:fldChar w:fldCharType="separate"/>
      </w:r>
      <w:r>
        <w:rPr>
          <w:rFonts w:ascii="宋体" w:hAnsi="宋体"/>
          <w:color w:val="auto"/>
          <w:sz w:val="21"/>
          <w:szCs w:val="21"/>
          <w:highlight w:val="none"/>
        </w:rPr>
        <w:t>87</w:t>
      </w:r>
      <w:r>
        <w:rPr>
          <w:rFonts w:hint="eastAsia" w:ascii="宋体" w:hAnsi="宋体"/>
          <w:color w:val="auto"/>
          <w:sz w:val="21"/>
          <w:szCs w:val="21"/>
          <w:highlight w:val="none"/>
        </w:rPr>
        <w:fldChar w:fldCharType="end"/>
      </w:r>
      <w:r>
        <w:rPr>
          <w:rFonts w:hint="eastAsia" w:ascii="宋体" w:hAnsi="宋体"/>
          <w:color w:val="auto"/>
          <w:sz w:val="21"/>
          <w:szCs w:val="21"/>
          <w:highlight w:val="none"/>
        </w:rPr>
        <w:fldChar w:fldCharType="end"/>
      </w:r>
    </w:p>
    <w:p w14:paraId="29EC81CA">
      <w:pPr>
        <w:pStyle w:val="42"/>
        <w:tabs>
          <w:tab w:val="right" w:leader="dot" w:pos="8948"/>
        </w:tabs>
        <w:spacing w:line="360" w:lineRule="auto"/>
        <w:ind w:left="0" w:firstLine="400" w:firstLineChars="200"/>
        <w:rPr>
          <w:rFonts w:hint="eastAsia" w:ascii="宋体" w:hAnsi="宋体" w:cstheme="minorBidi"/>
          <w:smallCaps w:val="0"/>
          <w:color w:val="auto"/>
          <w:sz w:val="21"/>
          <w:szCs w:val="21"/>
          <w:highlight w:val="none"/>
          <w14:ligatures w14:val="standardContextual"/>
        </w:rPr>
      </w:pPr>
      <w:r>
        <w:rPr>
          <w:color w:val="auto"/>
          <w:highlight w:val="none"/>
        </w:rPr>
        <w:fldChar w:fldCharType="begin"/>
      </w:r>
      <w:r>
        <w:rPr>
          <w:color w:val="auto"/>
          <w:highlight w:val="none"/>
        </w:rPr>
        <w:instrText xml:space="preserve"> HYPERLINK \l "_Toc180143792" </w:instrText>
      </w:r>
      <w:r>
        <w:rPr>
          <w:color w:val="auto"/>
          <w:highlight w:val="none"/>
        </w:rPr>
        <w:fldChar w:fldCharType="separate"/>
      </w:r>
      <w:r>
        <w:rPr>
          <w:rStyle w:val="60"/>
          <w:rFonts w:hint="eastAsia" w:ascii="宋体" w:hAnsi="宋体"/>
          <w:color w:val="auto"/>
          <w:sz w:val="21"/>
          <w:szCs w:val="21"/>
          <w:highlight w:val="none"/>
        </w:rPr>
        <w:t>二、评标办法正文部分</w:t>
      </w:r>
      <w:r>
        <w:rPr>
          <w:rFonts w:hint="eastAsia" w:ascii="宋体" w:hAnsi="宋体"/>
          <w:color w:val="auto"/>
          <w:sz w:val="21"/>
          <w:szCs w:val="21"/>
          <w:highlight w:val="none"/>
        </w:rPr>
        <w:tab/>
      </w:r>
      <w:r>
        <w:rPr>
          <w:rFonts w:hint="eastAsia" w:ascii="宋体" w:hAnsi="宋体"/>
          <w:color w:val="auto"/>
          <w:sz w:val="21"/>
          <w:szCs w:val="21"/>
          <w:highlight w:val="none"/>
        </w:rPr>
        <w:fldChar w:fldCharType="begin"/>
      </w:r>
      <w:r>
        <w:rPr>
          <w:rFonts w:hint="eastAsia" w:ascii="宋体" w:hAnsi="宋体"/>
          <w:color w:val="auto"/>
          <w:sz w:val="21"/>
          <w:szCs w:val="21"/>
          <w:highlight w:val="none"/>
        </w:rPr>
        <w:instrText xml:space="preserve"> </w:instrText>
      </w:r>
      <w:r>
        <w:rPr>
          <w:rFonts w:ascii="宋体" w:hAnsi="宋体"/>
          <w:color w:val="auto"/>
          <w:sz w:val="21"/>
          <w:szCs w:val="21"/>
          <w:highlight w:val="none"/>
        </w:rPr>
        <w:instrText xml:space="preserve">PAGEREF _Toc180143792 \h</w:instrText>
      </w:r>
      <w:r>
        <w:rPr>
          <w:rFonts w:hint="eastAsia" w:ascii="宋体" w:hAnsi="宋体"/>
          <w:color w:val="auto"/>
          <w:sz w:val="21"/>
          <w:szCs w:val="21"/>
          <w:highlight w:val="none"/>
        </w:rPr>
        <w:instrText xml:space="preserve"> </w:instrText>
      </w:r>
      <w:r>
        <w:rPr>
          <w:rFonts w:hint="eastAsia" w:ascii="宋体" w:hAnsi="宋体"/>
          <w:color w:val="auto"/>
          <w:sz w:val="21"/>
          <w:szCs w:val="21"/>
          <w:highlight w:val="none"/>
        </w:rPr>
        <w:fldChar w:fldCharType="separate"/>
      </w:r>
      <w:r>
        <w:rPr>
          <w:rFonts w:ascii="宋体" w:hAnsi="宋体"/>
          <w:color w:val="auto"/>
          <w:sz w:val="21"/>
          <w:szCs w:val="21"/>
          <w:highlight w:val="none"/>
        </w:rPr>
        <w:t>89</w:t>
      </w:r>
      <w:r>
        <w:rPr>
          <w:rFonts w:hint="eastAsia" w:ascii="宋体" w:hAnsi="宋体"/>
          <w:color w:val="auto"/>
          <w:sz w:val="21"/>
          <w:szCs w:val="21"/>
          <w:highlight w:val="none"/>
        </w:rPr>
        <w:fldChar w:fldCharType="end"/>
      </w:r>
      <w:r>
        <w:rPr>
          <w:rFonts w:hint="eastAsia" w:ascii="宋体" w:hAnsi="宋体"/>
          <w:color w:val="auto"/>
          <w:sz w:val="21"/>
          <w:szCs w:val="21"/>
          <w:highlight w:val="none"/>
        </w:rPr>
        <w:fldChar w:fldCharType="end"/>
      </w:r>
    </w:p>
    <w:p w14:paraId="713BFDF1">
      <w:pPr>
        <w:pStyle w:val="35"/>
        <w:tabs>
          <w:tab w:val="right" w:leader="dot" w:pos="8948"/>
        </w:tabs>
        <w:spacing w:before="0" w:after="0" w:line="360" w:lineRule="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fldChar w:fldCharType="end"/>
      </w:r>
    </w:p>
    <w:p w14:paraId="258A0568">
      <w:pPr>
        <w:widowControl/>
        <w:jc w:val="left"/>
        <w:rPr>
          <w:rFonts w:hint="eastAsia" w:asciiTheme="minorEastAsia" w:hAnsiTheme="minorEastAsia" w:eastAsiaTheme="minorEastAsia" w:cstheme="minorHAnsi"/>
          <w:bCs/>
          <w:smallCaps/>
          <w:color w:val="auto"/>
          <w:sz w:val="20"/>
          <w:szCs w:val="21"/>
          <w:highlight w:val="none"/>
        </w:rPr>
      </w:pPr>
      <w:r>
        <w:rPr>
          <w:rFonts w:asciiTheme="minorEastAsia" w:hAnsiTheme="minorEastAsia" w:eastAsiaTheme="minorEastAsia" w:cstheme="minorHAnsi"/>
          <w:bCs/>
          <w:color w:val="auto"/>
          <w:szCs w:val="21"/>
          <w:highlight w:val="none"/>
        </w:rPr>
        <w:br w:type="page"/>
      </w:r>
    </w:p>
    <w:p w14:paraId="3AFE2E30">
      <w:pPr>
        <w:pStyle w:val="42"/>
        <w:tabs>
          <w:tab w:val="right" w:leader="dot" w:pos="8948"/>
        </w:tabs>
        <w:spacing w:line="360" w:lineRule="auto"/>
        <w:ind w:left="0"/>
        <w:jc w:val="center"/>
        <w:outlineLvl w:val="0"/>
        <w:rPr>
          <w:rFonts w:hint="eastAsia" w:asciiTheme="minorEastAsia" w:hAnsiTheme="minorEastAsia" w:eastAsiaTheme="minorEastAsia"/>
          <w:b/>
          <w:bCs/>
          <w:color w:val="auto"/>
          <w:sz w:val="32"/>
          <w:szCs w:val="32"/>
          <w:highlight w:val="none"/>
        </w:rPr>
      </w:pPr>
      <w:bookmarkStart w:id="6" w:name="_Toc180143768"/>
      <w:r>
        <w:rPr>
          <w:rFonts w:hint="eastAsia" w:asciiTheme="minorEastAsia" w:hAnsiTheme="minorEastAsia" w:eastAsiaTheme="minorEastAsia"/>
          <w:b/>
          <w:bCs/>
          <w:color w:val="auto"/>
          <w:sz w:val="32"/>
          <w:szCs w:val="32"/>
          <w:highlight w:val="none"/>
        </w:rPr>
        <w:t xml:space="preserve">第一章 </w:t>
      </w:r>
      <w:bookmarkStart w:id="7" w:name="_Hlk69293590"/>
      <w:r>
        <w:rPr>
          <w:rFonts w:hint="eastAsia" w:asciiTheme="minorEastAsia" w:hAnsiTheme="minorEastAsia" w:eastAsiaTheme="minorEastAsia"/>
          <w:b/>
          <w:bCs/>
          <w:color w:val="auto"/>
          <w:sz w:val="32"/>
          <w:szCs w:val="32"/>
          <w:highlight w:val="none"/>
        </w:rPr>
        <w:t>公开招标公告</w:t>
      </w:r>
      <w:bookmarkEnd w:id="3"/>
      <w:bookmarkEnd w:id="4"/>
      <w:bookmarkEnd w:id="6"/>
    </w:p>
    <w:p w14:paraId="443EC53F">
      <w:pPr>
        <w:pBdr>
          <w:top w:val="single" w:color="auto" w:sz="4" w:space="4"/>
          <w:left w:val="single" w:color="auto" w:sz="4" w:space="0"/>
          <w:bottom w:val="single" w:color="auto" w:sz="4" w:space="1"/>
          <w:right w:val="single" w:color="auto" w:sz="4" w:space="0"/>
        </w:pBdr>
        <w:spacing w:line="360"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项目概况</w:t>
      </w:r>
    </w:p>
    <w:p w14:paraId="3721EB9D">
      <w:pPr>
        <w:pBdr>
          <w:top w:val="single" w:color="auto" w:sz="4" w:space="4"/>
          <w:left w:val="single" w:color="auto" w:sz="4" w:space="0"/>
          <w:bottom w:val="single" w:color="auto" w:sz="4" w:space="1"/>
          <w:right w:val="single" w:color="auto" w:sz="4" w:space="0"/>
        </w:pBdr>
        <w:wordWrap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u w:val="single"/>
        </w:rPr>
        <w:t>昆明市第二十四中学理化生实验室升级改造设备采购项目</w:t>
      </w:r>
      <w:r>
        <w:rPr>
          <w:rFonts w:hint="eastAsia" w:asciiTheme="minorEastAsia" w:hAnsiTheme="minorEastAsia" w:eastAsiaTheme="minorEastAsia"/>
          <w:color w:val="auto"/>
          <w:szCs w:val="21"/>
          <w:highlight w:val="none"/>
        </w:rPr>
        <w:t>采购项目的潜在供应商应在</w:t>
      </w:r>
      <w:r>
        <w:rPr>
          <w:rFonts w:hint="eastAsia" w:asciiTheme="minorEastAsia" w:hAnsiTheme="minorEastAsia" w:eastAsiaTheme="minorEastAsia"/>
          <w:color w:val="auto"/>
          <w:szCs w:val="21"/>
          <w:highlight w:val="none"/>
          <w:u w:val="single"/>
        </w:rPr>
        <w:t>政府采购云平台（网址：</w:t>
      </w:r>
      <w:r>
        <w:rPr>
          <w:rFonts w:asciiTheme="minorEastAsia" w:hAnsiTheme="minorEastAsia" w:eastAsiaTheme="minorEastAsia"/>
          <w:color w:val="auto"/>
          <w:szCs w:val="21"/>
          <w:highlight w:val="none"/>
          <w:u w:val="single"/>
        </w:rPr>
        <w:t>https</w:t>
      </w:r>
      <w:r>
        <w:rPr>
          <w:rFonts w:hint="eastAsia" w:asciiTheme="minorEastAsia" w:hAnsiTheme="minorEastAsia" w:eastAsiaTheme="minorEastAsia"/>
          <w:color w:val="auto"/>
          <w:szCs w:val="21"/>
          <w:highlight w:val="none"/>
          <w:u w:val="single"/>
        </w:rPr>
        <w:t>：</w:t>
      </w:r>
      <w:r>
        <w:rPr>
          <w:rFonts w:asciiTheme="minorEastAsia" w:hAnsiTheme="minorEastAsia" w:eastAsiaTheme="minorEastAsia"/>
          <w:color w:val="auto"/>
          <w:szCs w:val="21"/>
          <w:highlight w:val="none"/>
          <w:u w:val="single"/>
        </w:rPr>
        <w:t>//www.zcygov.cn/</w:t>
      </w:r>
      <w:r>
        <w:rPr>
          <w:rFonts w:hint="eastAsia"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rPr>
        <w:t>获取采购文件，并于202</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04</w:t>
      </w:r>
      <w:r>
        <w:rPr>
          <w:rFonts w:hint="eastAsia" w:asciiTheme="minorEastAsia" w:hAnsiTheme="minorEastAsia" w:eastAsiaTheme="minorEastAsia"/>
          <w:color w:val="auto"/>
          <w:szCs w:val="21"/>
          <w:highlight w:val="none"/>
        </w:rPr>
        <w:t xml:space="preserve"> </w:t>
      </w:r>
      <w:r>
        <w:rPr>
          <w:rFonts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rPr>
        <w:t>09：</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0（北京时间）前递交投标文件。</w:t>
      </w:r>
    </w:p>
    <w:p w14:paraId="2B58A4D4">
      <w:pPr>
        <w:spacing w:before="120" w:beforeLines="50" w:line="360" w:lineRule="auto"/>
        <w:ind w:firstLine="482"/>
        <w:outlineLvl w:val="1"/>
        <w:rPr>
          <w:rFonts w:hint="eastAsia" w:asciiTheme="minorEastAsia" w:hAnsiTheme="minorEastAsia" w:eastAsiaTheme="minorEastAsia"/>
          <w:b/>
          <w:bCs/>
          <w:color w:val="auto"/>
          <w:sz w:val="24"/>
          <w:szCs w:val="24"/>
          <w:highlight w:val="none"/>
        </w:rPr>
      </w:pPr>
      <w:bookmarkStart w:id="8" w:name="_Toc28359012"/>
      <w:bookmarkStart w:id="9" w:name="_Toc98033911"/>
      <w:bookmarkStart w:id="10" w:name="_Toc45976872"/>
      <w:bookmarkStart w:id="11" w:name="_Toc35393629"/>
      <w:bookmarkStart w:id="12" w:name="_Toc98864988"/>
      <w:bookmarkStart w:id="13" w:name="_Toc28359089"/>
      <w:bookmarkStart w:id="14" w:name="_Toc53412193"/>
      <w:bookmarkStart w:id="15" w:name="_Toc83753869"/>
      <w:bookmarkStart w:id="16" w:name="_Toc87538346"/>
      <w:bookmarkStart w:id="17" w:name="_Toc45791325"/>
      <w:bookmarkStart w:id="18" w:name="_Toc35393798"/>
      <w:bookmarkStart w:id="19" w:name="_Toc109809289"/>
      <w:bookmarkStart w:id="20" w:name="_Toc87543795"/>
      <w:bookmarkStart w:id="21" w:name="_Toc84356229"/>
      <w:bookmarkStart w:id="22" w:name="_Toc180143769"/>
      <w:bookmarkStart w:id="23" w:name="_Toc69678406"/>
      <w:r>
        <w:rPr>
          <w:rFonts w:hint="eastAsia" w:asciiTheme="minorEastAsia" w:hAnsiTheme="minorEastAsia" w:eastAsiaTheme="minorEastAsia"/>
          <w:b/>
          <w:bCs/>
          <w:color w:val="auto"/>
          <w:sz w:val="24"/>
          <w:szCs w:val="24"/>
          <w:highlight w:val="none"/>
        </w:rPr>
        <w:t>一、项目基本情况</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2B814BD">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项目编号：YNMY-2024-0184</w:t>
      </w:r>
    </w:p>
    <w:p w14:paraId="6B004138">
      <w:pPr>
        <w:spacing w:line="360" w:lineRule="auto"/>
        <w:ind w:firstLine="420" w:firstLineChars="200"/>
        <w:rPr>
          <w:rFonts w:hint="eastAsia"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项目名称：昆明市第二十四中学理化生实验室升级改造设备采购项目</w:t>
      </w:r>
    </w:p>
    <w:p w14:paraId="03D2E1C8">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预算金额（万元）：195</w:t>
      </w:r>
    </w:p>
    <w:p w14:paraId="4C2C775E">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最高限价（万元）：195</w:t>
      </w:r>
    </w:p>
    <w:p w14:paraId="60EC3673">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需求：本次采购内容包括智能化学吊装系统2套、智能生物吊装系统2套、智能物理吊装系统2套、高中物理新课标实验仪器1批、高中化学新课标实验仪器1批、高中生物新课标实验仪器1批；以及化学实验室、生物实验室、物理实验室的环境氛围升级改造。</w:t>
      </w:r>
      <w:r>
        <w:rPr>
          <w:rFonts w:hint="eastAsia" w:ascii="宋体" w:hAnsi="宋体"/>
          <w:color w:val="auto"/>
          <w:highlight w:val="none"/>
        </w:rPr>
        <w:t>（具体采购内容及要求详见采购文件第五章“采购清单及要求”）。</w:t>
      </w:r>
    </w:p>
    <w:p w14:paraId="60F1C9CB">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合同履行期限：</w:t>
      </w:r>
      <w:r>
        <w:rPr>
          <w:rFonts w:hint="eastAsia" w:ascii="宋体" w:hAnsi="宋体" w:cs="宋体"/>
          <w:color w:val="auto"/>
          <w:highlight w:val="none"/>
        </w:rPr>
        <w:t>合同签订后30日历天内完成实验室改造以及设备安装、调试等所有工作</w:t>
      </w:r>
      <w:r>
        <w:rPr>
          <w:rFonts w:hint="eastAsia" w:asciiTheme="minorEastAsia" w:hAnsiTheme="minorEastAsia" w:eastAsiaTheme="minorEastAsia"/>
          <w:color w:val="auto"/>
          <w:szCs w:val="21"/>
          <w:highlight w:val="none"/>
        </w:rPr>
        <w:t>。</w:t>
      </w:r>
    </w:p>
    <w:p w14:paraId="36D75FCA">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本项目（否）接受联合体投标。</w:t>
      </w:r>
    </w:p>
    <w:p w14:paraId="7F82A990">
      <w:pPr>
        <w:spacing w:line="360" w:lineRule="auto"/>
        <w:ind w:firstLine="482"/>
        <w:outlineLvl w:val="1"/>
        <w:rPr>
          <w:rFonts w:hint="eastAsia" w:asciiTheme="minorEastAsia" w:hAnsiTheme="minorEastAsia" w:eastAsiaTheme="minorEastAsia"/>
          <w:b/>
          <w:bCs/>
          <w:color w:val="auto"/>
          <w:sz w:val="24"/>
          <w:szCs w:val="24"/>
          <w:highlight w:val="none"/>
        </w:rPr>
      </w:pPr>
      <w:bookmarkStart w:id="24" w:name="_Toc180143770"/>
      <w:bookmarkStart w:id="25" w:name="_Toc87538347"/>
      <w:bookmarkStart w:id="26" w:name="_Toc83753870"/>
      <w:bookmarkStart w:id="27" w:name="_Toc28359090"/>
      <w:bookmarkStart w:id="28" w:name="_Toc35393799"/>
      <w:bookmarkStart w:id="29" w:name="_Toc98033912"/>
      <w:bookmarkStart w:id="30" w:name="_Toc45976873"/>
      <w:bookmarkStart w:id="31" w:name="_Toc69678407"/>
      <w:bookmarkStart w:id="32" w:name="_Toc84356230"/>
      <w:bookmarkStart w:id="33" w:name="_Toc53412194"/>
      <w:bookmarkStart w:id="34" w:name="_Toc28359013"/>
      <w:bookmarkStart w:id="35" w:name="_Toc109809290"/>
      <w:bookmarkStart w:id="36" w:name="_Toc98864989"/>
      <w:bookmarkStart w:id="37" w:name="_Toc45791326"/>
      <w:bookmarkStart w:id="38" w:name="_Toc87543796"/>
      <w:bookmarkStart w:id="39" w:name="_Toc35393630"/>
      <w:r>
        <w:rPr>
          <w:rFonts w:hint="eastAsia" w:asciiTheme="minorEastAsia" w:hAnsiTheme="minorEastAsia" w:eastAsiaTheme="minorEastAsia"/>
          <w:b/>
          <w:bCs/>
          <w:color w:val="auto"/>
          <w:sz w:val="24"/>
          <w:szCs w:val="24"/>
          <w:highlight w:val="none"/>
        </w:rPr>
        <w:t>二、申请人的资格要求</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52AFE9B4">
      <w:pPr>
        <w:spacing w:line="360" w:lineRule="auto"/>
        <w:ind w:firstLine="420" w:firstLineChars="200"/>
        <w:rPr>
          <w:rFonts w:hint="eastAsia" w:asciiTheme="minorEastAsia" w:hAnsiTheme="minorEastAsia" w:eastAsiaTheme="minorEastAsia"/>
          <w:color w:val="auto"/>
          <w:szCs w:val="21"/>
          <w:highlight w:val="none"/>
        </w:rPr>
      </w:pPr>
      <w:bookmarkStart w:id="40" w:name="_Hlk109738198"/>
      <w:bookmarkStart w:id="41" w:name="_Toc28359091"/>
      <w:bookmarkStart w:id="42" w:name="_Toc28359014"/>
      <w:r>
        <w:rPr>
          <w:rFonts w:hint="eastAsia" w:asciiTheme="minorEastAsia" w:hAnsiTheme="minorEastAsia" w:eastAsiaTheme="minorEastAsia"/>
          <w:color w:val="auto"/>
          <w:szCs w:val="21"/>
          <w:highlight w:val="none"/>
        </w:rPr>
        <w:t>1.满足《中华人民共和国政府采购法》第二十二条规定；</w:t>
      </w:r>
    </w:p>
    <w:p w14:paraId="41A589EA">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落实政府采购政策需满足的资格要求：无；（1）昆明市第二十四中学理化生实验室升级改造设备采购项目：小微企业价格扣除优惠比例：10%、大中企业与小微企业组成联合体评审优惠比例：4%、大中企业向小微企业合同分包评审优惠比例：4%。</w:t>
      </w:r>
    </w:p>
    <w:p w14:paraId="06A8A297">
      <w:pPr>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本项目的特定资格要求：</w:t>
      </w:r>
      <w:r>
        <w:rPr>
          <w:rFonts w:hint="eastAsia" w:ascii="宋体" w:hAnsi="宋体"/>
          <w:color w:val="auto"/>
          <w:szCs w:val="21"/>
          <w:highlight w:val="none"/>
        </w:rPr>
        <w:t>无</w:t>
      </w:r>
      <w:r>
        <w:rPr>
          <w:rFonts w:hint="eastAsia" w:ascii="宋体" w:hAnsi="宋体"/>
          <w:color w:val="auto"/>
          <w:highlight w:val="none"/>
        </w:rPr>
        <w:t>。</w:t>
      </w:r>
    </w:p>
    <w:bookmarkEnd w:id="40"/>
    <w:p w14:paraId="0E722066">
      <w:pPr>
        <w:spacing w:line="360" w:lineRule="auto"/>
        <w:ind w:firstLine="482"/>
        <w:outlineLvl w:val="1"/>
        <w:rPr>
          <w:rFonts w:hint="eastAsia" w:asciiTheme="minorEastAsia" w:hAnsiTheme="minorEastAsia" w:eastAsiaTheme="minorEastAsia"/>
          <w:b/>
          <w:bCs/>
          <w:color w:val="auto"/>
          <w:sz w:val="24"/>
          <w:szCs w:val="24"/>
          <w:highlight w:val="none"/>
        </w:rPr>
      </w:pPr>
      <w:bookmarkStart w:id="43" w:name="_Toc35393800"/>
      <w:bookmarkStart w:id="44" w:name="_Toc35393631"/>
      <w:bookmarkStart w:id="45" w:name="_Toc87538348"/>
      <w:bookmarkStart w:id="46" w:name="_Toc45976874"/>
      <w:bookmarkStart w:id="47" w:name="_Toc84356231"/>
      <w:bookmarkStart w:id="48" w:name="_Toc98033913"/>
      <w:bookmarkStart w:id="49" w:name="_Toc109809291"/>
      <w:bookmarkStart w:id="50" w:name="_Toc53412195"/>
      <w:bookmarkStart w:id="51" w:name="_Toc87543797"/>
      <w:bookmarkStart w:id="52" w:name="_Toc98864990"/>
      <w:bookmarkStart w:id="53" w:name="_Toc180143771"/>
      <w:bookmarkStart w:id="54" w:name="_Toc45791327"/>
      <w:bookmarkStart w:id="55" w:name="_Toc69678408"/>
      <w:bookmarkStart w:id="56" w:name="_Toc83753871"/>
      <w:r>
        <w:rPr>
          <w:rFonts w:hint="eastAsia" w:asciiTheme="minorEastAsia" w:hAnsiTheme="minorEastAsia" w:eastAsiaTheme="minorEastAsia"/>
          <w:b/>
          <w:bCs/>
          <w:color w:val="auto"/>
          <w:sz w:val="24"/>
          <w:szCs w:val="24"/>
          <w:highlight w:val="none"/>
        </w:rPr>
        <w:t>三、获取</w:t>
      </w:r>
      <w:bookmarkEnd w:id="41"/>
      <w:bookmarkEnd w:id="42"/>
      <w:bookmarkEnd w:id="43"/>
      <w:bookmarkEnd w:id="44"/>
      <w:r>
        <w:rPr>
          <w:rFonts w:hint="eastAsia" w:asciiTheme="minorEastAsia" w:hAnsiTheme="minorEastAsia" w:eastAsiaTheme="minorEastAsia"/>
          <w:b/>
          <w:bCs/>
          <w:color w:val="auto"/>
          <w:sz w:val="24"/>
          <w:szCs w:val="24"/>
          <w:highlight w:val="none"/>
        </w:rPr>
        <w:t>采购文件</w:t>
      </w:r>
      <w:bookmarkEnd w:id="45"/>
      <w:bookmarkEnd w:id="46"/>
      <w:bookmarkEnd w:id="47"/>
      <w:bookmarkEnd w:id="48"/>
      <w:bookmarkEnd w:id="49"/>
      <w:bookmarkEnd w:id="50"/>
      <w:bookmarkEnd w:id="51"/>
      <w:bookmarkEnd w:id="52"/>
      <w:bookmarkEnd w:id="53"/>
      <w:bookmarkEnd w:id="54"/>
      <w:bookmarkEnd w:id="55"/>
      <w:bookmarkEnd w:id="56"/>
    </w:p>
    <w:p w14:paraId="4B519C9B">
      <w:pPr>
        <w:spacing w:line="360" w:lineRule="auto"/>
        <w:ind w:firstLine="420" w:firstLineChars="200"/>
        <w:rPr>
          <w:rFonts w:hint="eastAsia" w:ascii="宋体" w:hAnsi="宋体"/>
          <w:color w:val="auto"/>
          <w:szCs w:val="21"/>
          <w:highlight w:val="none"/>
        </w:rPr>
      </w:pPr>
      <w:r>
        <w:rPr>
          <w:rFonts w:hint="eastAsia" w:asciiTheme="minorEastAsia" w:hAnsiTheme="minorEastAsia" w:eastAsiaTheme="minorEastAsia"/>
          <w:color w:val="auto"/>
          <w:szCs w:val="21"/>
          <w:highlight w:val="none"/>
        </w:rPr>
        <w:t>时间：2024-</w:t>
      </w:r>
      <w:r>
        <w:rPr>
          <w:rFonts w:hint="eastAsia" w:asciiTheme="minorEastAsia" w:hAnsiTheme="minorEastAsia" w:eastAsiaTheme="minorEastAsia"/>
          <w:color w:val="auto"/>
          <w:szCs w:val="21"/>
          <w:highlight w:val="none"/>
          <w:lang w:val="en-US" w:eastAsia="zh-CN"/>
        </w:rPr>
        <w:t>11</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 xml:space="preserve">  00：00至202</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11</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19</w:t>
      </w:r>
      <w:r>
        <w:rPr>
          <w:rFonts w:hint="eastAsia" w:asciiTheme="minorEastAsia" w:hAnsiTheme="minorEastAsia" w:eastAsiaTheme="minorEastAsia"/>
          <w:color w:val="auto"/>
          <w:szCs w:val="21"/>
          <w:highlight w:val="none"/>
        </w:rPr>
        <w:t xml:space="preserve">  </w:t>
      </w:r>
      <w:r>
        <w:rPr>
          <w:rFonts w:asciiTheme="minorEastAsia" w:hAnsiTheme="minorEastAsia" w:eastAsiaTheme="minorEastAsia"/>
          <w:color w:val="auto"/>
          <w:szCs w:val="21"/>
          <w:highlight w:val="none"/>
        </w:rPr>
        <w:t>23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59</w:t>
      </w:r>
      <w:r>
        <w:rPr>
          <w:rFonts w:hint="eastAsia" w:asciiTheme="minorEastAsia" w:hAnsiTheme="minorEastAsia" w:eastAsiaTheme="minorEastAsia"/>
          <w:color w:val="auto"/>
          <w:szCs w:val="21"/>
          <w:highlight w:val="none"/>
        </w:rPr>
        <w:t>，每天上午00：00至12：00，下午12：00至23：59</w:t>
      </w:r>
      <w:r>
        <w:rPr>
          <w:rFonts w:hint="eastAsia" w:ascii="宋体" w:hAnsi="宋体"/>
          <w:color w:val="auto"/>
          <w:szCs w:val="21"/>
          <w:highlight w:val="none"/>
        </w:rPr>
        <w:t>（北京时间，法定节假日除外）</w:t>
      </w:r>
    </w:p>
    <w:p w14:paraId="14F1BE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地点：政府采购云平台（</w:t>
      </w:r>
      <w:r>
        <w:rPr>
          <w:rFonts w:hint="eastAsia" w:ascii="宋体" w:hAnsi="宋体"/>
          <w:color w:val="auto"/>
          <w:szCs w:val="21"/>
          <w:highlight w:val="none"/>
        </w:rPr>
        <w:t>网址：</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0"/>
          <w:rFonts w:ascii="宋体" w:hAnsi="宋体"/>
          <w:color w:val="auto"/>
          <w:szCs w:val="21"/>
          <w:highlight w:val="none"/>
          <w:u w:val="none"/>
        </w:rPr>
        <w:t>https</w:t>
      </w:r>
      <w:r>
        <w:rPr>
          <w:rStyle w:val="60"/>
          <w:rFonts w:hint="eastAsia" w:ascii="宋体" w:hAnsi="宋体"/>
          <w:color w:val="auto"/>
          <w:szCs w:val="21"/>
          <w:highlight w:val="none"/>
          <w:u w:val="none"/>
        </w:rPr>
        <w:t>：</w:t>
      </w:r>
      <w:r>
        <w:rPr>
          <w:rStyle w:val="60"/>
          <w:rFonts w:ascii="宋体" w:hAnsi="宋体"/>
          <w:color w:val="auto"/>
          <w:szCs w:val="21"/>
          <w:highlight w:val="none"/>
          <w:u w:val="none"/>
        </w:rPr>
        <w:t>//www.zcygov.cn/</w:t>
      </w:r>
      <w:r>
        <w:rPr>
          <w:rStyle w:val="60"/>
          <w:rFonts w:ascii="宋体" w:hAnsi="宋体"/>
          <w:color w:val="auto"/>
          <w:szCs w:val="21"/>
          <w:highlight w:val="none"/>
          <w:u w:val="none"/>
        </w:rPr>
        <w:fldChar w:fldCharType="end"/>
      </w:r>
      <w:r>
        <w:rPr>
          <w:rFonts w:hint="eastAsia" w:ascii="宋体" w:hAnsi="宋体" w:cs="宋体"/>
          <w:color w:val="auto"/>
          <w:szCs w:val="21"/>
          <w:highlight w:val="none"/>
        </w:rPr>
        <w:t>）</w:t>
      </w:r>
    </w:p>
    <w:p w14:paraId="1937458C">
      <w:pPr>
        <w:wordWrap w:val="0"/>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方式：1.凡有意参与投标者，须在政府采购云平台办理数字证书（CA），并在政府采购云平台绑定数字证书（CA）后线上获取采购文件及其它采购资料。CA申领链接：http：//yzt.ynsmartcert.cn/cms/yztynyc.html（客服热线：0871-67276028&lt;紧急可拨19988166369&gt;）或https：//cap.yunnanca.net/login（客服热线：4006727666）；CA申领后需登陆政府采购云平台完成数字证书（CA）绑定才可以使用；若供应商之前已经注册并办理过企业数字证书（CA）的，可以直接绑定，无需重复办理。供应商在注册办理过程中若有疑问，可以拨打客服热线95763咨询。</w:t>
      </w:r>
    </w:p>
    <w:p w14:paraId="7873DA75">
      <w:pPr>
        <w:wordWrap w:val="0"/>
        <w:spacing w:line="360" w:lineRule="auto"/>
        <w:ind w:firstLine="1050" w:firstLineChars="500"/>
        <w:rPr>
          <w:rFonts w:hint="eastAsia"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2.供应商申领到企业数字证书（CA）后进入政府采购云平台（</w:t>
      </w:r>
      <w:r>
        <w:rPr>
          <w:rFonts w:hint="eastAsia" w:asciiTheme="minorEastAsia" w:hAnsiTheme="minorEastAsia" w:eastAsiaTheme="minorEastAsia"/>
          <w:color w:val="auto"/>
          <w:szCs w:val="21"/>
          <w:highlight w:val="none"/>
        </w:rPr>
        <w:t>网址：</w:t>
      </w:r>
      <w:r>
        <w:rPr>
          <w:rFonts w:asciiTheme="minorEastAsia" w:hAnsiTheme="minorEastAsia" w:eastAsiaTheme="minorEastAsia"/>
          <w:color w:val="auto"/>
          <w:szCs w:val="21"/>
          <w:highlight w:val="none"/>
        </w:rPr>
        <w:t>https</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//www.zcygov.cn/</w:t>
      </w:r>
      <w:r>
        <w:rPr>
          <w:rFonts w:hint="eastAsia" w:cs="宋体" w:asciiTheme="minorEastAsia" w:hAnsiTheme="minorEastAsia" w:eastAsiaTheme="minorEastAsia"/>
          <w:color w:val="auto"/>
          <w:szCs w:val="21"/>
          <w:highlight w:val="none"/>
        </w:rPr>
        <w:t>）并绑定企业数字证书（CA），</w:t>
      </w:r>
      <w:r>
        <w:rPr>
          <w:rFonts w:hint="eastAsia" w:asciiTheme="minorEastAsia" w:hAnsiTheme="minorEastAsia" w:eastAsiaTheme="minorEastAsia"/>
          <w:color w:val="auto"/>
          <w:szCs w:val="21"/>
          <w:highlight w:val="none"/>
        </w:rPr>
        <w:t>在</w:t>
      </w:r>
      <w:r>
        <w:rPr>
          <w:rFonts w:hint="eastAsia" w:cs="宋体" w:asciiTheme="minorEastAsia" w:hAnsiTheme="minorEastAsia" w:eastAsiaTheme="minorEastAsia"/>
          <w:color w:val="auto"/>
          <w:szCs w:val="21"/>
          <w:highlight w:val="none"/>
        </w:rPr>
        <w:t>网上获取采购文件及其它采购资料</w:t>
      </w:r>
      <w:r>
        <w:rPr>
          <w:rFonts w:hint="eastAsia" w:asciiTheme="minorEastAsia" w:hAnsiTheme="minorEastAsia" w:eastAsiaTheme="minorEastAsia"/>
          <w:color w:val="auto"/>
          <w:szCs w:val="21"/>
          <w:highlight w:val="none"/>
        </w:rPr>
        <w:t>（操作路径：登录“</w:t>
      </w:r>
      <w:r>
        <w:rPr>
          <w:rFonts w:hint="eastAsia" w:cs="宋体" w:asciiTheme="minorEastAsia" w:hAnsiTheme="minorEastAsia" w:eastAsiaTheme="minorEastAsia"/>
          <w:color w:val="auto"/>
          <w:szCs w:val="21"/>
          <w:highlight w:val="none"/>
        </w:rPr>
        <w:t>政府采购云平台</w:t>
      </w:r>
      <w:r>
        <w:rPr>
          <w:rFonts w:hint="eastAsia" w:asciiTheme="minorEastAsia" w:hAnsiTheme="minorEastAsia" w:eastAsiaTheme="minorEastAsia"/>
          <w:color w:val="auto"/>
          <w:szCs w:val="21"/>
          <w:highlight w:val="none"/>
        </w:rPr>
        <w:t>-项目采购-获取采购文件-找到本项目-点击“申请获取采购文件”），此为参与投标的唯一途径。</w:t>
      </w:r>
    </w:p>
    <w:p w14:paraId="0F90A91A">
      <w:pPr>
        <w:spacing w:line="360" w:lineRule="auto"/>
        <w:ind w:firstLine="420" w:firstLineChars="2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售价（元）：</w:t>
      </w:r>
      <w:r>
        <w:rPr>
          <w:rFonts w:cs="宋体" w:asciiTheme="minorEastAsia" w:hAnsiTheme="minorEastAsia" w:eastAsiaTheme="minorEastAsia"/>
          <w:color w:val="auto"/>
          <w:szCs w:val="21"/>
          <w:highlight w:val="none"/>
        </w:rPr>
        <w:t>0</w:t>
      </w:r>
    </w:p>
    <w:p w14:paraId="3BB401D1">
      <w:pPr>
        <w:spacing w:line="360" w:lineRule="auto"/>
        <w:ind w:firstLine="482"/>
        <w:outlineLvl w:val="1"/>
        <w:rPr>
          <w:rFonts w:hint="eastAsia" w:asciiTheme="minorEastAsia" w:hAnsiTheme="minorEastAsia" w:eastAsiaTheme="minorEastAsia"/>
          <w:b/>
          <w:bCs/>
          <w:color w:val="auto"/>
          <w:sz w:val="24"/>
          <w:szCs w:val="24"/>
          <w:highlight w:val="none"/>
        </w:rPr>
      </w:pPr>
      <w:bookmarkStart w:id="57" w:name="_Toc35393632"/>
      <w:bookmarkStart w:id="58" w:name="_Toc53412196"/>
      <w:bookmarkStart w:id="59" w:name="_Toc45791328"/>
      <w:bookmarkStart w:id="60" w:name="_Toc109809292"/>
      <w:bookmarkStart w:id="61" w:name="_Toc98033914"/>
      <w:bookmarkStart w:id="62" w:name="_Toc28359015"/>
      <w:bookmarkStart w:id="63" w:name="_Toc84356232"/>
      <w:bookmarkStart w:id="64" w:name="_Toc87543798"/>
      <w:bookmarkStart w:id="65" w:name="_Toc87538349"/>
      <w:bookmarkStart w:id="66" w:name="_Toc98864991"/>
      <w:bookmarkStart w:id="67" w:name="_Toc69678409"/>
      <w:bookmarkStart w:id="68" w:name="_Toc35393801"/>
      <w:bookmarkStart w:id="69" w:name="_Toc83753872"/>
      <w:bookmarkStart w:id="70" w:name="_Toc45976875"/>
      <w:bookmarkStart w:id="71" w:name="_Toc28359092"/>
      <w:bookmarkStart w:id="72" w:name="_Toc180143772"/>
      <w:r>
        <w:rPr>
          <w:rFonts w:hint="eastAsia" w:asciiTheme="minorEastAsia" w:hAnsiTheme="minorEastAsia" w:eastAsiaTheme="minorEastAsia"/>
          <w:b/>
          <w:bCs/>
          <w:color w:val="auto"/>
          <w:sz w:val="24"/>
          <w:szCs w:val="24"/>
          <w:highlight w:val="none"/>
        </w:rPr>
        <w:t>四、</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hint="eastAsia" w:asciiTheme="minorEastAsia" w:hAnsiTheme="minorEastAsia" w:eastAsiaTheme="minorEastAsia"/>
          <w:b/>
          <w:bCs/>
          <w:color w:val="auto"/>
          <w:sz w:val="24"/>
          <w:szCs w:val="24"/>
          <w:highlight w:val="none"/>
        </w:rPr>
        <w:t>递交投标文件截止时间、开标时间和地点</w:t>
      </w:r>
      <w:bookmarkEnd w:id="72"/>
    </w:p>
    <w:p w14:paraId="03B691AF">
      <w:pPr>
        <w:spacing w:line="360" w:lineRule="auto"/>
        <w:ind w:firstLine="420"/>
        <w:rPr>
          <w:rFonts w:hint="eastAsia"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rPr>
        <w:t>202</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04</w:t>
      </w:r>
      <w:r>
        <w:rPr>
          <w:rFonts w:hint="eastAsia" w:asciiTheme="minorEastAsia" w:hAnsiTheme="minorEastAsia" w:eastAsiaTheme="minorEastAsia"/>
          <w:color w:val="auto"/>
          <w:szCs w:val="21"/>
          <w:highlight w:val="none"/>
        </w:rPr>
        <w:t xml:space="preserve">  09：</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0（北京时间）</w:t>
      </w:r>
    </w:p>
    <w:p w14:paraId="0DFFA97D">
      <w:pPr>
        <w:spacing w:line="360" w:lineRule="auto"/>
        <w:ind w:firstLine="420"/>
        <w:rPr>
          <w:rFonts w:hint="eastAsia" w:ascii="宋体" w:hAnsi="宋体"/>
          <w:bCs/>
          <w:color w:val="auto"/>
          <w:szCs w:val="21"/>
          <w:highlight w:val="none"/>
        </w:rPr>
      </w:pPr>
      <w:r>
        <w:rPr>
          <w:rFonts w:hint="eastAsia" w:asciiTheme="minorEastAsia" w:hAnsiTheme="minorEastAsia" w:eastAsiaTheme="minorEastAsia"/>
          <w:bCs/>
          <w:color w:val="auto"/>
          <w:szCs w:val="21"/>
          <w:highlight w:val="none"/>
        </w:rPr>
        <w:t>地点：</w:t>
      </w:r>
      <w:bookmarkStart w:id="73" w:name="_Hlk116478573"/>
      <w:r>
        <w:rPr>
          <w:rFonts w:hint="eastAsia" w:ascii="宋体" w:hAnsi="宋体"/>
          <w:bCs/>
          <w:color w:val="auto"/>
          <w:szCs w:val="21"/>
          <w:highlight w:val="none"/>
        </w:rPr>
        <w:t>政府采购云平台（</w:t>
      </w:r>
      <w:r>
        <w:rPr>
          <w:rFonts w:hint="eastAsia" w:ascii="宋体" w:hAnsi="宋体" w:cs="宋体"/>
          <w:color w:val="auto"/>
          <w:kern w:val="0"/>
          <w:szCs w:val="21"/>
          <w:highlight w:val="none"/>
        </w:rPr>
        <w:t>网址：</w:t>
      </w:r>
      <w:r>
        <w:rPr>
          <w:rFonts w:hint="eastAsia"/>
          <w:color w:val="auto"/>
          <w:highlight w:val="none"/>
        </w:rPr>
        <w:fldChar w:fldCharType="begin"/>
      </w:r>
      <w:r>
        <w:rPr>
          <w:color w:val="auto"/>
          <w:highlight w:val="none"/>
        </w:rPr>
        <w:instrText xml:space="preserve"> HYPERLINK "https://www.zcygov.cn/" </w:instrText>
      </w:r>
      <w:r>
        <w:rPr>
          <w:rFonts w:hint="eastAsia"/>
          <w:color w:val="auto"/>
          <w:highlight w:val="none"/>
        </w:rPr>
        <w:fldChar w:fldCharType="separate"/>
      </w:r>
      <w:r>
        <w:rPr>
          <w:rStyle w:val="60"/>
          <w:rFonts w:hint="eastAsia" w:ascii="宋体" w:hAnsi="宋体" w:cs="宋体"/>
          <w:color w:val="auto"/>
          <w:kern w:val="0"/>
          <w:szCs w:val="21"/>
          <w:highlight w:val="none"/>
          <w:u w:val="none"/>
        </w:rPr>
        <w:t>https：//www.zcygov.cn/</w:t>
      </w:r>
      <w:r>
        <w:rPr>
          <w:rStyle w:val="60"/>
          <w:rFonts w:hint="eastAsia" w:ascii="宋体" w:hAnsi="宋体" w:cs="宋体"/>
          <w:color w:val="auto"/>
          <w:kern w:val="0"/>
          <w:szCs w:val="21"/>
          <w:highlight w:val="none"/>
          <w:u w:val="none"/>
        </w:rPr>
        <w:fldChar w:fldCharType="end"/>
      </w:r>
      <w:r>
        <w:rPr>
          <w:rFonts w:hint="eastAsia" w:ascii="宋体" w:hAnsi="宋体"/>
          <w:bCs/>
          <w:color w:val="auto"/>
          <w:szCs w:val="21"/>
          <w:highlight w:val="none"/>
        </w:rPr>
        <w:t>）</w:t>
      </w:r>
      <w:bookmarkEnd w:id="73"/>
    </w:p>
    <w:p w14:paraId="2415DBC1">
      <w:pPr>
        <w:spacing w:line="360" w:lineRule="auto"/>
        <w:ind w:firstLine="482" w:firstLineChars="200"/>
        <w:outlineLvl w:val="1"/>
        <w:rPr>
          <w:rFonts w:hint="eastAsia" w:asciiTheme="minorEastAsia" w:hAnsiTheme="minorEastAsia" w:eastAsiaTheme="minorEastAsia"/>
          <w:b/>
          <w:bCs/>
          <w:color w:val="auto"/>
          <w:sz w:val="24"/>
          <w:szCs w:val="24"/>
          <w:highlight w:val="none"/>
        </w:rPr>
      </w:pPr>
      <w:bookmarkStart w:id="74" w:name="_Toc35393803"/>
      <w:bookmarkStart w:id="75" w:name="_Toc45976877"/>
      <w:bookmarkStart w:id="76" w:name="_Toc35393634"/>
      <w:bookmarkStart w:id="77" w:name="_Toc45791330"/>
      <w:bookmarkStart w:id="78" w:name="_Toc28359094"/>
      <w:bookmarkStart w:id="79" w:name="_Toc28359017"/>
      <w:bookmarkStart w:id="80" w:name="_Toc87543800"/>
      <w:bookmarkStart w:id="81" w:name="_Toc84356234"/>
      <w:bookmarkStart w:id="82" w:name="_Toc109809294"/>
      <w:bookmarkStart w:id="83" w:name="_Toc83753874"/>
      <w:bookmarkStart w:id="84" w:name="_Toc87538351"/>
      <w:bookmarkStart w:id="85" w:name="_Toc98864993"/>
      <w:bookmarkStart w:id="86" w:name="_Toc180143773"/>
      <w:bookmarkStart w:id="87" w:name="_Toc69678411"/>
      <w:bookmarkStart w:id="88" w:name="_Toc53412198"/>
      <w:bookmarkStart w:id="89" w:name="_Toc98033916"/>
      <w:r>
        <w:rPr>
          <w:rFonts w:hint="eastAsia" w:asciiTheme="minorEastAsia" w:hAnsiTheme="minorEastAsia" w:eastAsiaTheme="minorEastAsia"/>
          <w:b/>
          <w:bCs/>
          <w:color w:val="auto"/>
          <w:sz w:val="24"/>
          <w:szCs w:val="24"/>
          <w:highlight w:val="none"/>
        </w:rPr>
        <w:t>五、</w:t>
      </w:r>
      <w:bookmarkEnd w:id="74"/>
      <w:bookmarkEnd w:id="75"/>
      <w:bookmarkEnd w:id="76"/>
      <w:bookmarkEnd w:id="77"/>
      <w:bookmarkEnd w:id="78"/>
      <w:bookmarkEnd w:id="79"/>
      <w:r>
        <w:rPr>
          <w:rFonts w:hint="eastAsia" w:asciiTheme="minorEastAsia" w:hAnsiTheme="minorEastAsia" w:eastAsiaTheme="minorEastAsia"/>
          <w:b/>
          <w:bCs/>
          <w:color w:val="auto"/>
          <w:sz w:val="24"/>
          <w:szCs w:val="24"/>
          <w:highlight w:val="none"/>
        </w:rPr>
        <w:t>公告期限</w:t>
      </w:r>
      <w:bookmarkEnd w:id="80"/>
      <w:bookmarkEnd w:id="81"/>
      <w:bookmarkEnd w:id="82"/>
      <w:bookmarkEnd w:id="83"/>
      <w:bookmarkEnd w:id="84"/>
      <w:bookmarkEnd w:id="85"/>
      <w:bookmarkEnd w:id="86"/>
      <w:bookmarkEnd w:id="87"/>
      <w:bookmarkEnd w:id="88"/>
      <w:bookmarkEnd w:id="89"/>
    </w:p>
    <w:p w14:paraId="759C4F8E">
      <w:pPr>
        <w:spacing w:line="360" w:lineRule="auto"/>
        <w:ind w:firstLine="420" w:firstLineChars="200"/>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自本公告发布之日起</w:t>
      </w:r>
      <w:r>
        <w:rPr>
          <w:rFonts w:cs="宋体" w:asciiTheme="minorEastAsia" w:hAnsiTheme="minorEastAsia" w:eastAsiaTheme="minorEastAsia"/>
          <w:color w:val="auto"/>
          <w:kern w:val="0"/>
          <w:szCs w:val="21"/>
          <w:highlight w:val="none"/>
        </w:rPr>
        <w:t>5</w:t>
      </w:r>
      <w:r>
        <w:rPr>
          <w:rFonts w:hint="eastAsia" w:cs="宋体" w:asciiTheme="minorEastAsia" w:hAnsiTheme="minorEastAsia" w:eastAsiaTheme="minorEastAsia"/>
          <w:color w:val="auto"/>
          <w:kern w:val="0"/>
          <w:szCs w:val="21"/>
          <w:highlight w:val="none"/>
        </w:rPr>
        <w:t>个工作日。</w:t>
      </w:r>
    </w:p>
    <w:p w14:paraId="08A4EFA1">
      <w:pPr>
        <w:spacing w:line="360" w:lineRule="auto"/>
        <w:ind w:firstLine="482"/>
        <w:outlineLvl w:val="1"/>
        <w:rPr>
          <w:rFonts w:hint="eastAsia" w:asciiTheme="minorEastAsia" w:hAnsiTheme="minorEastAsia" w:eastAsiaTheme="minorEastAsia"/>
          <w:b/>
          <w:bCs/>
          <w:color w:val="auto"/>
          <w:sz w:val="24"/>
          <w:szCs w:val="24"/>
          <w:highlight w:val="none"/>
        </w:rPr>
      </w:pPr>
      <w:bookmarkStart w:id="90" w:name="_Toc83753875"/>
      <w:bookmarkStart w:id="91" w:name="_Toc35393635"/>
      <w:bookmarkStart w:id="92" w:name="_Toc53412199"/>
      <w:bookmarkStart w:id="93" w:name="_Toc87543801"/>
      <w:bookmarkStart w:id="94" w:name="_Toc45791331"/>
      <w:bookmarkStart w:id="95" w:name="_Toc69678412"/>
      <w:bookmarkStart w:id="96" w:name="_Toc98864994"/>
      <w:bookmarkStart w:id="97" w:name="_Toc180143774"/>
      <w:bookmarkStart w:id="98" w:name="_Toc109809295"/>
      <w:bookmarkStart w:id="99" w:name="_Toc98033917"/>
      <w:bookmarkStart w:id="100" w:name="_Toc45976878"/>
      <w:bookmarkStart w:id="101" w:name="_Toc35393804"/>
      <w:bookmarkStart w:id="102" w:name="_Toc84356235"/>
      <w:bookmarkStart w:id="103" w:name="_Toc87538352"/>
      <w:r>
        <w:rPr>
          <w:rFonts w:hint="eastAsia" w:asciiTheme="minorEastAsia" w:hAnsiTheme="minorEastAsia" w:eastAsiaTheme="minorEastAsia"/>
          <w:b/>
          <w:bCs/>
          <w:color w:val="auto"/>
          <w:sz w:val="24"/>
          <w:szCs w:val="24"/>
          <w:highlight w:val="none"/>
        </w:rPr>
        <w:t>六、其他补充事宜</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A899C7A">
      <w:pPr>
        <w:pStyle w:val="52"/>
        <w:spacing w:line="360" w:lineRule="auto"/>
        <w:ind w:firstLine="409" w:firstLineChars="19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开标方式：网上开标</w:t>
      </w:r>
    </w:p>
    <w:p w14:paraId="4C44B582">
      <w:pPr>
        <w:pStyle w:val="52"/>
        <w:spacing w:line="360" w:lineRule="auto"/>
        <w:ind w:firstLine="405" w:firstLineChars="19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是否需要缴纳投标保证金：是</w:t>
      </w:r>
    </w:p>
    <w:p w14:paraId="02F4171E">
      <w:pPr>
        <w:pStyle w:val="52"/>
        <w:spacing w:line="360" w:lineRule="auto"/>
        <w:ind w:firstLine="405" w:firstLineChars="19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昆明市第二十四中学理化生实验室升级改造设备采购项目：</w:t>
      </w:r>
    </w:p>
    <w:p w14:paraId="69279A09">
      <w:pPr>
        <w:pStyle w:val="52"/>
        <w:spacing w:line="360" w:lineRule="auto"/>
        <w:ind w:firstLine="405" w:firstLineChars="19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保证金金额：¥20000.00（元）</w:t>
      </w:r>
    </w:p>
    <w:p w14:paraId="2F4D37B2">
      <w:pPr>
        <w:pStyle w:val="52"/>
        <w:spacing w:line="360" w:lineRule="auto"/>
        <w:ind w:firstLine="405" w:firstLineChars="19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保证金缴纳方式：支票、汇票、本票、保函，以采购文件的要求为准。</w:t>
      </w:r>
    </w:p>
    <w:p w14:paraId="405E6BC6">
      <w:pPr>
        <w:pStyle w:val="52"/>
        <w:spacing w:line="360" w:lineRule="auto"/>
        <w:ind w:firstLine="405" w:firstLineChars="193"/>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保证金缴纳截止时间：2024-</w:t>
      </w: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04</w:t>
      </w:r>
      <w:r>
        <w:rPr>
          <w:rFonts w:hint="eastAsia" w:asciiTheme="minorEastAsia" w:hAnsiTheme="minorEastAsia" w:eastAsiaTheme="minorEastAsia"/>
          <w:color w:val="auto"/>
          <w:szCs w:val="21"/>
          <w:highlight w:val="none"/>
        </w:rPr>
        <w:t xml:space="preserve">  09：30</w:t>
      </w:r>
    </w:p>
    <w:p w14:paraId="0159690B">
      <w:pPr>
        <w:pStyle w:val="14"/>
        <w:spacing w:line="360" w:lineRule="auto"/>
        <w:ind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w:t>
      </w:r>
    </w:p>
    <w:p w14:paraId="5E1F83DD">
      <w:pPr>
        <w:spacing w:line="360" w:lineRule="auto"/>
        <w:ind w:firstLine="420" w:firstLineChars="200"/>
        <w:rPr>
          <w:rFonts w:hint="eastAsia" w:ascii="宋体" w:hAnsi="宋体"/>
          <w:color w:val="auto"/>
          <w:highlight w:val="none"/>
        </w:rPr>
      </w:pPr>
      <w:r>
        <w:rPr>
          <w:rFonts w:hint="eastAsia" w:ascii="宋体" w:hAnsi="宋体"/>
          <w:color w:val="auto"/>
          <w:highlight w:val="none"/>
        </w:rPr>
        <w:t>1</w:t>
      </w:r>
      <w:r>
        <w:rPr>
          <w:rFonts w:ascii="宋体" w:hAnsi="宋体"/>
          <w:color w:val="auto"/>
          <w:highlight w:val="none"/>
        </w:rPr>
        <w:t>.</w:t>
      </w:r>
      <w:r>
        <w:rPr>
          <w:rFonts w:hint="eastAsia" w:ascii="宋体" w:hAnsi="宋体"/>
          <w:color w:val="auto"/>
          <w:highlight w:val="none"/>
        </w:rPr>
        <w:t>资金来源：财政性资金；资金落实情况：已落实。</w:t>
      </w:r>
    </w:p>
    <w:p w14:paraId="7A12B051">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宋体" w:hAnsi="宋体"/>
          <w:color w:val="auto"/>
          <w:highlight w:val="none"/>
        </w:rPr>
        <w:t>交货地点：云南省昆明市第二十四中学校园内</w:t>
      </w:r>
      <w:r>
        <w:rPr>
          <w:rFonts w:hint="eastAsia" w:ascii="宋体" w:hAnsi="宋体" w:cs="宋体"/>
          <w:color w:val="auto"/>
          <w:szCs w:val="21"/>
          <w:highlight w:val="none"/>
        </w:rPr>
        <w:t>。</w:t>
      </w:r>
    </w:p>
    <w:p w14:paraId="3A030278">
      <w:pPr>
        <w:pStyle w:val="14"/>
        <w:spacing w:line="360" w:lineRule="auto"/>
        <w:ind w:firstLineChars="200"/>
        <w:rPr>
          <w:rFonts w:hint="eastAsia" w:ascii="宋体" w:hAnsi="宋体"/>
          <w:color w:val="auto"/>
          <w:highlight w:val="none"/>
        </w:rPr>
      </w:pPr>
      <w:r>
        <w:rPr>
          <w:rFonts w:hint="eastAsia" w:ascii="宋体" w:hAnsi="宋体"/>
          <w:color w:val="auto"/>
          <w:highlight w:val="none"/>
        </w:rPr>
        <w:t>3.质量要求：符合国家、行业现行相关法律、法规以及标准规定，并且满足采购人的要求。</w:t>
      </w:r>
    </w:p>
    <w:p w14:paraId="208296EE">
      <w:pPr>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4.</w:t>
      </w:r>
      <w:r>
        <w:rPr>
          <w:rFonts w:ascii="宋体" w:hAnsi="宋体"/>
          <w:color w:val="auto"/>
          <w:szCs w:val="21"/>
          <w:highlight w:val="none"/>
        </w:rPr>
        <w:t>质保期</w:t>
      </w:r>
      <w:r>
        <w:rPr>
          <w:rFonts w:hint="eastAsia" w:ascii="宋体" w:hAnsi="宋体"/>
          <w:color w:val="auto"/>
          <w:szCs w:val="21"/>
          <w:highlight w:val="none"/>
        </w:rPr>
        <w:t>要求：</w:t>
      </w:r>
      <w:r>
        <w:rPr>
          <w:rFonts w:hint="eastAsia" w:ascii="宋体" w:hAnsi="宋体"/>
          <w:color w:val="auto"/>
          <w:highlight w:val="none"/>
        </w:rPr>
        <w:t>不少于3年（质保期内设备发生故障时，30分钟内到达现场处理，不能修复的提供备件，待维修好后换回）</w:t>
      </w:r>
      <w:r>
        <w:rPr>
          <w:rFonts w:hint="eastAsia" w:ascii="宋体" w:hAnsi="宋体"/>
          <w:color w:val="auto"/>
          <w:szCs w:val="21"/>
          <w:highlight w:val="none"/>
        </w:rPr>
        <w:t>。</w:t>
      </w:r>
    </w:p>
    <w:p w14:paraId="4CE4DA1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highlight w:val="none"/>
        </w:rPr>
        <w:t>本次采购不接受进口产品（进口产品是指通过中国海关报关验放进入中国境内且产自关境外的产品）。</w:t>
      </w:r>
    </w:p>
    <w:p w14:paraId="028E7B19">
      <w:pPr>
        <w:spacing w:line="360" w:lineRule="auto"/>
        <w:ind w:firstLine="420" w:firstLineChars="200"/>
        <w:rPr>
          <w:rFonts w:hint="eastAsia" w:ascii="宋体" w:hAnsi="宋体"/>
          <w:color w:val="auto"/>
          <w:highlight w:val="none"/>
        </w:rPr>
      </w:pPr>
      <w:r>
        <w:rPr>
          <w:rFonts w:hint="eastAsia" w:ascii="宋体" w:hAnsi="宋体"/>
          <w:color w:val="auto"/>
          <w:highlight w:val="none"/>
        </w:rPr>
        <w:t>6</w:t>
      </w:r>
      <w:r>
        <w:rPr>
          <w:rFonts w:ascii="宋体" w:hAnsi="宋体"/>
          <w:color w:val="auto"/>
          <w:highlight w:val="none"/>
        </w:rPr>
        <w:t>.</w:t>
      </w:r>
      <w:r>
        <w:rPr>
          <w:rFonts w:hint="eastAsia" w:ascii="宋体" w:hAnsi="宋体"/>
          <w:color w:val="auto"/>
          <w:highlight w:val="none"/>
        </w:rPr>
        <w:t>包件划分：本项目不划分包件。</w:t>
      </w:r>
    </w:p>
    <w:p w14:paraId="2F15150C">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信誉要求：</w:t>
      </w:r>
      <w:r>
        <w:rPr>
          <w:rFonts w:hint="eastAsia" w:ascii="宋体" w:hAnsi="宋体"/>
          <w:color w:val="auto"/>
          <w:szCs w:val="21"/>
          <w:highlight w:val="none"/>
        </w:rPr>
        <w:t>供应商未被中国执行信息公开网（网址：http：//zxgk.court.gov.cn/shixin/）列入“失信被执行人”；未被信用中国（网址：https：//www.creditchina.gov.cn/）列入“重大税收违法案件当事人名单”以及“政府采购严重违法失信行为记录名单”；未被中国政府采购网（网址：http：//www.ccgp.gov.cn/）列为“政府采购严重违法失信行为信息记录”（评审前采购人或采购代理机构将通过相关网站查询，并留存网站查询结果截图或打印件，提供给评标委员会）。</w:t>
      </w:r>
    </w:p>
    <w:p w14:paraId="56D53238">
      <w:pPr>
        <w:wordWrap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发布公告的媒介：云南省政府采购网（网址：</w:t>
      </w:r>
      <w:r>
        <w:rPr>
          <w:rFonts w:hint="eastAsia"/>
          <w:color w:val="auto"/>
          <w:highlight w:val="none"/>
        </w:rPr>
        <w:fldChar w:fldCharType="begin"/>
      </w:r>
      <w:r>
        <w:rPr>
          <w:color w:val="auto"/>
          <w:highlight w:val="none"/>
        </w:rPr>
        <w:instrText xml:space="preserve"> HYPERLINK "http://www.yngp.com/" </w:instrText>
      </w:r>
      <w:r>
        <w:rPr>
          <w:rFonts w:hint="eastAsia"/>
          <w:color w:val="auto"/>
          <w:highlight w:val="none"/>
        </w:rPr>
        <w:fldChar w:fldCharType="separate"/>
      </w:r>
      <w:r>
        <w:rPr>
          <w:rStyle w:val="60"/>
          <w:rFonts w:hint="eastAsia" w:asciiTheme="minorEastAsia" w:hAnsiTheme="minorEastAsia" w:eastAsiaTheme="minorEastAsia"/>
          <w:color w:val="auto"/>
          <w:szCs w:val="21"/>
          <w:highlight w:val="none"/>
          <w:u w:val="none"/>
        </w:rPr>
        <w:t>http：//www.yngp.com/</w:t>
      </w:r>
      <w:r>
        <w:rPr>
          <w:rStyle w:val="60"/>
          <w:rFonts w:hint="eastAsia" w:asciiTheme="minorEastAsia" w:hAnsiTheme="minorEastAsia" w:eastAsiaTheme="minorEastAsia"/>
          <w:color w:val="auto"/>
          <w:szCs w:val="21"/>
          <w:highlight w:val="none"/>
          <w:u w:val="none"/>
        </w:rPr>
        <w:fldChar w:fldCharType="end"/>
      </w:r>
      <w:r>
        <w:rPr>
          <w:rFonts w:hint="eastAsia" w:asciiTheme="minorEastAsia" w:hAnsiTheme="minorEastAsia" w:eastAsiaTheme="minorEastAsia"/>
          <w:color w:val="auto"/>
          <w:szCs w:val="21"/>
          <w:highlight w:val="none"/>
        </w:rPr>
        <w:t>）。</w:t>
      </w:r>
    </w:p>
    <w:p w14:paraId="4BF47C6A">
      <w:pPr>
        <w:wordWrap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采购项目需要落实的政府采购政策：</w:t>
      </w:r>
      <w:r>
        <w:rPr>
          <w:rFonts w:hint="eastAsia" w:ascii="宋体" w:hAnsi="宋体"/>
          <w:color w:val="auto"/>
          <w:szCs w:val="21"/>
          <w:highlight w:val="none"/>
        </w:rPr>
        <w:t>《政府采购促进中小企业发展管理办法》（财库〔2020〕46号）、《关于进一步加大政府采购支持中小企业力度的通知》（财库〔2022〕19号）、《财政部民政部中国残疾人联合会关于促进残疾人就业政府采购政策的通知》（财库〔2017〕141号）、《关于政府采购支持监狱企业发展有关问题的通知》(财库〔2014〕68号)等。</w:t>
      </w:r>
    </w:p>
    <w:p w14:paraId="7D55C1D3">
      <w:pPr>
        <w:widowControl/>
        <w:wordWrap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10</w:t>
      </w:r>
      <w:r>
        <w:rPr>
          <w:rFonts w:asciiTheme="minorEastAsia" w:hAnsiTheme="minorEastAsia" w:eastAsiaTheme="minorEastAsia"/>
          <w:color w:val="auto"/>
          <w:highlight w:val="none"/>
        </w:rPr>
        <w:t>.</w:t>
      </w:r>
      <w:r>
        <w:rPr>
          <w:rFonts w:hint="eastAsia" w:asciiTheme="minorEastAsia" w:hAnsiTheme="minorEastAsia" w:eastAsiaTheme="minorEastAsia"/>
          <w:color w:val="auto"/>
          <w:szCs w:val="21"/>
          <w:highlight w:val="none"/>
        </w:rPr>
        <w:t>投标文件的提交方式：本项目为全流程电子化项目。凡有意参与投标者，请自行前往政府采购云平台“客户端&amp;驱动下载”网页（网址：</w:t>
      </w:r>
      <w:r>
        <w:rPr>
          <w:rFonts w:asciiTheme="minorEastAsia" w:hAnsiTheme="minorEastAsia" w:eastAsiaTheme="minorEastAsia"/>
          <w:color w:val="auto"/>
          <w:szCs w:val="21"/>
          <w:highlight w:val="none"/>
        </w:rPr>
        <w:t>https</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//customer.zcygov.cn/CA-driver-download?utm=web-ca-front.3ddc8fbb.0.0.91c6cff0db1311ec8cfbc9f613d30204</w:t>
      </w:r>
      <w:r>
        <w:rPr>
          <w:rFonts w:hint="eastAsia" w:asciiTheme="minorEastAsia" w:hAnsiTheme="minorEastAsia" w:eastAsiaTheme="minorEastAsia"/>
          <w:color w:val="auto"/>
          <w:szCs w:val="21"/>
          <w:highlight w:val="none"/>
        </w:rPr>
        <w:t>）下载并安装“政采云投标客户端”。供应商按照采购文件和政府采购云平台（网址：https：//www.zcygov.cn/）的要求编制、加密电子投标文件，投标文件在提交截止时间前未完成上传的，视为撤回投标文件。供应商在政府采购云平台提交电子版投标文件时，请填写参与远程开标活动经办人的联系方式。</w:t>
      </w:r>
    </w:p>
    <w:p w14:paraId="5DF9BB41">
      <w:pPr>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11.投标文件的解密方式：在线解密。供应商须提前在自有场地配置有音视频通话（带摄像头及话筒的电脑）功能的相应设备及稳定网络的环境下，并按政府采购云平台开标大厅中的提示完成投标文件的解密。</w:t>
      </w:r>
    </w:p>
    <w:p w14:paraId="50919357">
      <w:pPr>
        <w:spacing w:line="360" w:lineRule="auto"/>
        <w:ind w:firstLine="482" w:firstLineChars="200"/>
        <w:outlineLvl w:val="1"/>
        <w:rPr>
          <w:rFonts w:hint="eastAsia" w:asciiTheme="minorEastAsia" w:hAnsiTheme="minorEastAsia" w:eastAsiaTheme="minorEastAsia"/>
          <w:b/>
          <w:bCs/>
          <w:color w:val="auto"/>
          <w:sz w:val="24"/>
          <w:szCs w:val="24"/>
          <w:highlight w:val="none"/>
        </w:rPr>
      </w:pPr>
      <w:bookmarkStart w:id="104" w:name="_Toc98033918"/>
      <w:bookmarkStart w:id="105" w:name="_Toc87538353"/>
      <w:bookmarkStart w:id="106" w:name="_Toc87543802"/>
      <w:bookmarkStart w:id="107" w:name="_Toc109809296"/>
      <w:bookmarkStart w:id="108" w:name="_Toc28359018"/>
      <w:bookmarkStart w:id="109" w:name="_Toc28359095"/>
      <w:bookmarkStart w:id="110" w:name="_Toc98864995"/>
      <w:bookmarkStart w:id="111" w:name="_Toc45791335"/>
      <w:bookmarkStart w:id="112" w:name="_Toc35393805"/>
      <w:bookmarkStart w:id="113" w:name="_Toc69678413"/>
      <w:bookmarkStart w:id="114" w:name="_Toc83753876"/>
      <w:bookmarkStart w:id="115" w:name="_Toc180143775"/>
      <w:bookmarkStart w:id="116" w:name="_Toc53412200"/>
      <w:bookmarkStart w:id="117" w:name="_Toc35393636"/>
      <w:bookmarkStart w:id="118" w:name="_Toc84356236"/>
      <w:bookmarkStart w:id="119" w:name="_Toc45976881"/>
      <w:r>
        <w:rPr>
          <w:rFonts w:hint="eastAsia" w:asciiTheme="minorEastAsia" w:hAnsiTheme="minorEastAsia" w:eastAsiaTheme="minorEastAsia"/>
          <w:b/>
          <w:bCs/>
          <w:color w:val="auto"/>
          <w:sz w:val="24"/>
          <w:szCs w:val="24"/>
          <w:highlight w:val="none"/>
        </w:rPr>
        <w:t>七、对本次招标提出询问，请按</w:t>
      </w:r>
      <w:r>
        <w:rPr>
          <w:rFonts w:asciiTheme="minorEastAsia" w:hAnsiTheme="minorEastAsia" w:eastAsiaTheme="minorEastAsia"/>
          <w:b/>
          <w:bCs/>
          <w:color w:val="auto"/>
          <w:sz w:val="24"/>
          <w:szCs w:val="24"/>
          <w:highlight w:val="none"/>
        </w:rPr>
        <w:t>以下方式</w:t>
      </w:r>
      <w:r>
        <w:rPr>
          <w:rFonts w:hint="eastAsia" w:asciiTheme="minorEastAsia" w:hAnsiTheme="minorEastAsia" w:eastAsiaTheme="minorEastAsia"/>
          <w:b/>
          <w:bCs/>
          <w:color w:val="auto"/>
          <w:sz w:val="24"/>
          <w:szCs w:val="24"/>
          <w:highlight w:val="none"/>
        </w:rPr>
        <w:t>联系。</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bookmarkEnd w:id="2"/>
    <w:bookmarkEnd w:id="5"/>
    <w:bookmarkEnd w:id="7"/>
    <w:p w14:paraId="7BCE4B91">
      <w:pPr>
        <w:spacing w:line="360" w:lineRule="auto"/>
        <w:ind w:firstLine="420" w:firstLineChars="200"/>
        <w:rPr>
          <w:rFonts w:hint="eastAsia" w:cs="宋体" w:asciiTheme="minorEastAsia" w:hAnsiTheme="minorEastAsia" w:eastAsiaTheme="minorEastAsia"/>
          <w:color w:val="auto"/>
          <w:szCs w:val="21"/>
          <w:highlight w:val="none"/>
        </w:rPr>
      </w:pPr>
      <w:bookmarkStart w:id="120" w:name="_Toc35393637"/>
      <w:bookmarkStart w:id="121" w:name="_Toc35393806"/>
      <w:bookmarkStart w:id="122" w:name="_Toc28359019"/>
      <w:bookmarkStart w:id="123" w:name="_Toc28359096"/>
      <w:bookmarkStart w:id="124" w:name="_Toc45900508"/>
      <w:bookmarkStart w:id="125" w:name="_Toc45452726"/>
      <w:bookmarkStart w:id="126" w:name="_Toc42204978"/>
      <w:bookmarkStart w:id="127" w:name="_Toc37603101"/>
      <w:r>
        <w:rPr>
          <w:rFonts w:hint="eastAsia" w:asciiTheme="minorEastAsia" w:hAnsiTheme="minorEastAsia" w:eastAsiaTheme="minorEastAsia"/>
          <w:color w:val="auto"/>
          <w:szCs w:val="21"/>
          <w:highlight w:val="none"/>
        </w:rPr>
        <w:t>1.采购人信息</w:t>
      </w:r>
      <w:bookmarkEnd w:id="120"/>
      <w:bookmarkEnd w:id="121"/>
      <w:bookmarkEnd w:id="122"/>
      <w:bookmarkEnd w:id="123"/>
      <w:bookmarkEnd w:id="124"/>
      <w:bookmarkEnd w:id="125"/>
    </w:p>
    <w:p w14:paraId="3435E726">
      <w:pPr>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    称：云南省昆明市第二十四中学</w:t>
      </w:r>
    </w:p>
    <w:p w14:paraId="12F15ED2">
      <w:pPr>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    址：昆明市五华区艺院巷10号</w:t>
      </w:r>
    </w:p>
    <w:p w14:paraId="50CF52BD">
      <w:pPr>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联系方式：孙老师（</w:t>
      </w:r>
      <w:r>
        <w:rPr>
          <w:rFonts w:hint="eastAsia" w:cs="宋体" w:asciiTheme="minorEastAsia" w:hAnsiTheme="minorEastAsia" w:eastAsiaTheme="minorEastAsia"/>
          <w:color w:val="auto"/>
          <w:szCs w:val="21"/>
          <w:highlight w:val="none"/>
        </w:rPr>
        <w:t>13669769827</w:t>
      </w:r>
      <w:r>
        <w:rPr>
          <w:rFonts w:hint="eastAsia" w:asciiTheme="minorEastAsia" w:hAnsiTheme="minorEastAsia" w:eastAsiaTheme="minorEastAsia"/>
          <w:color w:val="auto"/>
          <w:szCs w:val="21"/>
          <w:highlight w:val="none"/>
        </w:rPr>
        <w:t>）</w:t>
      </w:r>
    </w:p>
    <w:p w14:paraId="3CA5FC32">
      <w:pPr>
        <w:spacing w:line="360" w:lineRule="auto"/>
        <w:rPr>
          <w:rFonts w:hint="eastAsia" w:asciiTheme="minorEastAsia" w:hAnsiTheme="minorEastAsia" w:eastAsiaTheme="minorEastAsia"/>
          <w:color w:val="auto"/>
          <w:highlight w:val="none"/>
        </w:rPr>
      </w:pPr>
    </w:p>
    <w:p w14:paraId="46C8D458">
      <w:pPr>
        <w:spacing w:line="360" w:lineRule="auto"/>
        <w:ind w:firstLine="420" w:firstLineChars="200"/>
        <w:rPr>
          <w:rFonts w:hint="eastAsia" w:asciiTheme="minorEastAsia" w:hAnsiTheme="minorEastAsia" w:eastAsiaTheme="minorEastAsia"/>
          <w:color w:val="auto"/>
          <w:szCs w:val="21"/>
          <w:highlight w:val="none"/>
        </w:rPr>
      </w:pPr>
      <w:bookmarkStart w:id="128" w:name="_Toc35393807"/>
      <w:bookmarkStart w:id="129" w:name="_Toc28359020"/>
      <w:bookmarkStart w:id="130" w:name="_Toc28359097"/>
      <w:bookmarkStart w:id="131" w:name="_Toc35393638"/>
      <w:bookmarkStart w:id="132" w:name="_Toc45452727"/>
      <w:bookmarkStart w:id="133" w:name="_Toc45900509"/>
      <w:r>
        <w:rPr>
          <w:rFonts w:hint="eastAsia" w:asciiTheme="minorEastAsia" w:hAnsiTheme="minorEastAsia" w:eastAsiaTheme="minorEastAsia"/>
          <w:color w:val="auto"/>
          <w:szCs w:val="21"/>
          <w:highlight w:val="none"/>
        </w:rPr>
        <w:t>2.采购代理机构信息</w:t>
      </w:r>
      <w:bookmarkEnd w:id="128"/>
      <w:bookmarkEnd w:id="129"/>
      <w:bookmarkEnd w:id="130"/>
      <w:bookmarkEnd w:id="131"/>
      <w:bookmarkEnd w:id="132"/>
      <w:bookmarkEnd w:id="133"/>
    </w:p>
    <w:p w14:paraId="21870711">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    称：云南铭漾工程技术咨询有限公司</w:t>
      </w:r>
    </w:p>
    <w:p w14:paraId="5426DB82">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　　址：</w:t>
      </w:r>
      <w:r>
        <w:rPr>
          <w:rFonts w:hint="eastAsia" w:ascii="宋体" w:hAnsi="宋体" w:eastAsiaTheme="minorEastAsia"/>
          <w:color w:val="auto"/>
          <w:szCs w:val="21"/>
          <w:highlight w:val="none"/>
        </w:rPr>
        <w:t>昆明市五华区王筇路49号五华科创大厦14楼07室</w:t>
      </w:r>
    </w:p>
    <w:p w14:paraId="71BFFD3D">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联系方式：0871-65093696</w:t>
      </w:r>
    </w:p>
    <w:p w14:paraId="6D630664">
      <w:pPr>
        <w:spacing w:line="360" w:lineRule="auto"/>
        <w:rPr>
          <w:rFonts w:hint="eastAsia" w:asciiTheme="minorEastAsia" w:hAnsiTheme="minorEastAsia" w:eastAsiaTheme="minorEastAsia"/>
          <w:color w:val="auto"/>
          <w:highlight w:val="none"/>
        </w:rPr>
      </w:pPr>
    </w:p>
    <w:p w14:paraId="0AF926A3">
      <w:pPr>
        <w:spacing w:line="360" w:lineRule="auto"/>
        <w:ind w:firstLine="420" w:firstLineChars="200"/>
        <w:rPr>
          <w:rFonts w:hint="eastAsia" w:asciiTheme="minorEastAsia" w:hAnsiTheme="minorEastAsia" w:eastAsiaTheme="minorEastAsia"/>
          <w:color w:val="auto"/>
          <w:szCs w:val="21"/>
          <w:highlight w:val="none"/>
        </w:rPr>
      </w:pPr>
      <w:bookmarkStart w:id="134" w:name="_Toc45900510"/>
      <w:bookmarkStart w:id="135" w:name="_Toc45452728"/>
      <w:bookmarkStart w:id="136" w:name="_Toc28359098"/>
      <w:bookmarkStart w:id="137" w:name="_Toc35393808"/>
      <w:bookmarkStart w:id="138" w:name="_Toc28359021"/>
      <w:bookmarkStart w:id="139" w:name="_Toc35393639"/>
      <w:r>
        <w:rPr>
          <w:rFonts w:hint="eastAsia" w:asciiTheme="minorEastAsia" w:hAnsiTheme="minorEastAsia" w:eastAsiaTheme="minorEastAsia"/>
          <w:color w:val="auto"/>
          <w:szCs w:val="21"/>
          <w:highlight w:val="none"/>
        </w:rPr>
        <w:t>3.项目联系</w:t>
      </w:r>
      <w:r>
        <w:rPr>
          <w:rFonts w:asciiTheme="minorEastAsia" w:hAnsiTheme="minorEastAsia" w:eastAsiaTheme="minorEastAsia"/>
          <w:color w:val="auto"/>
          <w:szCs w:val="21"/>
          <w:highlight w:val="none"/>
        </w:rPr>
        <w:t>方式</w:t>
      </w:r>
      <w:bookmarkEnd w:id="134"/>
      <w:bookmarkEnd w:id="135"/>
      <w:bookmarkEnd w:id="136"/>
      <w:bookmarkEnd w:id="137"/>
      <w:bookmarkEnd w:id="138"/>
      <w:bookmarkEnd w:id="139"/>
    </w:p>
    <w:p w14:paraId="134BFBE2">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项目联系人：李国涛 贺兴文 赵仕焜 尹正国 杨玲英</w:t>
      </w:r>
    </w:p>
    <w:p w14:paraId="650AB736">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　  话：0871-65093696  18288203780</w:t>
      </w:r>
      <w:r>
        <w:rPr>
          <w:rFonts w:asciiTheme="minorEastAsia" w:hAnsiTheme="minorEastAsia" w:eastAsiaTheme="minorEastAsia"/>
          <w:color w:val="auto"/>
          <w:szCs w:val="21"/>
          <w:highlight w:val="none"/>
        </w:rPr>
        <w:br w:type="page"/>
      </w:r>
    </w:p>
    <w:p w14:paraId="67236F9A">
      <w:pPr>
        <w:pStyle w:val="42"/>
        <w:tabs>
          <w:tab w:val="right" w:leader="dot" w:pos="8948"/>
        </w:tabs>
        <w:spacing w:line="360" w:lineRule="auto"/>
        <w:ind w:left="0"/>
        <w:jc w:val="center"/>
        <w:outlineLvl w:val="0"/>
        <w:rPr>
          <w:rFonts w:hint="eastAsia" w:asciiTheme="minorEastAsia" w:hAnsiTheme="minorEastAsia" w:eastAsiaTheme="minorEastAsia"/>
          <w:b/>
          <w:bCs/>
          <w:color w:val="auto"/>
          <w:sz w:val="32"/>
          <w:szCs w:val="32"/>
          <w:highlight w:val="none"/>
        </w:rPr>
      </w:pPr>
      <w:bookmarkStart w:id="140" w:name="_Toc180143776"/>
      <w:r>
        <w:rPr>
          <w:rFonts w:hint="eastAsia" w:asciiTheme="minorEastAsia" w:hAnsiTheme="minorEastAsia" w:eastAsiaTheme="minorEastAsia"/>
          <w:b/>
          <w:bCs/>
          <w:color w:val="auto"/>
          <w:sz w:val="32"/>
          <w:szCs w:val="32"/>
          <w:highlight w:val="none"/>
        </w:rPr>
        <w:t>第二章 供应商须知</w:t>
      </w:r>
      <w:bookmarkEnd w:id="126"/>
      <w:bookmarkEnd w:id="127"/>
      <w:bookmarkEnd w:id="140"/>
    </w:p>
    <w:p w14:paraId="557D50BE">
      <w:pPr>
        <w:pStyle w:val="2"/>
        <w:spacing w:before="0" w:beforeLines="0"/>
        <w:rPr>
          <w:color w:val="auto"/>
          <w:highlight w:val="none"/>
        </w:rPr>
      </w:pPr>
      <w:bookmarkStart w:id="141" w:name="_Toc132362632"/>
      <w:bookmarkStart w:id="142" w:name="_Toc180143777"/>
      <w:r>
        <w:rPr>
          <w:rFonts w:hint="eastAsia"/>
          <w:color w:val="auto"/>
          <w:highlight w:val="none"/>
        </w:rPr>
        <w:t>一、供应商须知前附表</w:t>
      </w:r>
      <w:bookmarkEnd w:id="141"/>
      <w:bookmarkEnd w:id="142"/>
    </w:p>
    <w:tbl>
      <w:tblPr>
        <w:tblStyle w:val="53"/>
        <w:tblW w:w="5066" w:type="pct"/>
        <w:jc w:val="center"/>
        <w:tblLayout w:type="autofit"/>
        <w:tblCellMar>
          <w:top w:w="0" w:type="dxa"/>
          <w:left w:w="0" w:type="dxa"/>
          <w:bottom w:w="0" w:type="dxa"/>
          <w:right w:w="0" w:type="dxa"/>
        </w:tblCellMar>
      </w:tblPr>
      <w:tblGrid>
        <w:gridCol w:w="832"/>
        <w:gridCol w:w="2242"/>
        <w:gridCol w:w="6012"/>
      </w:tblGrid>
      <w:tr w14:paraId="2A1A4378">
        <w:tblPrEx>
          <w:tblCellMar>
            <w:top w:w="0" w:type="dxa"/>
            <w:left w:w="0" w:type="dxa"/>
            <w:bottom w:w="0" w:type="dxa"/>
            <w:right w:w="0" w:type="dxa"/>
          </w:tblCellMar>
        </w:tblPrEx>
        <w:trPr>
          <w:trHeight w:val="489"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438F7525">
            <w:pPr>
              <w:autoSpaceDE w:val="0"/>
              <w:autoSpaceDN w:val="0"/>
              <w:spacing w:before="60" w:after="60"/>
              <w:contextualSpacing/>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条款号</w:t>
            </w:r>
          </w:p>
        </w:tc>
        <w:tc>
          <w:tcPr>
            <w:tcW w:w="1234" w:type="pct"/>
            <w:tcBorders>
              <w:top w:val="single" w:color="auto" w:sz="4" w:space="0"/>
              <w:left w:val="single" w:color="auto" w:sz="4" w:space="0"/>
              <w:bottom w:val="single" w:color="auto" w:sz="4" w:space="0"/>
              <w:right w:val="single" w:color="auto" w:sz="4" w:space="0"/>
            </w:tcBorders>
            <w:vAlign w:val="center"/>
          </w:tcPr>
          <w:p w14:paraId="718DEA66">
            <w:pPr>
              <w:wordWrap w:val="0"/>
              <w:autoSpaceDE w:val="0"/>
              <w:autoSpaceDN w:val="0"/>
              <w:spacing w:before="60" w:after="60"/>
              <w:ind w:firstLine="422"/>
              <w:contextualSpacing/>
              <w:jc w:val="center"/>
              <w:rPr>
                <w:rFonts w:hint="eastAsia"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条款名称</w:t>
            </w:r>
          </w:p>
        </w:tc>
        <w:tc>
          <w:tcPr>
            <w:tcW w:w="3308" w:type="pct"/>
            <w:tcBorders>
              <w:top w:val="single" w:color="auto" w:sz="4" w:space="0"/>
              <w:left w:val="single" w:color="auto" w:sz="4" w:space="0"/>
              <w:bottom w:val="single" w:color="auto" w:sz="4" w:space="0"/>
              <w:right w:val="single" w:color="auto" w:sz="4" w:space="0"/>
            </w:tcBorders>
            <w:vAlign w:val="center"/>
          </w:tcPr>
          <w:p w14:paraId="6C6642B6">
            <w:pPr>
              <w:wordWrap w:val="0"/>
              <w:autoSpaceDE w:val="0"/>
              <w:autoSpaceDN w:val="0"/>
              <w:spacing w:before="60" w:after="60"/>
              <w:ind w:left="-15" w:leftChars="-7" w:firstLine="15" w:firstLineChars="7"/>
              <w:contextualSpacing/>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编列内容</w:t>
            </w:r>
          </w:p>
        </w:tc>
      </w:tr>
      <w:tr w14:paraId="702A9B26">
        <w:tblPrEx>
          <w:tblCellMar>
            <w:top w:w="0" w:type="dxa"/>
            <w:left w:w="0" w:type="dxa"/>
            <w:bottom w:w="0" w:type="dxa"/>
            <w:right w:w="0" w:type="dxa"/>
          </w:tblCellMar>
        </w:tblPrEx>
        <w:trPr>
          <w:trHeight w:val="567"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4C9B161B">
            <w:pPr>
              <w:wordWrap w:val="0"/>
              <w:autoSpaceDE w:val="0"/>
              <w:autoSpaceDN w:val="0"/>
              <w:spacing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1.1.2</w:t>
            </w:r>
          </w:p>
        </w:tc>
        <w:tc>
          <w:tcPr>
            <w:tcW w:w="1234" w:type="pct"/>
            <w:tcBorders>
              <w:top w:val="single" w:color="auto" w:sz="4" w:space="0"/>
              <w:left w:val="single" w:color="auto" w:sz="4" w:space="0"/>
              <w:bottom w:val="single" w:color="auto" w:sz="4" w:space="0"/>
              <w:right w:val="single" w:color="auto" w:sz="4" w:space="0"/>
            </w:tcBorders>
            <w:vAlign w:val="center"/>
          </w:tcPr>
          <w:p w14:paraId="74ABD688">
            <w:pPr>
              <w:wordWrap w:val="0"/>
              <w:autoSpaceDE w:val="0"/>
              <w:autoSpaceDN w:val="0"/>
              <w:spacing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w:t>
            </w:r>
          </w:p>
        </w:tc>
        <w:tc>
          <w:tcPr>
            <w:tcW w:w="3308" w:type="pct"/>
            <w:tcBorders>
              <w:top w:val="single" w:color="auto" w:sz="4" w:space="0"/>
              <w:left w:val="single" w:color="auto" w:sz="4" w:space="0"/>
              <w:bottom w:val="single" w:color="auto" w:sz="4" w:space="0"/>
              <w:right w:val="single" w:color="auto" w:sz="4" w:space="0"/>
            </w:tcBorders>
          </w:tcPr>
          <w:p w14:paraId="7F521F9B">
            <w:pPr>
              <w:spacing w:before="120" w:beforeLines="50" w:line="360" w:lineRule="auto"/>
              <w:ind w:left="105" w:leftChars="50"/>
              <w:rPr>
                <w:rFonts w:hint="eastAsia" w:cs="宋体" w:asciiTheme="minorEastAsia" w:hAnsiTheme="minorEastAsia" w:eastAsiaTheme="minorEastAsia"/>
                <w:color w:val="auto"/>
                <w:szCs w:val="21"/>
                <w:highlight w:val="none"/>
              </w:rPr>
            </w:pPr>
            <w:bookmarkStart w:id="143" w:name="_Hlk75780510"/>
            <w:r>
              <w:rPr>
                <w:rFonts w:hint="eastAsia" w:cs="宋体" w:asciiTheme="minorEastAsia" w:hAnsiTheme="minorEastAsia" w:eastAsiaTheme="minorEastAsia"/>
                <w:color w:val="auto"/>
                <w:szCs w:val="21"/>
                <w:highlight w:val="none"/>
              </w:rPr>
              <w:t>单位名称：云南省昆明市第二十四中学</w:t>
            </w:r>
          </w:p>
          <w:p w14:paraId="0C93756C">
            <w:pPr>
              <w:spacing w:line="360" w:lineRule="auto"/>
              <w:ind w:left="105" w:leftChars="5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单位地址：昆明市五华区艺院巷10号</w:t>
            </w:r>
          </w:p>
          <w:p w14:paraId="100C6A4F">
            <w:pPr>
              <w:spacing w:line="360" w:lineRule="auto"/>
              <w:ind w:left="105" w:leftChars="5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 系 人：孙老师</w:t>
            </w:r>
          </w:p>
          <w:p w14:paraId="47570369">
            <w:pPr>
              <w:spacing w:line="360" w:lineRule="auto"/>
              <w:ind w:left="105" w:leftChars="50"/>
              <w:rPr>
                <w:rFonts w:hint="eastAsia"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联系电话</w:t>
            </w:r>
            <w:bookmarkEnd w:id="143"/>
            <w:r>
              <w:rPr>
                <w:rFonts w:hint="eastAsia" w:cs="宋体" w:asciiTheme="minorEastAsia" w:hAnsiTheme="minorEastAsia" w:eastAsiaTheme="minorEastAsia"/>
                <w:color w:val="auto"/>
                <w:szCs w:val="21"/>
                <w:highlight w:val="none"/>
              </w:rPr>
              <w:t>：13669769827</w:t>
            </w:r>
          </w:p>
        </w:tc>
      </w:tr>
      <w:tr w14:paraId="4A3F5E61">
        <w:tblPrEx>
          <w:tblCellMar>
            <w:top w:w="0" w:type="dxa"/>
            <w:left w:w="0" w:type="dxa"/>
            <w:bottom w:w="0" w:type="dxa"/>
            <w:right w:w="0" w:type="dxa"/>
          </w:tblCellMar>
        </w:tblPrEx>
        <w:trPr>
          <w:trHeight w:val="567"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2D8EF000">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1.1.3</w:t>
            </w:r>
          </w:p>
        </w:tc>
        <w:tc>
          <w:tcPr>
            <w:tcW w:w="1234" w:type="pct"/>
            <w:tcBorders>
              <w:top w:val="single" w:color="auto" w:sz="4" w:space="0"/>
              <w:left w:val="single" w:color="auto" w:sz="4" w:space="0"/>
              <w:bottom w:val="single" w:color="auto" w:sz="4" w:space="0"/>
              <w:right w:val="single" w:color="auto" w:sz="4" w:space="0"/>
            </w:tcBorders>
            <w:vAlign w:val="center"/>
          </w:tcPr>
          <w:p w14:paraId="5F99F8C1">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采购代理机构</w:t>
            </w:r>
          </w:p>
        </w:tc>
        <w:tc>
          <w:tcPr>
            <w:tcW w:w="3308" w:type="pct"/>
            <w:tcBorders>
              <w:top w:val="single" w:color="auto" w:sz="4" w:space="0"/>
              <w:left w:val="single" w:color="auto" w:sz="4" w:space="0"/>
              <w:bottom w:val="single" w:color="auto" w:sz="4" w:space="0"/>
              <w:right w:val="single" w:color="auto" w:sz="4" w:space="0"/>
            </w:tcBorders>
          </w:tcPr>
          <w:p w14:paraId="30E8EC44">
            <w:pPr>
              <w:spacing w:before="120" w:beforeLines="50" w:line="360" w:lineRule="auto"/>
              <w:ind w:left="105" w:leftChars="50"/>
              <w:rPr>
                <w:rFonts w:hint="eastAsia"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单位名称：云南铭漾工程技术咨询有限公司</w:t>
            </w:r>
          </w:p>
          <w:p w14:paraId="72BCB29C">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单位地址：</w:t>
            </w:r>
            <w:r>
              <w:rPr>
                <w:rFonts w:hint="eastAsia" w:ascii="宋体" w:hAnsi="宋体" w:eastAsiaTheme="minorEastAsia"/>
                <w:color w:val="auto"/>
                <w:szCs w:val="21"/>
                <w:highlight w:val="none"/>
              </w:rPr>
              <w:t>昆明市五华区王筇路49号五华科创大厦14楼07室</w:t>
            </w:r>
          </w:p>
          <w:p w14:paraId="4C1CF691">
            <w:pPr>
              <w:spacing w:line="360" w:lineRule="auto"/>
              <w:ind w:left="105" w:lef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 系 人：李国涛 贺兴文 赵仕焜 尹正国 杨玲英</w:t>
            </w:r>
          </w:p>
          <w:p w14:paraId="0E2C0819">
            <w:pPr>
              <w:spacing w:line="360" w:lineRule="auto"/>
              <w:ind w:left="105" w:lef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联系电话：0871-65093696  18288203780</w:t>
            </w:r>
          </w:p>
        </w:tc>
      </w:tr>
      <w:tr w14:paraId="0EE7AE44">
        <w:tblPrEx>
          <w:tblCellMar>
            <w:top w:w="0" w:type="dxa"/>
            <w:left w:w="0" w:type="dxa"/>
            <w:bottom w:w="0" w:type="dxa"/>
            <w:right w:w="0" w:type="dxa"/>
          </w:tblCellMar>
        </w:tblPrEx>
        <w:trPr>
          <w:trHeight w:val="411"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7C148B06">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w:t>
            </w:r>
          </w:p>
        </w:tc>
        <w:tc>
          <w:tcPr>
            <w:tcW w:w="1234" w:type="pct"/>
            <w:tcBorders>
              <w:top w:val="single" w:color="auto" w:sz="4" w:space="0"/>
              <w:left w:val="single" w:color="auto" w:sz="4" w:space="0"/>
              <w:bottom w:val="single" w:color="auto" w:sz="4" w:space="0"/>
              <w:right w:val="single" w:color="auto" w:sz="4" w:space="0"/>
            </w:tcBorders>
            <w:vAlign w:val="center"/>
          </w:tcPr>
          <w:p w14:paraId="3B265293">
            <w:pPr>
              <w:spacing w:before="120" w:beforeLines="50" w:line="360" w:lineRule="auto"/>
              <w:jc w:val="center"/>
              <w:rPr>
                <w:rFonts w:hint="eastAsia" w:asciiTheme="minorEastAsia" w:hAnsiTheme="minorEastAsia" w:eastAsiaTheme="minorEastAsia"/>
                <w:color w:val="auto"/>
                <w:szCs w:val="21"/>
                <w:highlight w:val="none"/>
              </w:rPr>
            </w:pPr>
            <w:r>
              <w:rPr>
                <w:rFonts w:hint="eastAsia" w:ascii="宋体" w:hAnsi="宋体"/>
                <w:color w:val="auto"/>
                <w:szCs w:val="21"/>
                <w:highlight w:val="none"/>
              </w:rPr>
              <w:t>项目名称</w:t>
            </w:r>
          </w:p>
        </w:tc>
        <w:tc>
          <w:tcPr>
            <w:tcW w:w="3308" w:type="pct"/>
            <w:tcBorders>
              <w:top w:val="single" w:color="auto" w:sz="4" w:space="0"/>
              <w:left w:val="single" w:color="auto" w:sz="4" w:space="0"/>
              <w:bottom w:val="single" w:color="auto" w:sz="4" w:space="0"/>
              <w:right w:val="single" w:color="auto" w:sz="4" w:space="0"/>
            </w:tcBorders>
            <w:vAlign w:val="center"/>
          </w:tcPr>
          <w:p w14:paraId="483AB2BC">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宋体" w:hAnsi="宋体" w:eastAsiaTheme="minorEastAsia"/>
                <w:color w:val="auto"/>
                <w:szCs w:val="21"/>
                <w:highlight w:val="none"/>
              </w:rPr>
              <w:t>昆明市第二十四中学理化生实验室升级改造设备采购项目</w:t>
            </w:r>
          </w:p>
        </w:tc>
      </w:tr>
      <w:tr w14:paraId="3B84281F">
        <w:tblPrEx>
          <w:tblCellMar>
            <w:top w:w="0" w:type="dxa"/>
            <w:left w:w="0" w:type="dxa"/>
            <w:bottom w:w="0" w:type="dxa"/>
            <w:right w:w="0" w:type="dxa"/>
          </w:tblCellMar>
        </w:tblPrEx>
        <w:trPr>
          <w:trHeight w:val="433"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6915239E">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.1.5</w:t>
            </w:r>
          </w:p>
        </w:tc>
        <w:tc>
          <w:tcPr>
            <w:tcW w:w="1234" w:type="pct"/>
            <w:tcBorders>
              <w:top w:val="single" w:color="auto" w:sz="4" w:space="0"/>
              <w:left w:val="single" w:color="auto" w:sz="4" w:space="0"/>
              <w:bottom w:val="single" w:color="auto" w:sz="4" w:space="0"/>
              <w:right w:val="single" w:color="auto" w:sz="4" w:space="0"/>
            </w:tcBorders>
            <w:vAlign w:val="center"/>
          </w:tcPr>
          <w:p w14:paraId="6B045816">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交货地点</w:t>
            </w:r>
          </w:p>
        </w:tc>
        <w:tc>
          <w:tcPr>
            <w:tcW w:w="3308" w:type="pct"/>
            <w:tcBorders>
              <w:top w:val="single" w:color="auto" w:sz="4" w:space="0"/>
              <w:left w:val="single" w:color="auto" w:sz="4" w:space="0"/>
              <w:bottom w:val="single" w:color="auto" w:sz="4" w:space="0"/>
              <w:right w:val="single" w:color="auto" w:sz="4" w:space="0"/>
            </w:tcBorders>
            <w:vAlign w:val="center"/>
          </w:tcPr>
          <w:p w14:paraId="20B42F38">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云南省昆明市第二十四中学校园内。</w:t>
            </w:r>
          </w:p>
        </w:tc>
      </w:tr>
      <w:tr w14:paraId="691778DB">
        <w:tblPrEx>
          <w:tblCellMar>
            <w:top w:w="0" w:type="dxa"/>
            <w:left w:w="0" w:type="dxa"/>
            <w:bottom w:w="0" w:type="dxa"/>
            <w:right w:w="0" w:type="dxa"/>
          </w:tblCellMar>
        </w:tblPrEx>
        <w:trPr>
          <w:trHeight w:val="397"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5804109E">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1.2.1</w:t>
            </w:r>
          </w:p>
        </w:tc>
        <w:tc>
          <w:tcPr>
            <w:tcW w:w="1234" w:type="pct"/>
            <w:tcBorders>
              <w:top w:val="single" w:color="auto" w:sz="4" w:space="0"/>
              <w:left w:val="single" w:color="auto" w:sz="4" w:space="0"/>
              <w:bottom w:val="single" w:color="auto" w:sz="4" w:space="0"/>
              <w:right w:val="single" w:color="auto" w:sz="4" w:space="0"/>
            </w:tcBorders>
            <w:vAlign w:val="center"/>
          </w:tcPr>
          <w:p w14:paraId="2EFE51B2">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资金来源</w:t>
            </w:r>
          </w:p>
        </w:tc>
        <w:tc>
          <w:tcPr>
            <w:tcW w:w="3308" w:type="pct"/>
            <w:tcBorders>
              <w:top w:val="single" w:color="auto" w:sz="4" w:space="0"/>
              <w:left w:val="single" w:color="auto" w:sz="4" w:space="0"/>
              <w:bottom w:val="single" w:color="auto" w:sz="4" w:space="0"/>
              <w:right w:val="single" w:color="auto" w:sz="4" w:space="0"/>
            </w:tcBorders>
            <w:vAlign w:val="center"/>
          </w:tcPr>
          <w:p w14:paraId="6D90DA66">
            <w:pPr>
              <w:spacing w:before="120" w:beforeLines="50" w:line="360" w:lineRule="auto"/>
              <w:ind w:left="105" w:lef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财政性资金。</w:t>
            </w:r>
          </w:p>
        </w:tc>
      </w:tr>
      <w:tr w14:paraId="4788E1FA">
        <w:tblPrEx>
          <w:tblCellMar>
            <w:top w:w="0" w:type="dxa"/>
            <w:left w:w="0" w:type="dxa"/>
            <w:bottom w:w="0" w:type="dxa"/>
            <w:right w:w="0" w:type="dxa"/>
          </w:tblCellMar>
        </w:tblPrEx>
        <w:trPr>
          <w:trHeight w:val="422"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448468DD">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1.2.2</w:t>
            </w:r>
          </w:p>
        </w:tc>
        <w:tc>
          <w:tcPr>
            <w:tcW w:w="1234" w:type="pct"/>
            <w:tcBorders>
              <w:top w:val="single" w:color="auto" w:sz="4" w:space="0"/>
              <w:left w:val="single" w:color="auto" w:sz="4" w:space="0"/>
              <w:bottom w:val="single" w:color="auto" w:sz="4" w:space="0"/>
              <w:right w:val="single" w:color="auto" w:sz="4" w:space="0"/>
            </w:tcBorders>
            <w:vAlign w:val="center"/>
          </w:tcPr>
          <w:p w14:paraId="26B7B111">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资金落实情况</w:t>
            </w:r>
          </w:p>
        </w:tc>
        <w:tc>
          <w:tcPr>
            <w:tcW w:w="3308" w:type="pct"/>
            <w:tcBorders>
              <w:top w:val="single" w:color="auto" w:sz="4" w:space="0"/>
              <w:left w:val="single" w:color="auto" w:sz="4" w:space="0"/>
              <w:bottom w:val="single" w:color="auto" w:sz="4" w:space="0"/>
              <w:right w:val="single" w:color="auto" w:sz="4" w:space="0"/>
            </w:tcBorders>
            <w:vAlign w:val="center"/>
          </w:tcPr>
          <w:p w14:paraId="7010974A">
            <w:pPr>
              <w:spacing w:before="120" w:beforeLines="50" w:line="360" w:lineRule="auto"/>
              <w:ind w:left="105" w:lef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已落实。</w:t>
            </w:r>
          </w:p>
        </w:tc>
      </w:tr>
      <w:tr w14:paraId="6D33EC52">
        <w:tblPrEx>
          <w:tblCellMar>
            <w:top w:w="0" w:type="dxa"/>
            <w:left w:w="0" w:type="dxa"/>
            <w:bottom w:w="0" w:type="dxa"/>
            <w:right w:w="0" w:type="dxa"/>
          </w:tblCellMar>
        </w:tblPrEx>
        <w:trPr>
          <w:trHeight w:val="58"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69520378">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1.3.1</w:t>
            </w:r>
          </w:p>
        </w:tc>
        <w:tc>
          <w:tcPr>
            <w:tcW w:w="1234" w:type="pct"/>
            <w:tcBorders>
              <w:top w:val="single" w:color="auto" w:sz="4" w:space="0"/>
              <w:left w:val="single" w:color="auto" w:sz="4" w:space="0"/>
              <w:bottom w:val="single" w:color="auto" w:sz="4" w:space="0"/>
              <w:right w:val="single" w:color="auto" w:sz="4" w:space="0"/>
            </w:tcBorders>
            <w:vAlign w:val="center"/>
          </w:tcPr>
          <w:p w14:paraId="0A5BEFA9">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采购内容</w:t>
            </w:r>
          </w:p>
        </w:tc>
        <w:tc>
          <w:tcPr>
            <w:tcW w:w="3308" w:type="pct"/>
            <w:tcBorders>
              <w:top w:val="single" w:color="auto" w:sz="4" w:space="0"/>
              <w:left w:val="single" w:color="auto" w:sz="4" w:space="0"/>
              <w:bottom w:val="single" w:color="auto" w:sz="4" w:space="0"/>
              <w:right w:val="single" w:color="auto" w:sz="4" w:space="0"/>
            </w:tcBorders>
            <w:vAlign w:val="center"/>
          </w:tcPr>
          <w:p w14:paraId="0405CA70">
            <w:pPr>
              <w:spacing w:before="120" w:beforeLines="50" w:line="360" w:lineRule="auto"/>
              <w:ind w:left="105" w:leftChars="50" w:right="105" w:rightChars="50"/>
              <w:rPr>
                <w:rFonts w:hint="eastAsia" w:ascii="宋体" w:hAnsi="宋体"/>
                <w:color w:val="auto"/>
                <w:szCs w:val="21"/>
                <w:highlight w:val="none"/>
              </w:rPr>
            </w:pPr>
            <w:r>
              <w:rPr>
                <w:rFonts w:hint="eastAsia" w:asciiTheme="minorEastAsia" w:hAnsiTheme="minorEastAsia" w:eastAsiaTheme="minorEastAsia"/>
                <w:color w:val="auto"/>
                <w:szCs w:val="21"/>
                <w:highlight w:val="none"/>
              </w:rPr>
              <w:t>本次采购内容包括智能化学吊装系统2套、智能生物吊装系统2套、智能物理吊装系统2套、高中物理新课标实验仪器1批、高中化学新课标实验仪器1批、高中生物新课标实验仪器1批；以及化学实验室、生物实验室、物理实验室的环境氛围升级改造。</w:t>
            </w:r>
            <w:r>
              <w:rPr>
                <w:rFonts w:hint="eastAsia" w:ascii="宋体" w:hAnsi="宋体"/>
                <w:color w:val="auto"/>
                <w:highlight w:val="none"/>
              </w:rPr>
              <w:t>（具体采购内容及要求详见采购文件第五章“采购清单及要求”）。</w:t>
            </w:r>
          </w:p>
        </w:tc>
      </w:tr>
      <w:tr w14:paraId="4357DF7D">
        <w:tblPrEx>
          <w:tblCellMar>
            <w:top w:w="0" w:type="dxa"/>
            <w:left w:w="0" w:type="dxa"/>
            <w:bottom w:w="0" w:type="dxa"/>
            <w:right w:w="0" w:type="dxa"/>
          </w:tblCellMar>
        </w:tblPrEx>
        <w:trPr>
          <w:trHeight w:val="442"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7BFE0A7C">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r>
              <w:rPr>
                <w:rFonts w:asciiTheme="minorEastAsia" w:hAnsiTheme="minorEastAsia" w:eastAsiaTheme="minorEastAsia"/>
                <w:color w:val="auto"/>
                <w:szCs w:val="21"/>
                <w:highlight w:val="none"/>
              </w:rPr>
              <w:t>2</w:t>
            </w:r>
          </w:p>
        </w:tc>
        <w:tc>
          <w:tcPr>
            <w:tcW w:w="1234" w:type="pct"/>
            <w:tcBorders>
              <w:top w:val="single" w:color="auto" w:sz="4" w:space="0"/>
              <w:left w:val="single" w:color="auto" w:sz="4" w:space="0"/>
              <w:bottom w:val="single" w:color="auto" w:sz="4" w:space="0"/>
              <w:right w:val="single" w:color="auto" w:sz="4" w:space="0"/>
            </w:tcBorders>
            <w:vAlign w:val="center"/>
          </w:tcPr>
          <w:p w14:paraId="5BE52B42">
            <w:pPr>
              <w:pStyle w:val="145"/>
              <w:spacing w:before="120" w:beforeLines="50" w:line="360" w:lineRule="auto"/>
              <w:jc w:val="center"/>
              <w:rPr>
                <w:rFonts w:hint="eastAsia"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kern w:val="2"/>
                <w:sz w:val="21"/>
                <w:szCs w:val="21"/>
                <w:highlight w:val="none"/>
              </w:rPr>
              <w:t>交货期</w:t>
            </w:r>
          </w:p>
        </w:tc>
        <w:tc>
          <w:tcPr>
            <w:tcW w:w="3308" w:type="pct"/>
            <w:tcBorders>
              <w:top w:val="single" w:color="auto" w:sz="4" w:space="0"/>
              <w:left w:val="single" w:color="auto" w:sz="4" w:space="0"/>
              <w:bottom w:val="single" w:color="auto" w:sz="4" w:space="0"/>
              <w:right w:val="single" w:color="auto" w:sz="4" w:space="0"/>
            </w:tcBorders>
            <w:vAlign w:val="center"/>
          </w:tcPr>
          <w:p w14:paraId="01B978B1">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宋体" w:hAnsi="宋体" w:cs="宋体"/>
                <w:color w:val="auto"/>
                <w:highlight w:val="none"/>
              </w:rPr>
              <w:t>合同签订后30日历天内完成实验室改造以及设备安装、调试等所有工作</w:t>
            </w:r>
            <w:r>
              <w:rPr>
                <w:rFonts w:hint="eastAsia" w:asciiTheme="minorEastAsia" w:hAnsiTheme="minorEastAsia" w:eastAsiaTheme="minorEastAsia"/>
                <w:color w:val="auto"/>
                <w:szCs w:val="21"/>
                <w:highlight w:val="none"/>
              </w:rPr>
              <w:t>。</w:t>
            </w:r>
          </w:p>
        </w:tc>
      </w:tr>
      <w:tr w14:paraId="30389420">
        <w:tblPrEx>
          <w:tblCellMar>
            <w:top w:w="0" w:type="dxa"/>
            <w:left w:w="0" w:type="dxa"/>
            <w:bottom w:w="0" w:type="dxa"/>
            <w:right w:w="0" w:type="dxa"/>
          </w:tblCellMar>
        </w:tblPrEx>
        <w:trPr>
          <w:trHeight w:val="274"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1D25994E">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r>
              <w:rPr>
                <w:rFonts w:asciiTheme="minorEastAsia" w:hAnsiTheme="minorEastAsia" w:eastAsiaTheme="minorEastAsia"/>
                <w:color w:val="auto"/>
                <w:szCs w:val="21"/>
                <w:highlight w:val="none"/>
              </w:rPr>
              <w:t>3</w:t>
            </w:r>
          </w:p>
        </w:tc>
        <w:tc>
          <w:tcPr>
            <w:tcW w:w="1234" w:type="pct"/>
            <w:tcBorders>
              <w:top w:val="single" w:color="auto" w:sz="4" w:space="0"/>
              <w:left w:val="single" w:color="auto" w:sz="4" w:space="0"/>
              <w:bottom w:val="single" w:color="auto" w:sz="4" w:space="0"/>
              <w:right w:val="single" w:color="auto" w:sz="4" w:space="0"/>
            </w:tcBorders>
            <w:vAlign w:val="center"/>
          </w:tcPr>
          <w:p w14:paraId="4676F61D">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质量要求</w:t>
            </w:r>
          </w:p>
        </w:tc>
        <w:tc>
          <w:tcPr>
            <w:tcW w:w="3308" w:type="pct"/>
            <w:tcBorders>
              <w:top w:val="single" w:color="auto" w:sz="4" w:space="0"/>
              <w:left w:val="single" w:color="auto" w:sz="4" w:space="0"/>
              <w:bottom w:val="single" w:color="auto" w:sz="4" w:space="0"/>
              <w:right w:val="single" w:color="auto" w:sz="4" w:space="0"/>
            </w:tcBorders>
            <w:vAlign w:val="center"/>
          </w:tcPr>
          <w:p w14:paraId="5CCC99E3">
            <w:pPr>
              <w:pStyle w:val="14"/>
              <w:spacing w:before="120" w:beforeLines="50" w:line="360" w:lineRule="auto"/>
              <w:ind w:left="105" w:leftChars="50" w:right="105" w:rightChars="50" w:firstLine="0"/>
              <w:rPr>
                <w:rFonts w:hint="eastAsia" w:asciiTheme="minorEastAsia" w:hAnsiTheme="minorEastAsia" w:eastAsiaTheme="minorEastAsia"/>
                <w:color w:val="auto"/>
                <w:szCs w:val="21"/>
                <w:highlight w:val="none"/>
              </w:rPr>
            </w:pPr>
            <w:r>
              <w:rPr>
                <w:rFonts w:hint="eastAsia" w:ascii="宋体" w:hAnsi="宋体"/>
                <w:color w:val="auto"/>
                <w:highlight w:val="none"/>
              </w:rPr>
              <w:t>符合国家、行业现行相关法律、法规以及标准规定，并且满足采购人的要求。</w:t>
            </w:r>
          </w:p>
        </w:tc>
      </w:tr>
      <w:tr w14:paraId="0246753E">
        <w:tblPrEx>
          <w:tblCellMar>
            <w:top w:w="0" w:type="dxa"/>
            <w:left w:w="0" w:type="dxa"/>
            <w:bottom w:w="0" w:type="dxa"/>
            <w:right w:w="0" w:type="dxa"/>
          </w:tblCellMar>
        </w:tblPrEx>
        <w:trPr>
          <w:trHeight w:val="274"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0597505E">
            <w:pPr>
              <w:wordWrap w:val="0"/>
              <w:autoSpaceDE w:val="0"/>
              <w:autoSpaceDN w:val="0"/>
              <w:spacing w:after="100" w:afterAutospacing="1"/>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4</w:t>
            </w:r>
          </w:p>
        </w:tc>
        <w:tc>
          <w:tcPr>
            <w:tcW w:w="1234" w:type="pct"/>
            <w:tcBorders>
              <w:top w:val="single" w:color="auto" w:sz="4" w:space="0"/>
              <w:left w:val="single" w:color="auto" w:sz="4" w:space="0"/>
              <w:bottom w:val="single" w:color="auto" w:sz="4" w:space="0"/>
              <w:right w:val="single" w:color="auto" w:sz="4" w:space="0"/>
            </w:tcBorders>
            <w:vAlign w:val="center"/>
          </w:tcPr>
          <w:p w14:paraId="18F2D73B">
            <w:pPr>
              <w:wordWrap w:val="0"/>
              <w:autoSpaceDE w:val="0"/>
              <w:autoSpaceDN w:val="0"/>
              <w:spacing w:after="100" w:afterAutospacing="1"/>
              <w:contextualSpacing/>
              <w:jc w:val="center"/>
              <w:rPr>
                <w:rFonts w:hint="eastAsia" w:asciiTheme="minorEastAsia" w:hAnsiTheme="minorEastAsia" w:eastAsiaTheme="minorEastAsia"/>
                <w:color w:val="auto"/>
                <w:szCs w:val="21"/>
                <w:highlight w:val="none"/>
              </w:rPr>
            </w:pPr>
            <w:r>
              <w:rPr>
                <w:rFonts w:hint="eastAsia" w:ascii="宋体" w:hAnsi="宋体"/>
                <w:color w:val="auto"/>
                <w:highlight w:val="none"/>
              </w:rPr>
              <w:t>是否接受进口产品</w:t>
            </w:r>
          </w:p>
        </w:tc>
        <w:tc>
          <w:tcPr>
            <w:tcW w:w="3308" w:type="pct"/>
            <w:tcBorders>
              <w:top w:val="single" w:color="auto" w:sz="4" w:space="0"/>
              <w:left w:val="single" w:color="auto" w:sz="4" w:space="0"/>
              <w:bottom w:val="single" w:color="auto" w:sz="4" w:space="0"/>
              <w:right w:val="single" w:color="auto" w:sz="4" w:space="0"/>
            </w:tcBorders>
            <w:vAlign w:val="center"/>
          </w:tcPr>
          <w:p w14:paraId="3737A4F0">
            <w:pPr>
              <w:spacing w:before="120" w:beforeLines="50" w:line="360" w:lineRule="auto"/>
              <w:ind w:left="105" w:leftChars="50" w:right="105" w:rightChars="50"/>
              <w:rPr>
                <w:rFonts w:hint="eastAsia" w:ascii="宋体" w:hAnsi="宋体"/>
                <w:color w:val="auto"/>
                <w:highlight w:val="none"/>
              </w:rPr>
            </w:pPr>
            <w:r>
              <w:rPr>
                <w:rFonts w:hint="eastAsia" w:ascii="宋体" w:hAnsi="宋体"/>
                <w:color w:val="auto"/>
                <w:highlight w:val="none"/>
              </w:rPr>
              <w:t>不接受。</w:t>
            </w:r>
          </w:p>
          <w:p w14:paraId="6CBF4EFF">
            <w:pPr>
              <w:spacing w:line="360" w:lineRule="auto"/>
              <w:ind w:left="105" w:leftChars="50" w:right="105" w:rightChars="50"/>
              <w:rPr>
                <w:rFonts w:hint="eastAsia" w:ascii="宋体" w:hAnsi="宋体" w:cs="宋体" w:eastAsiaTheme="minorEastAsia"/>
                <w:color w:val="auto"/>
                <w:highlight w:val="none"/>
              </w:rPr>
            </w:pPr>
            <w:r>
              <w:rPr>
                <w:rFonts w:hint="eastAsia" w:ascii="宋体" w:hAnsi="宋体"/>
                <w:color w:val="auto"/>
                <w:highlight w:val="none"/>
              </w:rPr>
              <w:t>注：</w:t>
            </w:r>
            <w:r>
              <w:rPr>
                <w:rFonts w:hint="eastAsia" w:ascii="宋体" w:hAnsi="宋体"/>
                <w:color w:val="auto"/>
                <w:szCs w:val="21"/>
                <w:highlight w:val="none"/>
              </w:rPr>
              <w:t>进口产品是指通过中国海关报关验放进入中国境内且产自关境外的产品。</w:t>
            </w:r>
          </w:p>
        </w:tc>
      </w:tr>
      <w:tr w14:paraId="68814249">
        <w:tblPrEx>
          <w:tblCellMar>
            <w:top w:w="0" w:type="dxa"/>
            <w:left w:w="0" w:type="dxa"/>
            <w:bottom w:w="0" w:type="dxa"/>
            <w:right w:w="0" w:type="dxa"/>
          </w:tblCellMar>
        </w:tblPrEx>
        <w:trPr>
          <w:jc w:val="center"/>
        </w:trPr>
        <w:tc>
          <w:tcPr>
            <w:tcW w:w="458" w:type="pct"/>
            <w:tcBorders>
              <w:top w:val="single" w:color="auto" w:sz="4" w:space="0"/>
              <w:left w:val="single" w:color="auto" w:sz="4" w:space="0"/>
              <w:bottom w:val="single" w:color="auto" w:sz="4" w:space="0"/>
              <w:right w:val="single" w:color="auto" w:sz="4" w:space="0"/>
            </w:tcBorders>
            <w:vAlign w:val="center"/>
          </w:tcPr>
          <w:p w14:paraId="640C6E83">
            <w:pPr>
              <w:spacing w:before="120" w:beforeLines="50" w:line="360" w:lineRule="auto"/>
              <w:ind w:left="105" w:leftChars="50" w:right="105" w:rightChars="5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1.3.5</w:t>
            </w:r>
          </w:p>
        </w:tc>
        <w:tc>
          <w:tcPr>
            <w:tcW w:w="1234" w:type="pct"/>
            <w:tcBorders>
              <w:top w:val="single" w:color="auto" w:sz="4" w:space="0"/>
              <w:left w:val="single" w:color="auto" w:sz="4" w:space="0"/>
              <w:bottom w:val="single" w:color="auto" w:sz="4" w:space="0"/>
              <w:right w:val="single" w:color="auto" w:sz="4" w:space="0"/>
            </w:tcBorders>
            <w:vAlign w:val="center"/>
          </w:tcPr>
          <w:p w14:paraId="4BF89120">
            <w:pPr>
              <w:spacing w:before="120" w:beforeLines="50" w:line="360" w:lineRule="auto"/>
              <w:ind w:left="105" w:leftChars="50" w:right="105" w:rightChars="50"/>
              <w:jc w:val="center"/>
              <w:rPr>
                <w:rFonts w:hint="eastAsia" w:asciiTheme="minorEastAsia" w:hAnsiTheme="minorEastAsia" w:eastAsiaTheme="minorEastAsia"/>
                <w:color w:val="auto"/>
                <w:szCs w:val="21"/>
                <w:highlight w:val="none"/>
              </w:rPr>
            </w:pPr>
            <w:r>
              <w:rPr>
                <w:rFonts w:ascii="宋体" w:hAnsi="宋体"/>
                <w:color w:val="auto"/>
                <w:szCs w:val="21"/>
                <w:highlight w:val="none"/>
              </w:rPr>
              <w:t>质保期</w:t>
            </w:r>
            <w:r>
              <w:rPr>
                <w:rFonts w:hint="eastAsia" w:ascii="宋体" w:hAnsi="宋体"/>
                <w:color w:val="auto"/>
                <w:szCs w:val="21"/>
                <w:highlight w:val="none"/>
              </w:rPr>
              <w:t>要求</w:t>
            </w:r>
          </w:p>
        </w:tc>
        <w:tc>
          <w:tcPr>
            <w:tcW w:w="3308" w:type="pct"/>
            <w:tcBorders>
              <w:top w:val="single" w:color="auto" w:sz="4" w:space="0"/>
              <w:left w:val="single" w:color="auto" w:sz="4" w:space="0"/>
              <w:bottom w:val="single" w:color="auto" w:sz="4" w:space="0"/>
              <w:right w:val="single" w:color="auto" w:sz="4" w:space="0"/>
            </w:tcBorders>
          </w:tcPr>
          <w:p w14:paraId="19E45AEF">
            <w:pPr>
              <w:spacing w:before="120" w:beforeLines="50" w:line="360" w:lineRule="auto"/>
              <w:ind w:left="105" w:leftChars="50" w:right="105" w:rightChars="50"/>
              <w:jc w:val="left"/>
              <w:rPr>
                <w:rFonts w:hint="eastAsia" w:ascii="宋体" w:hAnsi="宋体"/>
                <w:color w:val="auto"/>
                <w:szCs w:val="21"/>
                <w:highlight w:val="none"/>
              </w:rPr>
            </w:pPr>
            <w:r>
              <w:rPr>
                <w:rFonts w:hint="eastAsia" w:ascii="宋体" w:hAnsi="宋体"/>
                <w:color w:val="auto"/>
                <w:highlight w:val="none"/>
              </w:rPr>
              <w:t>不少于3年（质保期内设备发生故障时，30分钟内到达现场处理，不能修复的提供备件，待维修好后换回）</w:t>
            </w:r>
            <w:r>
              <w:rPr>
                <w:rFonts w:hint="eastAsia" w:ascii="宋体" w:hAnsi="宋体"/>
                <w:color w:val="auto"/>
                <w:szCs w:val="21"/>
                <w:highlight w:val="none"/>
              </w:rPr>
              <w:t>。</w:t>
            </w:r>
          </w:p>
        </w:tc>
      </w:tr>
      <w:tr w14:paraId="3B51399A">
        <w:tblPrEx>
          <w:tblCellMar>
            <w:top w:w="0" w:type="dxa"/>
            <w:left w:w="0" w:type="dxa"/>
            <w:bottom w:w="0" w:type="dxa"/>
            <w:right w:w="0" w:type="dxa"/>
          </w:tblCellMar>
        </w:tblPrEx>
        <w:trPr>
          <w:trHeight w:val="469"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41D8E4F4">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1.3.6</w:t>
            </w:r>
          </w:p>
        </w:tc>
        <w:tc>
          <w:tcPr>
            <w:tcW w:w="1234" w:type="pct"/>
            <w:tcBorders>
              <w:top w:val="single" w:color="auto" w:sz="4" w:space="0"/>
              <w:left w:val="single" w:color="auto" w:sz="4" w:space="0"/>
              <w:bottom w:val="single" w:color="auto" w:sz="4" w:space="0"/>
              <w:right w:val="single" w:color="auto" w:sz="4" w:space="0"/>
            </w:tcBorders>
            <w:vAlign w:val="center"/>
          </w:tcPr>
          <w:p w14:paraId="38D436D6">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包件划分</w:t>
            </w:r>
          </w:p>
        </w:tc>
        <w:tc>
          <w:tcPr>
            <w:tcW w:w="3308" w:type="pct"/>
            <w:tcBorders>
              <w:top w:val="single" w:color="auto" w:sz="4" w:space="0"/>
              <w:left w:val="single" w:color="auto" w:sz="4" w:space="0"/>
              <w:bottom w:val="single" w:color="auto" w:sz="4" w:space="0"/>
              <w:right w:val="single" w:color="auto" w:sz="4" w:space="0"/>
            </w:tcBorders>
            <w:vAlign w:val="center"/>
          </w:tcPr>
          <w:p w14:paraId="4048938C">
            <w:pPr>
              <w:spacing w:before="120" w:beforeLines="50" w:line="360" w:lineRule="auto"/>
              <w:ind w:left="105" w:leftChars="50"/>
              <w:rPr>
                <w:rFonts w:hint="eastAsia" w:asciiTheme="minorEastAsia" w:hAnsiTheme="minorEastAsia" w:eastAsiaTheme="minorEastAsia"/>
                <w:color w:val="auto"/>
                <w:szCs w:val="21"/>
                <w:highlight w:val="none"/>
              </w:rPr>
            </w:pPr>
            <w:r>
              <w:rPr>
                <w:rFonts w:hint="eastAsia" w:ascii="宋体" w:hAnsi="宋体"/>
                <w:color w:val="auto"/>
                <w:highlight w:val="none"/>
              </w:rPr>
              <w:t>本项目不划分包件。</w:t>
            </w:r>
          </w:p>
        </w:tc>
      </w:tr>
      <w:tr w14:paraId="69B7DBDB">
        <w:tblPrEx>
          <w:tblCellMar>
            <w:top w:w="0" w:type="dxa"/>
            <w:left w:w="0" w:type="dxa"/>
            <w:bottom w:w="0" w:type="dxa"/>
            <w:right w:w="0" w:type="dxa"/>
          </w:tblCellMar>
        </w:tblPrEx>
        <w:trPr>
          <w:trHeight w:val="274"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361B9752">
            <w:pPr>
              <w:wordWrap w:val="0"/>
              <w:autoSpaceDE w:val="0"/>
              <w:autoSpaceDN w:val="0"/>
              <w:spacing w:after="100" w:afterAutospacing="1"/>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1.4.1</w:t>
            </w:r>
          </w:p>
        </w:tc>
        <w:tc>
          <w:tcPr>
            <w:tcW w:w="1234" w:type="pct"/>
            <w:tcBorders>
              <w:top w:val="single" w:color="auto" w:sz="4" w:space="0"/>
              <w:left w:val="single" w:color="auto" w:sz="4" w:space="0"/>
              <w:bottom w:val="single" w:color="auto" w:sz="4" w:space="0"/>
              <w:right w:val="single" w:color="auto" w:sz="4" w:space="0"/>
            </w:tcBorders>
            <w:vAlign w:val="center"/>
          </w:tcPr>
          <w:p w14:paraId="5B88FE7A">
            <w:pPr>
              <w:wordWrap w:val="0"/>
              <w:autoSpaceDE w:val="0"/>
              <w:autoSpaceDN w:val="0"/>
              <w:spacing w:after="100" w:afterAutospacing="1"/>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供应商资格要求</w:t>
            </w:r>
          </w:p>
        </w:tc>
        <w:tc>
          <w:tcPr>
            <w:tcW w:w="3308" w:type="pct"/>
            <w:tcBorders>
              <w:top w:val="single" w:color="auto" w:sz="4" w:space="0"/>
              <w:left w:val="single" w:color="auto" w:sz="4" w:space="0"/>
              <w:bottom w:val="single" w:color="auto" w:sz="4" w:space="0"/>
              <w:right w:val="single" w:color="auto" w:sz="4" w:space="0"/>
            </w:tcBorders>
            <w:vAlign w:val="center"/>
          </w:tcPr>
          <w:p w14:paraId="3197786C">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1.供应商须按照《中华人民共和国政府采购法实施条例》第十七条的要求提供满足《中华人民共和国政府采购法》第二十二条规定的相关材料：</w:t>
            </w:r>
          </w:p>
          <w:p w14:paraId="1AF38281">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（1）具有独立承担民事责任的能力。</w:t>
            </w:r>
            <w:r>
              <w:rPr>
                <w:rFonts w:hint="eastAsia" w:asciiTheme="minorEastAsia" w:hAnsiTheme="minorEastAsia" w:eastAsiaTheme="minorEastAsia"/>
                <w:color w:val="auto"/>
                <w:szCs w:val="21"/>
                <w:highlight w:val="none"/>
              </w:rPr>
              <w:t>[提供有效的营业执照或事业单位法人证书或其他类似的法定证明文件]</w:t>
            </w:r>
          </w:p>
          <w:p w14:paraId="0AE25C58">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（2）具有良好的商业信誉和健全的财务会计制度。</w:t>
            </w:r>
            <w:r>
              <w:rPr>
                <w:rFonts w:hint="eastAsia" w:asciiTheme="minorEastAsia" w:hAnsiTheme="minorEastAsia" w:eastAsiaTheme="minorEastAsia"/>
                <w:color w:val="auto"/>
                <w:szCs w:val="21"/>
                <w:highlight w:val="none"/>
              </w:rPr>
              <w:t>[提供2023年度经审计的财务会计报表及审计报告（未经审计的，提供公司内部自行编制并加盖公章的财务会计报表）；若为新成立的公司，提供银行开具的资信证明文件或资金证明文件；若为自然人参与投标，则提供自本项目公告发布之日起开具的银行存款证明]</w:t>
            </w:r>
          </w:p>
          <w:p w14:paraId="28FD4867">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（3）具有履行合同所必需的设备和专业技术能力。</w:t>
            </w:r>
            <w:r>
              <w:rPr>
                <w:rFonts w:hint="eastAsia" w:asciiTheme="minorEastAsia" w:hAnsiTheme="minorEastAsia" w:eastAsiaTheme="minorEastAsia"/>
                <w:color w:val="auto"/>
                <w:szCs w:val="21"/>
                <w:highlight w:val="none"/>
              </w:rPr>
              <w:t>[提供书面承诺]</w:t>
            </w:r>
          </w:p>
          <w:p w14:paraId="17CF663F">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（4）有依法缴纳税收和社会保障资金的良好记录。</w:t>
            </w:r>
            <w:r>
              <w:rPr>
                <w:rFonts w:hint="eastAsia" w:ascii="宋体" w:hAnsi="宋体"/>
                <w:color w:val="auto"/>
                <w:highlight w:val="none"/>
              </w:rPr>
              <w:t>[①提供2023年12月至投标文件</w:t>
            </w:r>
            <w:r>
              <w:rPr>
                <w:rFonts w:hint="eastAsia" w:asciiTheme="minorEastAsia" w:hAnsiTheme="minorEastAsia" w:eastAsiaTheme="minorEastAsia"/>
                <w:color w:val="auto"/>
                <w:szCs w:val="21"/>
                <w:highlight w:val="none"/>
              </w:rPr>
              <w:t>递交</w:t>
            </w:r>
            <w:r>
              <w:rPr>
                <w:rFonts w:hint="eastAsia" w:ascii="宋体" w:hAnsi="宋体"/>
                <w:color w:val="auto"/>
                <w:highlight w:val="none"/>
              </w:rPr>
              <w:t>截止之日任意3个月的税务局税收通用缴款书或银行电子缴税（费）凭证或税务局出具纳税情况的相关证明；依法免税的，提供依法免税的相关证明文件；若为新成立的公司，</w:t>
            </w:r>
            <w:r>
              <w:rPr>
                <w:color w:val="auto"/>
                <w:highlight w:val="none"/>
              </w:rPr>
              <w:t>无法按上述要求提供依法缴纳税收证明材料的，按实际缴纳月份提供或出具书面说明。</w:t>
            </w:r>
            <w:r>
              <w:rPr>
                <w:rFonts w:hint="eastAsia" w:ascii="宋体" w:hAnsi="宋体"/>
                <w:color w:val="auto"/>
                <w:highlight w:val="none"/>
              </w:rPr>
              <w:t>②提供</w:t>
            </w:r>
            <w:r>
              <w:rPr>
                <w:rFonts w:hint="eastAsia" w:ascii="宋体" w:hAnsi="宋体"/>
                <w:color w:val="auto"/>
                <w:szCs w:val="21"/>
                <w:highlight w:val="none"/>
              </w:rPr>
              <w:t>2023年12月至</w:t>
            </w:r>
            <w:r>
              <w:rPr>
                <w:rFonts w:hint="eastAsia" w:ascii="宋体" w:hAnsi="宋体" w:cs="宋体"/>
                <w:color w:val="auto"/>
                <w:szCs w:val="21"/>
                <w:highlight w:val="none"/>
              </w:rPr>
              <w:t>投标文件</w:t>
            </w:r>
            <w:r>
              <w:rPr>
                <w:rFonts w:hint="eastAsia" w:asciiTheme="minorEastAsia" w:hAnsiTheme="minorEastAsia" w:eastAsiaTheme="minorEastAsia"/>
                <w:color w:val="auto"/>
                <w:szCs w:val="21"/>
                <w:highlight w:val="none"/>
              </w:rPr>
              <w:t>递交</w:t>
            </w:r>
            <w:r>
              <w:rPr>
                <w:rFonts w:hint="eastAsia" w:ascii="宋体" w:hAnsi="宋体"/>
                <w:color w:val="auto"/>
                <w:szCs w:val="21"/>
                <w:highlight w:val="none"/>
              </w:rPr>
              <w:t>截止之日任意</w:t>
            </w:r>
            <w:r>
              <w:rPr>
                <w:rFonts w:ascii="宋体" w:hAnsi="宋体"/>
                <w:color w:val="auto"/>
                <w:szCs w:val="21"/>
                <w:highlight w:val="none"/>
              </w:rPr>
              <w:t>3</w:t>
            </w:r>
            <w:r>
              <w:rPr>
                <w:rFonts w:hint="eastAsia" w:ascii="宋体" w:hAnsi="宋体"/>
                <w:color w:val="auto"/>
                <w:szCs w:val="21"/>
                <w:highlight w:val="none"/>
              </w:rPr>
              <w:t>个月的社会保险费缴款书或银行电子缴费凭证或社保管理部门出具的有效的缴款证明；依法免缴的，提供依法免缴的相关证明文件；</w:t>
            </w:r>
            <w:r>
              <w:rPr>
                <w:rFonts w:hint="eastAsia" w:ascii="宋体" w:hAnsi="宋体"/>
                <w:color w:val="auto"/>
                <w:highlight w:val="none"/>
              </w:rPr>
              <w:t>若为新成立的公司，提供成立至今的的社会保险费缴款书或银行电子缴费凭证或社保管理部门出具的有效的缴款证明；成立时间不足</w:t>
            </w:r>
            <w:r>
              <w:rPr>
                <w:rFonts w:ascii="宋体" w:hAnsi="宋体"/>
                <w:color w:val="auto"/>
                <w:highlight w:val="none"/>
              </w:rPr>
              <w:t>3</w:t>
            </w:r>
            <w:r>
              <w:rPr>
                <w:rFonts w:hint="eastAsia" w:ascii="宋体" w:hAnsi="宋体"/>
                <w:color w:val="auto"/>
                <w:highlight w:val="none"/>
              </w:rPr>
              <w:t>个月的，</w:t>
            </w:r>
            <w:r>
              <w:rPr>
                <w:rFonts w:ascii="宋体" w:hAnsi="宋体"/>
                <w:color w:val="auto"/>
                <w:highlight w:val="none"/>
              </w:rPr>
              <w:t>按实际缴纳月份提供</w:t>
            </w:r>
            <w:r>
              <w:rPr>
                <w:rFonts w:hint="eastAsia" w:ascii="宋体" w:hAnsi="宋体"/>
                <w:color w:val="auto"/>
                <w:highlight w:val="none"/>
              </w:rPr>
              <w:t>或出具</w:t>
            </w:r>
            <w:r>
              <w:rPr>
                <w:rFonts w:ascii="宋体" w:hAnsi="宋体"/>
                <w:color w:val="auto"/>
                <w:highlight w:val="none"/>
              </w:rPr>
              <w:t>书面说明。</w:t>
            </w:r>
            <w:r>
              <w:rPr>
                <w:rFonts w:hint="eastAsia" w:ascii="宋体" w:hAnsi="宋体"/>
                <w:color w:val="auto"/>
                <w:szCs w:val="21"/>
                <w:highlight w:val="none"/>
              </w:rPr>
              <w:t>③若为自然人投标，则提供2023年12月至</w:t>
            </w:r>
            <w:r>
              <w:rPr>
                <w:rFonts w:hint="eastAsia" w:ascii="宋体" w:hAnsi="宋体" w:cs="宋体"/>
                <w:color w:val="auto"/>
                <w:szCs w:val="21"/>
                <w:highlight w:val="none"/>
              </w:rPr>
              <w:t>投标文件</w:t>
            </w:r>
            <w:r>
              <w:rPr>
                <w:rFonts w:hint="eastAsia" w:asciiTheme="minorEastAsia" w:hAnsiTheme="minorEastAsia" w:eastAsiaTheme="minorEastAsia"/>
                <w:color w:val="auto"/>
                <w:szCs w:val="21"/>
                <w:highlight w:val="none"/>
              </w:rPr>
              <w:t>递交</w:t>
            </w:r>
            <w:r>
              <w:rPr>
                <w:rFonts w:hint="eastAsia" w:ascii="宋体" w:hAnsi="宋体"/>
                <w:color w:val="auto"/>
                <w:szCs w:val="21"/>
                <w:highlight w:val="none"/>
              </w:rPr>
              <w:t>截止之日任意3个月的个人所得税完税证明和社会保险参保证明；未缴纳税收或社保的，提供书面说明]</w:t>
            </w:r>
          </w:p>
          <w:p w14:paraId="0A9235AA">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（5）参加政府采购活动前三年内，在经营活动中没有重大违法记录。</w:t>
            </w:r>
            <w:r>
              <w:rPr>
                <w:rFonts w:hint="eastAsia" w:asciiTheme="minorEastAsia" w:hAnsiTheme="minorEastAsia" w:eastAsiaTheme="minorEastAsia"/>
                <w:color w:val="auto"/>
                <w:szCs w:val="21"/>
                <w:highlight w:val="none"/>
              </w:rPr>
              <w:t>[重大违法记录，指供应商因违法经营受到刑事处罚或者责令停产停业、吊销许可证或者执照、较大数额罚款等行政处罚，提供书面声明]</w:t>
            </w:r>
          </w:p>
          <w:p w14:paraId="262165C5">
            <w:pPr>
              <w:spacing w:line="360" w:lineRule="auto"/>
              <w:ind w:right="105" w:rightChars="50"/>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（6）法律、行政法规规定的其他条件。</w:t>
            </w:r>
          </w:p>
          <w:p w14:paraId="6A49F415">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2.落实政府采购政策需满足的资格要求：</w:t>
            </w:r>
            <w:r>
              <w:rPr>
                <w:rFonts w:hint="eastAsia" w:asciiTheme="minorEastAsia" w:hAnsiTheme="minorEastAsia" w:eastAsiaTheme="minorEastAsia"/>
                <w:color w:val="auto"/>
                <w:szCs w:val="21"/>
                <w:highlight w:val="none"/>
              </w:rPr>
              <w:t>无；小微企业价格扣除优惠比例：10%、大中企业与小微企业组成联合体评审优惠比例：4%、大中企业向小微企业合同分包评审优惠比例：4%。</w:t>
            </w:r>
          </w:p>
          <w:p w14:paraId="3225A857">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3.本项目的特定资格要求：</w:t>
            </w:r>
            <w:r>
              <w:rPr>
                <w:rFonts w:hint="eastAsia" w:ascii="宋体" w:hAnsi="宋体"/>
                <w:color w:val="auto"/>
                <w:szCs w:val="21"/>
                <w:highlight w:val="none"/>
              </w:rPr>
              <w:t>无</w:t>
            </w:r>
            <w:r>
              <w:rPr>
                <w:rFonts w:hint="eastAsia" w:ascii="宋体" w:hAnsi="宋体"/>
                <w:color w:val="auto"/>
                <w:highlight w:val="none"/>
              </w:rPr>
              <w:t>。</w:t>
            </w:r>
          </w:p>
        </w:tc>
      </w:tr>
      <w:tr w14:paraId="73EE4900">
        <w:tblPrEx>
          <w:tblCellMar>
            <w:top w:w="0" w:type="dxa"/>
            <w:left w:w="0" w:type="dxa"/>
            <w:bottom w:w="0" w:type="dxa"/>
            <w:right w:w="0" w:type="dxa"/>
          </w:tblCellMar>
        </w:tblPrEx>
        <w:trPr>
          <w:trHeight w:val="416"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4D7A60FC">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w:t>
            </w:r>
            <w:r>
              <w:rPr>
                <w:rFonts w:asciiTheme="minorEastAsia" w:hAnsiTheme="minorEastAsia" w:eastAsiaTheme="minorEastAsia"/>
                <w:color w:val="auto"/>
                <w:szCs w:val="21"/>
                <w:highlight w:val="none"/>
              </w:rPr>
              <w:t>2</w:t>
            </w:r>
          </w:p>
        </w:tc>
        <w:tc>
          <w:tcPr>
            <w:tcW w:w="1234" w:type="pct"/>
            <w:tcBorders>
              <w:top w:val="single" w:color="auto" w:sz="4" w:space="0"/>
              <w:left w:val="single" w:color="auto" w:sz="4" w:space="0"/>
              <w:bottom w:val="single" w:color="auto" w:sz="4" w:space="0"/>
              <w:right w:val="single" w:color="auto" w:sz="4" w:space="0"/>
            </w:tcBorders>
            <w:vAlign w:val="center"/>
          </w:tcPr>
          <w:p w14:paraId="6AE78A1F">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是否接受联</w:t>
            </w:r>
          </w:p>
          <w:p w14:paraId="4FAABAA7">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合体投标</w:t>
            </w:r>
          </w:p>
        </w:tc>
        <w:tc>
          <w:tcPr>
            <w:tcW w:w="3308" w:type="pct"/>
            <w:tcBorders>
              <w:top w:val="single" w:color="auto" w:sz="4" w:space="0"/>
              <w:left w:val="single" w:color="auto" w:sz="4" w:space="0"/>
              <w:bottom w:val="single" w:color="auto" w:sz="4" w:space="0"/>
              <w:right w:val="single" w:color="auto" w:sz="4" w:space="0"/>
            </w:tcBorders>
            <w:vAlign w:val="center"/>
          </w:tcPr>
          <w:p w14:paraId="63C76804">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w:t>
            </w:r>
            <w:r>
              <w:rPr>
                <w:rFonts w:hint="eastAsia" w:asciiTheme="minorEastAsia" w:hAnsiTheme="minorEastAsia" w:eastAsiaTheme="minorEastAsia"/>
                <w:color w:val="auto"/>
                <w:szCs w:val="21"/>
                <w:highlight w:val="none"/>
              </w:rPr>
              <w:t>不</w:t>
            </w:r>
            <w:r>
              <w:rPr>
                <w:rFonts w:asciiTheme="minorEastAsia" w:hAnsiTheme="minorEastAsia" w:eastAsiaTheme="minorEastAsia"/>
                <w:color w:val="auto"/>
                <w:szCs w:val="21"/>
                <w:highlight w:val="none"/>
              </w:rPr>
              <w:t>接受联合体投标。</w:t>
            </w:r>
          </w:p>
        </w:tc>
      </w:tr>
      <w:tr w14:paraId="43A19680">
        <w:tblPrEx>
          <w:tblCellMar>
            <w:top w:w="0" w:type="dxa"/>
            <w:left w:w="0" w:type="dxa"/>
            <w:bottom w:w="0" w:type="dxa"/>
            <w:right w:w="0" w:type="dxa"/>
          </w:tblCellMar>
        </w:tblPrEx>
        <w:trPr>
          <w:trHeight w:val="567"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17738641">
            <w:pPr>
              <w:wordWrap w:val="0"/>
              <w:autoSpaceDE w:val="0"/>
              <w:autoSpaceDN w:val="0"/>
              <w:spacing w:before="120" w:beforeLines="5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w:t>
            </w:r>
          </w:p>
        </w:tc>
        <w:tc>
          <w:tcPr>
            <w:tcW w:w="1234" w:type="pct"/>
            <w:tcBorders>
              <w:top w:val="single" w:color="auto" w:sz="4" w:space="0"/>
              <w:left w:val="single" w:color="auto" w:sz="4" w:space="0"/>
              <w:bottom w:val="single" w:color="auto" w:sz="4" w:space="0"/>
              <w:right w:val="single" w:color="auto" w:sz="4" w:space="0"/>
            </w:tcBorders>
            <w:vAlign w:val="center"/>
          </w:tcPr>
          <w:p w14:paraId="45F22BD4">
            <w:pPr>
              <w:wordWrap w:val="0"/>
              <w:autoSpaceDE w:val="0"/>
              <w:autoSpaceDN w:val="0"/>
              <w:spacing w:before="120" w:beforeLines="5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费用承担</w:t>
            </w:r>
          </w:p>
        </w:tc>
        <w:tc>
          <w:tcPr>
            <w:tcW w:w="3308" w:type="pct"/>
            <w:tcBorders>
              <w:top w:val="single" w:color="auto" w:sz="4" w:space="0"/>
              <w:left w:val="single" w:color="auto" w:sz="4" w:space="0"/>
              <w:bottom w:val="single" w:color="auto" w:sz="4" w:space="0"/>
              <w:right w:val="single" w:color="auto" w:sz="4" w:space="0"/>
            </w:tcBorders>
            <w:vAlign w:val="center"/>
          </w:tcPr>
          <w:p w14:paraId="7688310A">
            <w:pPr>
              <w:spacing w:before="120" w:beforeLines="50" w:line="360" w:lineRule="auto"/>
              <w:ind w:left="105" w:leftChars="5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1.供应商准备和参加投标活动发生的费用自理。</w:t>
            </w:r>
          </w:p>
          <w:p w14:paraId="61CE4258">
            <w:pPr>
              <w:spacing w:line="360" w:lineRule="auto"/>
              <w:ind w:left="105" w:leftChars="50" w:right="105" w:rightChars="50"/>
              <w:rPr>
                <w:rFonts w:hint="eastAsia"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采购代理服务费：以中标价为基数，参照《国家计委关于印发招标代理服务费管理暂行办法的通知》（计价格〔2002〕1980号）中货物类的收费标准计算采购代理服务费，由中标人向云南铭漾工程技术咨询有限公司支付。</w:t>
            </w:r>
          </w:p>
          <w:p w14:paraId="40D41198">
            <w:pPr>
              <w:spacing w:line="360" w:lineRule="auto"/>
              <w:ind w:left="105" w:leftChars="50"/>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账户名称：云南铭漾工程技术咨询有限公司</w:t>
            </w:r>
          </w:p>
          <w:p w14:paraId="22B3D614">
            <w:pPr>
              <w:spacing w:line="360" w:lineRule="auto"/>
              <w:ind w:left="105" w:leftChars="50"/>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开户银行：招商银行股份有限公司昆明高新支行</w:t>
            </w:r>
          </w:p>
          <w:p w14:paraId="68287948">
            <w:pPr>
              <w:spacing w:line="360" w:lineRule="auto"/>
              <w:ind w:left="105" w:leftChars="50"/>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 xml:space="preserve">账 </w:t>
            </w:r>
            <w:r>
              <w:rPr>
                <w:rFonts w:cs="宋体" w:asciiTheme="minorEastAsia" w:hAnsiTheme="minorEastAsia" w:eastAsiaTheme="minorEastAsia"/>
                <w:b/>
                <w:bCs/>
                <w:color w:val="auto"/>
                <w:szCs w:val="21"/>
                <w:highlight w:val="none"/>
              </w:rPr>
              <w:t xml:space="preserve">   </w:t>
            </w:r>
            <w:r>
              <w:rPr>
                <w:rFonts w:hint="eastAsia" w:cs="宋体" w:asciiTheme="minorEastAsia" w:hAnsiTheme="minorEastAsia" w:eastAsiaTheme="minorEastAsia"/>
                <w:b/>
                <w:bCs/>
                <w:color w:val="auto"/>
                <w:szCs w:val="21"/>
                <w:highlight w:val="none"/>
              </w:rPr>
              <w:t>号：</w:t>
            </w:r>
            <w:r>
              <w:rPr>
                <w:rFonts w:cs="宋体" w:asciiTheme="minorEastAsia" w:hAnsiTheme="minorEastAsia" w:eastAsiaTheme="minorEastAsia"/>
                <w:b/>
                <w:bCs/>
                <w:color w:val="auto"/>
                <w:szCs w:val="21"/>
                <w:highlight w:val="none"/>
              </w:rPr>
              <w:t>871907487710801</w:t>
            </w:r>
            <w:r>
              <w:rPr>
                <w:rFonts w:hint="eastAsia" w:cs="宋体" w:asciiTheme="minorEastAsia" w:hAnsiTheme="minorEastAsia" w:eastAsiaTheme="minorEastAsia"/>
                <w:b/>
                <w:bCs/>
                <w:color w:val="auto"/>
                <w:szCs w:val="21"/>
                <w:highlight w:val="none"/>
              </w:rPr>
              <w:t>（非保证金账号）</w:t>
            </w:r>
          </w:p>
          <w:p w14:paraId="73C1ABF3">
            <w:pPr>
              <w:spacing w:line="360" w:lineRule="auto"/>
              <w:ind w:left="105" w:leftChars="50"/>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联系电话：0</w:t>
            </w:r>
            <w:r>
              <w:rPr>
                <w:rFonts w:cs="宋体" w:asciiTheme="minorEastAsia" w:hAnsiTheme="minorEastAsia" w:eastAsiaTheme="minorEastAsia"/>
                <w:b/>
                <w:bCs/>
                <w:color w:val="auto"/>
                <w:szCs w:val="21"/>
                <w:highlight w:val="none"/>
              </w:rPr>
              <w:t>871-65093696</w:t>
            </w:r>
          </w:p>
          <w:p w14:paraId="67EE7F96">
            <w:pPr>
              <w:spacing w:line="360" w:lineRule="auto"/>
              <w:ind w:left="108" w:right="105" w:rightChars="50"/>
              <w:rPr>
                <w:rFonts w:hint="eastAsia"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注：付款时，在摘要栏中写明项目名称。</w:t>
            </w:r>
          </w:p>
        </w:tc>
      </w:tr>
      <w:tr w14:paraId="20A7E799">
        <w:tblPrEx>
          <w:tblCellMar>
            <w:top w:w="0" w:type="dxa"/>
            <w:left w:w="0" w:type="dxa"/>
            <w:bottom w:w="0" w:type="dxa"/>
            <w:right w:w="0" w:type="dxa"/>
          </w:tblCellMar>
        </w:tblPrEx>
        <w:trPr>
          <w:trHeight w:val="416"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291793C1">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.9</w:t>
            </w:r>
          </w:p>
        </w:tc>
        <w:tc>
          <w:tcPr>
            <w:tcW w:w="1234" w:type="pct"/>
            <w:tcBorders>
              <w:top w:val="single" w:color="auto" w:sz="4" w:space="0"/>
              <w:left w:val="single" w:color="auto" w:sz="4" w:space="0"/>
              <w:bottom w:val="single" w:color="auto" w:sz="4" w:space="0"/>
              <w:right w:val="single" w:color="auto" w:sz="4" w:space="0"/>
            </w:tcBorders>
            <w:vAlign w:val="center"/>
          </w:tcPr>
          <w:p w14:paraId="088C1222">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踏勘现场</w:t>
            </w:r>
          </w:p>
        </w:tc>
        <w:tc>
          <w:tcPr>
            <w:tcW w:w="3308" w:type="pct"/>
            <w:tcBorders>
              <w:top w:val="single" w:color="auto" w:sz="4" w:space="0"/>
              <w:left w:val="single" w:color="auto" w:sz="4" w:space="0"/>
              <w:bottom w:val="single" w:color="auto" w:sz="4" w:space="0"/>
              <w:right w:val="single" w:color="auto" w:sz="4" w:space="0"/>
            </w:tcBorders>
            <w:vAlign w:val="center"/>
          </w:tcPr>
          <w:p w14:paraId="00A04C9E">
            <w:pPr>
              <w:spacing w:before="120" w:beforeLines="50" w:line="360" w:lineRule="auto"/>
              <w:ind w:left="105" w:lef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不组织。</w:t>
            </w:r>
          </w:p>
        </w:tc>
      </w:tr>
      <w:tr w14:paraId="56C8A318">
        <w:tblPrEx>
          <w:tblCellMar>
            <w:top w:w="0" w:type="dxa"/>
            <w:left w:w="0" w:type="dxa"/>
            <w:bottom w:w="0" w:type="dxa"/>
            <w:right w:w="0" w:type="dxa"/>
          </w:tblCellMar>
        </w:tblPrEx>
        <w:trPr>
          <w:trHeight w:val="1185"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646C93C6">
            <w:pPr>
              <w:wordWrap w:val="0"/>
              <w:autoSpaceDE w:val="0"/>
              <w:autoSpaceDN w:val="0"/>
              <w:spacing w:before="60" w:after="6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1.10.2</w:t>
            </w:r>
          </w:p>
        </w:tc>
        <w:tc>
          <w:tcPr>
            <w:tcW w:w="1234" w:type="pct"/>
            <w:tcBorders>
              <w:top w:val="single" w:color="auto" w:sz="4" w:space="0"/>
              <w:left w:val="single" w:color="auto" w:sz="4" w:space="0"/>
              <w:bottom w:val="single" w:color="auto" w:sz="4" w:space="0"/>
              <w:right w:val="single" w:color="auto" w:sz="4" w:space="0"/>
            </w:tcBorders>
            <w:vAlign w:val="center"/>
          </w:tcPr>
          <w:p w14:paraId="346E0B4E">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供应商的询问及</w:t>
            </w:r>
          </w:p>
          <w:p w14:paraId="7CB46E92">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答复的规定</w:t>
            </w:r>
          </w:p>
        </w:tc>
        <w:tc>
          <w:tcPr>
            <w:tcW w:w="3308" w:type="pct"/>
            <w:tcBorders>
              <w:top w:val="single" w:color="auto" w:sz="4" w:space="0"/>
              <w:left w:val="single" w:color="auto" w:sz="4" w:space="0"/>
              <w:bottom w:val="single" w:color="auto" w:sz="4" w:space="0"/>
              <w:right w:val="single" w:color="auto" w:sz="4" w:space="0"/>
            </w:tcBorders>
            <w:vAlign w:val="center"/>
          </w:tcPr>
          <w:p w14:paraId="3102E2EE">
            <w:pPr>
              <w:pStyle w:val="136"/>
              <w:rPr>
                <w:rFonts w:hint="eastAsia"/>
                <w:color w:val="auto"/>
                <w:highlight w:val="none"/>
              </w:rPr>
            </w:pPr>
            <w:r>
              <w:rPr>
                <w:rFonts w:hint="eastAsia"/>
                <w:color w:val="auto"/>
                <w:highlight w:val="none"/>
              </w:rPr>
              <w:t>供应商可以向采购人或采购代理机构提出询问或者凭企业数字证书（CA）登录政府采购云平台，通过在线方式提出询问，采购人或者采购代理机构在接到询问后的3个工作日内对供应商依法提出的询问作出答复，但答复的内容不涉及商业秘密。</w:t>
            </w:r>
          </w:p>
        </w:tc>
      </w:tr>
      <w:tr w14:paraId="483DC84D">
        <w:tblPrEx>
          <w:tblCellMar>
            <w:top w:w="0" w:type="dxa"/>
            <w:left w:w="0" w:type="dxa"/>
            <w:bottom w:w="0" w:type="dxa"/>
            <w:right w:w="0" w:type="dxa"/>
          </w:tblCellMar>
        </w:tblPrEx>
        <w:trPr>
          <w:trHeight w:val="274"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6A25B95E">
            <w:pPr>
              <w:wordWrap w:val="0"/>
              <w:autoSpaceDE w:val="0"/>
              <w:autoSpaceDN w:val="0"/>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1.10.3</w:t>
            </w:r>
          </w:p>
        </w:tc>
        <w:tc>
          <w:tcPr>
            <w:tcW w:w="1234" w:type="pct"/>
            <w:tcBorders>
              <w:top w:val="single" w:color="auto" w:sz="4" w:space="0"/>
              <w:left w:val="single" w:color="auto" w:sz="4" w:space="0"/>
              <w:bottom w:val="single" w:color="auto" w:sz="4" w:space="0"/>
              <w:right w:val="single" w:color="auto" w:sz="4" w:space="0"/>
            </w:tcBorders>
            <w:vAlign w:val="center"/>
          </w:tcPr>
          <w:p w14:paraId="44452955">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采购人澄清的</w:t>
            </w:r>
          </w:p>
          <w:p w14:paraId="2C4F8815">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时间和方法</w:t>
            </w:r>
          </w:p>
        </w:tc>
        <w:tc>
          <w:tcPr>
            <w:tcW w:w="3308" w:type="pct"/>
            <w:tcBorders>
              <w:top w:val="single" w:color="auto" w:sz="4" w:space="0"/>
              <w:left w:val="single" w:color="auto" w:sz="4" w:space="0"/>
              <w:bottom w:val="single" w:color="auto" w:sz="4" w:space="0"/>
              <w:right w:val="single" w:color="auto" w:sz="4" w:space="0"/>
            </w:tcBorders>
            <w:vAlign w:val="center"/>
          </w:tcPr>
          <w:p w14:paraId="02245E2E">
            <w:pPr>
              <w:pStyle w:val="136"/>
              <w:rPr>
                <w:rFonts w:hint="eastAsia"/>
                <w:color w:val="auto"/>
                <w:highlight w:val="none"/>
              </w:rPr>
            </w:pPr>
            <w:r>
              <w:rPr>
                <w:rFonts w:hint="eastAsia"/>
                <w:color w:val="auto"/>
                <w:highlight w:val="none"/>
              </w:rPr>
              <w:t>投标文件递交截止时间前，采购人、采购代理机构可以对已发出的采购文件进行必要的澄清，澄清的内容作为采购文件的组成部分，并具有约束力。澄清的内容可能影响投标文件编制的，采购人、采购代理机构应当在投标文件递交截止时间15日前，在政府采购云平台通知所有获取采购文件的供应商，但不指明澄清问题的来源。不足15日的，应当顺延投标文件的递交截止时间。</w:t>
            </w:r>
          </w:p>
        </w:tc>
      </w:tr>
      <w:tr w14:paraId="2D41BE10">
        <w:tblPrEx>
          <w:tblCellMar>
            <w:top w:w="0" w:type="dxa"/>
            <w:left w:w="0" w:type="dxa"/>
            <w:bottom w:w="0" w:type="dxa"/>
            <w:right w:w="0" w:type="dxa"/>
          </w:tblCellMar>
        </w:tblPrEx>
        <w:trPr>
          <w:trHeight w:val="422"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053A17A8">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1.11</w:t>
            </w:r>
          </w:p>
        </w:tc>
        <w:tc>
          <w:tcPr>
            <w:tcW w:w="1234" w:type="pct"/>
            <w:tcBorders>
              <w:top w:val="single" w:color="auto" w:sz="4" w:space="0"/>
              <w:left w:val="single" w:color="auto" w:sz="4" w:space="0"/>
              <w:bottom w:val="single" w:color="auto" w:sz="4" w:space="0"/>
              <w:right w:val="single" w:color="auto" w:sz="4" w:space="0"/>
            </w:tcBorders>
            <w:vAlign w:val="center"/>
          </w:tcPr>
          <w:p w14:paraId="20AA3ECE">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分包</w:t>
            </w:r>
          </w:p>
        </w:tc>
        <w:tc>
          <w:tcPr>
            <w:tcW w:w="3308" w:type="pct"/>
            <w:tcBorders>
              <w:top w:val="single" w:color="auto" w:sz="4" w:space="0"/>
              <w:left w:val="single" w:color="auto" w:sz="4" w:space="0"/>
              <w:bottom w:val="single" w:color="auto" w:sz="4" w:space="0"/>
              <w:right w:val="single" w:color="auto" w:sz="4" w:space="0"/>
            </w:tcBorders>
            <w:vAlign w:val="center"/>
          </w:tcPr>
          <w:p w14:paraId="3E383635">
            <w:pPr>
              <w:wordWrap w:val="0"/>
              <w:spacing w:before="120" w:beforeLines="50" w:line="360" w:lineRule="auto"/>
              <w:ind w:left="105" w:leftChars="50"/>
              <w:rPr>
                <w:rFonts w:hint="eastAsia" w:ascii="宋体" w:hAnsi="宋体"/>
                <w:b/>
                <w:bCs/>
                <w:color w:val="auto"/>
                <w:szCs w:val="21"/>
                <w:highlight w:val="none"/>
              </w:rPr>
            </w:pPr>
            <w:r>
              <w:rPr>
                <w:rFonts w:hint="eastAsia" w:ascii="宋体" w:hAnsi="宋体"/>
                <w:b/>
                <w:bCs/>
                <w:color w:val="auto"/>
                <w:szCs w:val="21"/>
                <w:highlight w:val="none"/>
              </w:rPr>
              <w:t>允许。</w:t>
            </w:r>
          </w:p>
          <w:p w14:paraId="0D847323">
            <w:pPr>
              <w:pStyle w:val="136"/>
              <w:spacing w:before="0" w:beforeLines="0"/>
              <w:rPr>
                <w:rFonts w:hint="eastAsia"/>
                <w:color w:val="auto"/>
                <w:highlight w:val="none"/>
              </w:rPr>
            </w:pPr>
            <w:r>
              <w:rPr>
                <w:rFonts w:hint="eastAsia"/>
                <w:b/>
                <w:bCs/>
                <w:color w:val="auto"/>
                <w:szCs w:val="21"/>
                <w:highlight w:val="none"/>
              </w:rPr>
              <w:t>经采购人同意后，中标人可以将本项目中的部分工作内容分包给他人完成。接受分包的人应当具备相应的资格条件，并且不得再次分包。中标人应当就分包内容向采购人负责，接受分包的人就分包内容承担连带责任。</w:t>
            </w:r>
          </w:p>
        </w:tc>
      </w:tr>
      <w:tr w14:paraId="006FB813">
        <w:tblPrEx>
          <w:tblCellMar>
            <w:top w:w="0" w:type="dxa"/>
            <w:left w:w="0" w:type="dxa"/>
            <w:bottom w:w="0" w:type="dxa"/>
            <w:right w:w="0" w:type="dxa"/>
          </w:tblCellMar>
        </w:tblPrEx>
        <w:trPr>
          <w:trHeight w:val="413"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4E253611">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1.12</w:t>
            </w:r>
          </w:p>
        </w:tc>
        <w:tc>
          <w:tcPr>
            <w:tcW w:w="1234" w:type="pct"/>
            <w:tcBorders>
              <w:top w:val="single" w:color="auto" w:sz="4" w:space="0"/>
              <w:left w:val="single" w:color="auto" w:sz="4" w:space="0"/>
              <w:bottom w:val="single" w:color="auto" w:sz="4" w:space="0"/>
              <w:right w:val="single" w:color="auto" w:sz="4" w:space="0"/>
            </w:tcBorders>
            <w:vAlign w:val="center"/>
          </w:tcPr>
          <w:p w14:paraId="0498043E">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w:t>
            </w:r>
          </w:p>
        </w:tc>
        <w:tc>
          <w:tcPr>
            <w:tcW w:w="3308" w:type="pct"/>
            <w:tcBorders>
              <w:top w:val="single" w:color="auto" w:sz="4" w:space="0"/>
              <w:left w:val="single" w:color="auto" w:sz="4" w:space="0"/>
              <w:bottom w:val="single" w:color="auto" w:sz="4" w:space="0"/>
              <w:right w:val="single" w:color="auto" w:sz="4" w:space="0"/>
            </w:tcBorders>
            <w:vAlign w:val="center"/>
          </w:tcPr>
          <w:p w14:paraId="56E77EBC">
            <w:pPr>
              <w:spacing w:before="120" w:beforeLines="50" w:line="360" w:lineRule="auto"/>
              <w:ind w:left="105" w:leftChars="50" w:right="105" w:rightChars="50"/>
              <w:rPr>
                <w:rFonts w:hint="eastAsia" w:ascii="宋体" w:hAnsi="宋体"/>
                <w:b/>
                <w:bCs/>
                <w:color w:val="auto"/>
                <w:szCs w:val="21"/>
                <w:highlight w:val="none"/>
              </w:rPr>
            </w:pPr>
            <w:r>
              <w:rPr>
                <w:rFonts w:hint="eastAsia" w:ascii="宋体" w:hAnsi="宋体"/>
                <w:b/>
                <w:bCs/>
                <w:color w:val="auto"/>
                <w:szCs w:val="21"/>
                <w:highlight w:val="none"/>
              </w:rPr>
              <w:t>允许。</w:t>
            </w:r>
          </w:p>
          <w:p w14:paraId="09F5E5B1">
            <w:pPr>
              <w:spacing w:line="360" w:lineRule="auto"/>
              <w:ind w:left="105" w:leftChars="50" w:right="105" w:rightChars="50"/>
              <w:rPr>
                <w:rFonts w:hint="eastAsia" w:ascii="宋体" w:hAnsi="宋体"/>
                <w:b/>
                <w:bCs/>
                <w:color w:val="auto"/>
                <w:szCs w:val="21"/>
                <w:highlight w:val="none"/>
              </w:rPr>
            </w:pPr>
            <w:r>
              <w:rPr>
                <w:rFonts w:hint="eastAsia" w:ascii="宋体" w:hAnsi="宋体"/>
                <w:b/>
                <w:bCs/>
                <w:color w:val="auto"/>
                <w:szCs w:val="21"/>
                <w:highlight w:val="none"/>
              </w:rPr>
              <w:t>本项目允许偏离的内容：投标产品的一般性技术参数。</w:t>
            </w:r>
          </w:p>
          <w:p w14:paraId="3979604A">
            <w:pPr>
              <w:spacing w:line="360" w:lineRule="auto"/>
              <w:ind w:left="105" w:leftChars="50" w:right="105" w:rightChars="50"/>
              <w:rPr>
                <w:rFonts w:hint="eastAsia" w:ascii="宋体" w:hAnsi="宋体"/>
                <w:b/>
                <w:bCs/>
                <w:color w:val="auto"/>
                <w:szCs w:val="21"/>
                <w:highlight w:val="none"/>
              </w:rPr>
            </w:pPr>
            <w:r>
              <w:rPr>
                <w:rFonts w:hint="eastAsia" w:ascii="宋体" w:hAnsi="宋体"/>
                <w:b/>
                <w:bCs/>
                <w:color w:val="auto"/>
                <w:szCs w:val="21"/>
                <w:highlight w:val="none"/>
              </w:rPr>
              <w:t>注：</w:t>
            </w:r>
            <w:r>
              <w:rPr>
                <w:rFonts w:hint="eastAsia" w:ascii="宋体" w:hAnsi="宋体"/>
                <w:b/>
                <w:bCs/>
                <w:color w:val="auto"/>
                <w:highlight w:val="none"/>
              </w:rPr>
              <w:t>产品技术参数要求中带“▲”的关键性技术参数</w:t>
            </w:r>
            <w:r>
              <w:rPr>
                <w:rFonts w:hint="eastAsia" w:ascii="宋体" w:hAnsi="宋体"/>
                <w:b/>
                <w:bCs/>
                <w:color w:val="auto"/>
                <w:szCs w:val="21"/>
                <w:highlight w:val="none"/>
              </w:rPr>
              <w:t>不允许负偏离，否则其投标文件按否决投标处理。</w:t>
            </w:r>
          </w:p>
        </w:tc>
      </w:tr>
      <w:tr w14:paraId="413B288C">
        <w:tblPrEx>
          <w:tblCellMar>
            <w:top w:w="0" w:type="dxa"/>
            <w:left w:w="0" w:type="dxa"/>
            <w:bottom w:w="0" w:type="dxa"/>
            <w:right w:w="0" w:type="dxa"/>
          </w:tblCellMar>
        </w:tblPrEx>
        <w:trPr>
          <w:trHeight w:val="416"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58F5656D">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2.2.1</w:t>
            </w:r>
          </w:p>
        </w:tc>
        <w:tc>
          <w:tcPr>
            <w:tcW w:w="1234" w:type="pct"/>
            <w:tcBorders>
              <w:top w:val="single" w:color="auto" w:sz="4" w:space="0"/>
              <w:left w:val="single" w:color="auto" w:sz="4" w:space="0"/>
              <w:bottom w:val="single" w:color="auto" w:sz="4" w:space="0"/>
              <w:right w:val="single" w:color="auto" w:sz="4" w:space="0"/>
            </w:tcBorders>
            <w:vAlign w:val="center"/>
          </w:tcPr>
          <w:p w14:paraId="5940ED19">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供应商要求澄清采购文件的截止时间和方法</w:t>
            </w:r>
          </w:p>
        </w:tc>
        <w:tc>
          <w:tcPr>
            <w:tcW w:w="3308" w:type="pct"/>
            <w:tcBorders>
              <w:top w:val="single" w:color="auto" w:sz="4" w:space="0"/>
              <w:left w:val="single" w:color="auto" w:sz="4" w:space="0"/>
              <w:bottom w:val="single" w:color="auto" w:sz="4" w:space="0"/>
              <w:right w:val="single" w:color="auto" w:sz="4" w:space="0"/>
            </w:tcBorders>
            <w:vAlign w:val="center"/>
          </w:tcPr>
          <w:p w14:paraId="2AD4CFF8">
            <w:pPr>
              <w:pStyle w:val="136"/>
              <w:rPr>
                <w:rFonts w:hint="eastAsia" w:cs="宋体"/>
                <w:color w:val="auto"/>
                <w:highlight w:val="none"/>
              </w:rPr>
            </w:pPr>
            <w:r>
              <w:rPr>
                <w:rFonts w:hint="eastAsia"/>
                <w:color w:val="auto"/>
                <w:highlight w:val="none"/>
              </w:rPr>
              <w:t>同1.10.2的时间要求。供应商应仔细阅读和检查采购文件的全部内容，如发现缺页或附件不全，应及时向采购人提出，以便补齐。如有疑问，应在第1.10.2条规定的时间前，要求采购人或采购代理机构对采购文件予以澄清。</w:t>
            </w:r>
          </w:p>
        </w:tc>
      </w:tr>
      <w:tr w14:paraId="7984C9F8">
        <w:tblPrEx>
          <w:tblCellMar>
            <w:top w:w="0" w:type="dxa"/>
            <w:left w:w="0" w:type="dxa"/>
            <w:bottom w:w="0" w:type="dxa"/>
            <w:right w:w="0" w:type="dxa"/>
          </w:tblCellMar>
        </w:tblPrEx>
        <w:trPr>
          <w:trHeight w:val="498"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158F5954">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2.2.2</w:t>
            </w:r>
          </w:p>
        </w:tc>
        <w:tc>
          <w:tcPr>
            <w:tcW w:w="1234" w:type="pct"/>
            <w:tcBorders>
              <w:top w:val="single" w:color="auto" w:sz="4" w:space="0"/>
              <w:left w:val="single" w:color="auto" w:sz="4" w:space="0"/>
              <w:bottom w:val="single" w:color="auto" w:sz="4" w:space="0"/>
              <w:right w:val="single" w:color="auto" w:sz="4" w:space="0"/>
            </w:tcBorders>
            <w:vAlign w:val="center"/>
          </w:tcPr>
          <w:p w14:paraId="3762B685">
            <w:pPr>
              <w:spacing w:before="120" w:beforeLines="50" w:line="360" w:lineRule="auto"/>
              <w:jc w:val="center"/>
              <w:rPr>
                <w:rFonts w:hint="eastAsia" w:asciiTheme="minorEastAsia" w:hAnsiTheme="minorEastAsia" w:eastAsiaTheme="minorEastAsia"/>
                <w:color w:val="auto"/>
                <w:szCs w:val="21"/>
                <w:highlight w:val="none"/>
              </w:rPr>
            </w:pPr>
            <w:bookmarkStart w:id="144" w:name="_Hlk152841484"/>
            <w:r>
              <w:rPr>
                <w:rFonts w:hint="eastAsia" w:asciiTheme="minorEastAsia" w:hAnsiTheme="minorEastAsia" w:eastAsiaTheme="minorEastAsia"/>
                <w:color w:val="auto"/>
                <w:szCs w:val="21"/>
                <w:highlight w:val="none"/>
              </w:rPr>
              <w:t>投标截止时间</w:t>
            </w:r>
            <w:bookmarkEnd w:id="144"/>
          </w:p>
        </w:tc>
        <w:tc>
          <w:tcPr>
            <w:tcW w:w="3308" w:type="pct"/>
            <w:tcBorders>
              <w:top w:val="single" w:color="auto" w:sz="4" w:space="0"/>
              <w:left w:val="single" w:color="auto" w:sz="4" w:space="0"/>
              <w:bottom w:val="single" w:color="auto" w:sz="4" w:space="0"/>
              <w:right w:val="single" w:color="auto" w:sz="4" w:space="0"/>
            </w:tcBorders>
            <w:vAlign w:val="center"/>
          </w:tcPr>
          <w:p w14:paraId="6100DF56">
            <w:pPr>
              <w:pStyle w:val="136"/>
              <w:rPr>
                <w:rFonts w:hint="eastAsia" w:cs="宋体"/>
                <w:color w:val="auto"/>
                <w:highlight w:val="none"/>
              </w:rPr>
            </w:pPr>
            <w:r>
              <w:rPr>
                <w:rFonts w:hint="eastAsia"/>
                <w:color w:val="auto"/>
                <w:highlight w:val="none"/>
              </w:rPr>
              <w:t>同招标公告中的“递交投标文件截止时间”。</w:t>
            </w:r>
          </w:p>
        </w:tc>
      </w:tr>
      <w:tr w14:paraId="0730BE8C">
        <w:tblPrEx>
          <w:tblCellMar>
            <w:top w:w="0" w:type="dxa"/>
            <w:left w:w="0" w:type="dxa"/>
            <w:bottom w:w="0" w:type="dxa"/>
            <w:right w:w="0" w:type="dxa"/>
          </w:tblCellMar>
        </w:tblPrEx>
        <w:trPr>
          <w:trHeight w:val="567"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7645263A">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2.2.3</w:t>
            </w:r>
          </w:p>
        </w:tc>
        <w:tc>
          <w:tcPr>
            <w:tcW w:w="1234" w:type="pct"/>
            <w:tcBorders>
              <w:top w:val="single" w:color="auto" w:sz="4" w:space="0"/>
              <w:left w:val="single" w:color="auto" w:sz="4" w:space="0"/>
              <w:bottom w:val="single" w:color="auto" w:sz="4" w:space="0"/>
              <w:right w:val="single" w:color="auto" w:sz="4" w:space="0"/>
            </w:tcBorders>
            <w:vAlign w:val="center"/>
          </w:tcPr>
          <w:p w14:paraId="55D87814">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供应商确认收到采购</w:t>
            </w:r>
          </w:p>
          <w:p w14:paraId="6C837E97">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文件澄清的时间</w:t>
            </w:r>
          </w:p>
        </w:tc>
        <w:tc>
          <w:tcPr>
            <w:tcW w:w="3308" w:type="pct"/>
            <w:tcBorders>
              <w:top w:val="single" w:color="auto" w:sz="4" w:space="0"/>
              <w:left w:val="single" w:color="auto" w:sz="4" w:space="0"/>
              <w:bottom w:val="single" w:color="auto" w:sz="4" w:space="0"/>
              <w:right w:val="single" w:color="auto" w:sz="4" w:space="0"/>
            </w:tcBorders>
            <w:vAlign w:val="center"/>
          </w:tcPr>
          <w:p w14:paraId="0B9C5335">
            <w:pPr>
              <w:wordWrap w:val="0"/>
              <w:autoSpaceDE w:val="0"/>
              <w:autoSpaceDN w:val="0"/>
              <w:ind w:left="105" w:leftChars="50"/>
              <w:contextualSpacing/>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收到当天。</w:t>
            </w:r>
          </w:p>
        </w:tc>
      </w:tr>
      <w:tr w14:paraId="464E129A">
        <w:tblPrEx>
          <w:tblCellMar>
            <w:top w:w="0" w:type="dxa"/>
            <w:left w:w="0" w:type="dxa"/>
            <w:bottom w:w="0" w:type="dxa"/>
            <w:right w:w="0" w:type="dxa"/>
          </w:tblCellMar>
        </w:tblPrEx>
        <w:trPr>
          <w:trHeight w:val="132"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740AAD5D">
            <w:pPr>
              <w:wordWrap w:val="0"/>
              <w:autoSpaceDE w:val="0"/>
              <w:autoSpaceDN w:val="0"/>
              <w:spacing w:before="60" w:after="6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3.2.1</w:t>
            </w:r>
          </w:p>
        </w:tc>
        <w:tc>
          <w:tcPr>
            <w:tcW w:w="1234" w:type="pct"/>
            <w:tcBorders>
              <w:top w:val="single" w:color="auto" w:sz="4" w:space="0"/>
              <w:left w:val="single" w:color="auto" w:sz="4" w:space="0"/>
              <w:bottom w:val="single" w:color="auto" w:sz="4" w:space="0"/>
              <w:right w:val="single" w:color="auto" w:sz="4" w:space="0"/>
            </w:tcBorders>
            <w:vAlign w:val="center"/>
          </w:tcPr>
          <w:p w14:paraId="58A9C4F1">
            <w:pPr>
              <w:autoSpaceDE w:val="0"/>
              <w:autoSpaceDN w:val="0"/>
              <w:spacing w:after="60" w:line="360" w:lineRule="auto"/>
              <w:contextualSpacing/>
              <w:jc w:val="center"/>
              <w:rPr>
                <w:rFonts w:hint="eastAsia" w:ascii="宋体" w:hAnsi="宋体"/>
                <w:color w:val="auto"/>
                <w:szCs w:val="21"/>
                <w:highlight w:val="none"/>
              </w:rPr>
            </w:pPr>
            <w:r>
              <w:rPr>
                <w:rFonts w:hint="eastAsia" w:ascii="宋体" w:hAnsi="宋体"/>
                <w:color w:val="auto"/>
                <w:szCs w:val="21"/>
                <w:highlight w:val="none"/>
              </w:rPr>
              <w:t>最高限价</w:t>
            </w:r>
          </w:p>
        </w:tc>
        <w:tc>
          <w:tcPr>
            <w:tcW w:w="3308" w:type="pct"/>
            <w:tcBorders>
              <w:top w:val="single" w:color="auto" w:sz="4" w:space="0"/>
              <w:left w:val="single" w:color="auto" w:sz="4" w:space="0"/>
              <w:bottom w:val="single" w:color="auto" w:sz="4" w:space="0"/>
              <w:right w:val="single" w:color="auto" w:sz="4" w:space="0"/>
            </w:tcBorders>
            <w:vAlign w:val="center"/>
          </w:tcPr>
          <w:p w14:paraId="03F52AA5">
            <w:pPr>
              <w:spacing w:before="120" w:beforeLines="50" w:line="360" w:lineRule="auto"/>
              <w:ind w:left="105" w:leftChars="50" w:right="105" w:rightChars="50"/>
              <w:rPr>
                <w:rFonts w:hint="eastAsia" w:ascii="宋体" w:hAnsi="宋体"/>
                <w:b/>
                <w:color w:val="auto"/>
                <w:szCs w:val="21"/>
                <w:highlight w:val="none"/>
              </w:rPr>
            </w:pPr>
            <w:r>
              <w:rPr>
                <w:rFonts w:hint="eastAsia" w:asciiTheme="minorEastAsia" w:hAnsiTheme="minorEastAsia" w:eastAsiaTheme="minorEastAsia"/>
                <w:b/>
                <w:color w:val="auto"/>
                <w:szCs w:val="21"/>
                <w:highlight w:val="none"/>
              </w:rPr>
              <w:t>1</w:t>
            </w:r>
            <w:r>
              <w:rPr>
                <w:rFonts w:asciiTheme="minorEastAsia" w:hAnsiTheme="minorEastAsia" w:eastAsiaTheme="minorEastAsia"/>
                <w:b/>
                <w:color w:val="auto"/>
                <w:szCs w:val="21"/>
                <w:highlight w:val="none"/>
              </w:rPr>
              <w:t>.</w:t>
            </w:r>
            <w:r>
              <w:rPr>
                <w:rFonts w:hint="eastAsia" w:asciiTheme="minorEastAsia" w:hAnsiTheme="minorEastAsia" w:eastAsiaTheme="minorEastAsia"/>
                <w:b/>
                <w:color w:val="auto"/>
                <w:szCs w:val="21"/>
                <w:highlight w:val="none"/>
              </w:rPr>
              <w:t>本项目的总价最高限价为：</w:t>
            </w:r>
            <w:r>
              <w:rPr>
                <w:rFonts w:hint="eastAsia" w:ascii="宋体" w:hAnsi="宋体"/>
                <w:b/>
                <w:color w:val="auto"/>
                <w:szCs w:val="21"/>
                <w:highlight w:val="none"/>
                <w:u w:val="single"/>
              </w:rPr>
              <w:t>¥1950000.00元（大写：壹佰玖拾伍万元整）</w:t>
            </w:r>
            <w:r>
              <w:rPr>
                <w:rFonts w:hint="eastAsia" w:ascii="宋体" w:hAnsi="宋体"/>
                <w:b/>
                <w:color w:val="auto"/>
                <w:szCs w:val="21"/>
                <w:highlight w:val="none"/>
              </w:rPr>
              <w:t>。</w:t>
            </w:r>
          </w:p>
          <w:p w14:paraId="6F71AE4A">
            <w:pPr>
              <w:spacing w:line="360" w:lineRule="auto"/>
              <w:ind w:left="105" w:leftChars="50" w:right="105" w:rightChars="50"/>
              <w:rPr>
                <w:rFonts w:hint="eastAsia" w:ascii="宋体" w:hAnsi="宋体"/>
                <w:b/>
                <w:color w:val="auto"/>
                <w:szCs w:val="21"/>
                <w:highlight w:val="none"/>
              </w:rPr>
            </w:pPr>
            <w:r>
              <w:rPr>
                <w:rFonts w:hint="eastAsia" w:ascii="宋体" w:hAnsi="宋体"/>
                <w:b/>
                <w:bCs/>
                <w:color w:val="auto"/>
                <w:highlight w:val="none"/>
              </w:rPr>
              <w:t>2</w:t>
            </w:r>
            <w:r>
              <w:rPr>
                <w:rFonts w:ascii="宋体" w:hAnsi="宋体"/>
                <w:b/>
                <w:bCs/>
                <w:color w:val="auto"/>
                <w:highlight w:val="none"/>
              </w:rPr>
              <w:t>.</w:t>
            </w:r>
            <w:r>
              <w:rPr>
                <w:rFonts w:hint="eastAsia" w:ascii="宋体" w:hAnsi="宋体"/>
                <w:b/>
                <w:bCs/>
                <w:color w:val="auto"/>
                <w:highlight w:val="none"/>
              </w:rPr>
              <w:t>单价最高限价：详见采购文件第五章“采购清单及要求”。</w:t>
            </w:r>
          </w:p>
          <w:p w14:paraId="77384F7B">
            <w:pPr>
              <w:pStyle w:val="136"/>
              <w:spacing w:before="0" w:beforeLines="0"/>
              <w:rPr>
                <w:rFonts w:hint="eastAsia"/>
                <w:color w:val="auto"/>
                <w:highlight w:val="none"/>
              </w:rPr>
            </w:pPr>
            <w:r>
              <w:rPr>
                <w:rFonts w:hint="eastAsia"/>
                <w:color w:val="auto"/>
                <w:szCs w:val="21"/>
                <w:highlight w:val="none"/>
              </w:rPr>
              <w:t>注：供应商的投标总报价以及分项报价均不得高于以上的最高限价，否则投标文件按否决投标处理。</w:t>
            </w:r>
          </w:p>
        </w:tc>
      </w:tr>
      <w:tr w14:paraId="37C8EAD0">
        <w:tblPrEx>
          <w:tblCellMar>
            <w:top w:w="0" w:type="dxa"/>
            <w:left w:w="0" w:type="dxa"/>
            <w:bottom w:w="0" w:type="dxa"/>
            <w:right w:w="0" w:type="dxa"/>
          </w:tblCellMar>
        </w:tblPrEx>
        <w:trPr>
          <w:trHeight w:val="132"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3C2C6D98">
            <w:pPr>
              <w:wordWrap w:val="0"/>
              <w:autoSpaceDE w:val="0"/>
              <w:autoSpaceDN w:val="0"/>
              <w:spacing w:line="360" w:lineRule="auto"/>
              <w:contextualSpacing/>
              <w:jc w:val="center"/>
              <w:rPr>
                <w:rFonts w:hint="eastAsia" w:asciiTheme="minorEastAsia" w:hAnsiTheme="minorEastAsia" w:eastAsiaTheme="minorEastAsia"/>
                <w:color w:val="auto"/>
                <w:szCs w:val="21"/>
                <w:highlight w:val="none"/>
              </w:rPr>
            </w:pPr>
            <w:r>
              <w:rPr>
                <w:rFonts w:ascii="宋体" w:hAnsi="宋体"/>
                <w:color w:val="auto"/>
                <w:szCs w:val="21"/>
                <w:highlight w:val="none"/>
              </w:rPr>
              <w:t>3.2.2</w:t>
            </w:r>
          </w:p>
        </w:tc>
        <w:tc>
          <w:tcPr>
            <w:tcW w:w="1234" w:type="pct"/>
            <w:tcBorders>
              <w:top w:val="single" w:color="auto" w:sz="4" w:space="0"/>
              <w:left w:val="single" w:color="auto" w:sz="4" w:space="0"/>
              <w:bottom w:val="single" w:color="auto" w:sz="4" w:space="0"/>
              <w:right w:val="single" w:color="auto" w:sz="4" w:space="0"/>
            </w:tcBorders>
            <w:vAlign w:val="center"/>
          </w:tcPr>
          <w:p w14:paraId="0F753D48">
            <w:pPr>
              <w:autoSpaceDE w:val="0"/>
              <w:autoSpaceDN w:val="0"/>
              <w:spacing w:line="360" w:lineRule="auto"/>
              <w:contextualSpacing/>
              <w:jc w:val="center"/>
              <w:rPr>
                <w:rFonts w:hint="eastAsia" w:asciiTheme="minorEastAsia" w:hAnsiTheme="minorEastAsia" w:eastAsiaTheme="minorEastAsia"/>
                <w:color w:val="auto"/>
                <w:szCs w:val="21"/>
                <w:highlight w:val="none"/>
              </w:rPr>
            </w:pPr>
            <w:r>
              <w:rPr>
                <w:rFonts w:hint="eastAsia" w:ascii="宋体" w:hAnsi="宋体"/>
                <w:color w:val="auto"/>
                <w:szCs w:val="21"/>
                <w:highlight w:val="none"/>
              </w:rPr>
              <w:t>报价方式</w:t>
            </w:r>
          </w:p>
        </w:tc>
        <w:tc>
          <w:tcPr>
            <w:tcW w:w="3308" w:type="pct"/>
            <w:tcBorders>
              <w:top w:val="single" w:color="auto" w:sz="4" w:space="0"/>
              <w:left w:val="single" w:color="auto" w:sz="4" w:space="0"/>
              <w:bottom w:val="single" w:color="auto" w:sz="4" w:space="0"/>
              <w:right w:val="single" w:color="auto" w:sz="4" w:space="0"/>
            </w:tcBorders>
            <w:vAlign w:val="center"/>
          </w:tcPr>
          <w:p w14:paraId="1FBCBD90">
            <w:pPr>
              <w:pStyle w:val="21"/>
              <w:spacing w:before="120" w:beforeLines="50"/>
              <w:rPr>
                <w:rFonts w:hint="eastAsia"/>
                <w:color w:val="auto"/>
                <w:highlight w:val="none"/>
              </w:rPr>
            </w:pPr>
            <w:r>
              <w:rPr>
                <w:rFonts w:hint="eastAsia"/>
                <w:color w:val="auto"/>
                <w:highlight w:val="none"/>
              </w:rPr>
              <w:t>本项目采用</w:t>
            </w:r>
            <w:r>
              <w:rPr>
                <w:rFonts w:hint="eastAsia"/>
                <w:b/>
                <w:color w:val="auto"/>
                <w:highlight w:val="none"/>
                <w:u w:val="single"/>
              </w:rPr>
              <w:t>综合单价</w:t>
            </w:r>
            <w:r>
              <w:rPr>
                <w:rFonts w:hint="eastAsia"/>
                <w:color w:val="auto"/>
                <w:highlight w:val="none"/>
              </w:rPr>
              <w:t>的方式进行报价。</w:t>
            </w:r>
          </w:p>
          <w:p w14:paraId="26C0FEF4">
            <w:pPr>
              <w:pStyle w:val="21"/>
              <w:rPr>
                <w:rFonts w:hint="eastAsia"/>
                <w:color w:val="auto"/>
                <w:highlight w:val="none"/>
              </w:rPr>
            </w:pPr>
            <w:r>
              <w:rPr>
                <w:rFonts w:hint="eastAsia"/>
                <w:color w:val="auto"/>
                <w:highlight w:val="none"/>
              </w:rPr>
              <w:t>注：（1）供应商的投标报价为完成本项目所包含的设备、运输、安装、操作手册、技术资料、质保期内的维修、售后服务、系统升级、实验室改造、利润、税金等所有费用；</w:t>
            </w:r>
          </w:p>
          <w:p w14:paraId="55018E9C">
            <w:pPr>
              <w:pStyle w:val="136"/>
              <w:spacing w:before="0" w:beforeLines="0"/>
              <w:ind w:firstLine="210" w:firstLineChars="100"/>
              <w:rPr>
                <w:rFonts w:hint="eastAsia"/>
                <w:color w:val="auto"/>
                <w:highlight w:val="none"/>
              </w:rPr>
            </w:pPr>
            <w:r>
              <w:rPr>
                <w:rFonts w:hint="eastAsia" w:asciiTheme="minorEastAsia" w:hAnsiTheme="minorEastAsia" w:eastAsiaTheme="minorEastAsia"/>
                <w:color w:val="auto"/>
                <w:szCs w:val="21"/>
                <w:highlight w:val="none"/>
              </w:rPr>
              <w:t>（2）供应商的投标文件中，供应商投报两个或多个投标报价，又未书面声明其中哪一个有效的，投标文件按否决投标处理。</w:t>
            </w:r>
          </w:p>
        </w:tc>
      </w:tr>
      <w:tr w14:paraId="3BA4EE71">
        <w:tblPrEx>
          <w:tblCellMar>
            <w:top w:w="0" w:type="dxa"/>
            <w:left w:w="0" w:type="dxa"/>
            <w:bottom w:w="0" w:type="dxa"/>
            <w:right w:w="0" w:type="dxa"/>
          </w:tblCellMar>
        </w:tblPrEx>
        <w:trPr>
          <w:trHeight w:val="416"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31E4F5DF">
            <w:pPr>
              <w:spacing w:before="120" w:beforeLines="50" w:line="360" w:lineRule="auto"/>
              <w:jc w:val="center"/>
              <w:rPr>
                <w:rFonts w:hint="eastAsia" w:asciiTheme="minorEastAsia" w:hAnsiTheme="minorEastAsia" w:eastAsiaTheme="minorEastAsia"/>
                <w:color w:val="auto"/>
                <w:szCs w:val="21"/>
                <w:highlight w:val="none"/>
              </w:rPr>
            </w:pPr>
            <w:r>
              <w:rPr>
                <w:rFonts w:hint="eastAsia" w:ascii="宋体" w:hAnsi="宋体"/>
                <w:color w:val="auto"/>
                <w:szCs w:val="21"/>
                <w:highlight w:val="none"/>
              </w:rPr>
              <w:t>3.2.</w:t>
            </w:r>
            <w:r>
              <w:rPr>
                <w:rFonts w:ascii="宋体" w:hAnsi="宋体"/>
                <w:color w:val="auto"/>
                <w:szCs w:val="21"/>
                <w:highlight w:val="none"/>
              </w:rPr>
              <w:t>3</w:t>
            </w:r>
          </w:p>
        </w:tc>
        <w:tc>
          <w:tcPr>
            <w:tcW w:w="1234" w:type="pct"/>
            <w:tcBorders>
              <w:top w:val="single" w:color="auto" w:sz="4" w:space="0"/>
              <w:left w:val="single" w:color="auto" w:sz="4" w:space="0"/>
              <w:bottom w:val="single" w:color="auto" w:sz="4" w:space="0"/>
              <w:right w:val="single" w:color="auto" w:sz="4" w:space="0"/>
            </w:tcBorders>
            <w:vAlign w:val="center"/>
          </w:tcPr>
          <w:p w14:paraId="37B92A5A">
            <w:pPr>
              <w:jc w:val="center"/>
              <w:rPr>
                <w:rFonts w:hint="eastAsia" w:asciiTheme="minorEastAsia" w:hAnsiTheme="minorEastAsia" w:eastAsiaTheme="minorEastAsia"/>
                <w:color w:val="auto"/>
                <w:szCs w:val="21"/>
                <w:highlight w:val="none"/>
              </w:rPr>
            </w:pPr>
            <w:r>
              <w:rPr>
                <w:rFonts w:hint="eastAsia" w:ascii="宋体" w:hAnsi="宋体"/>
                <w:color w:val="auto"/>
                <w:szCs w:val="21"/>
                <w:highlight w:val="none"/>
              </w:rPr>
              <w:t>结算方式</w:t>
            </w:r>
          </w:p>
        </w:tc>
        <w:tc>
          <w:tcPr>
            <w:tcW w:w="3308" w:type="pct"/>
            <w:tcBorders>
              <w:top w:val="single" w:color="auto" w:sz="4" w:space="0"/>
              <w:left w:val="single" w:color="auto" w:sz="4" w:space="0"/>
              <w:bottom w:val="single" w:color="auto" w:sz="4" w:space="0"/>
              <w:right w:val="single" w:color="auto" w:sz="4" w:space="0"/>
            </w:tcBorders>
            <w:vAlign w:val="center"/>
          </w:tcPr>
          <w:p w14:paraId="559A9D54">
            <w:pPr>
              <w:spacing w:before="120" w:beforeLines="50" w:line="360" w:lineRule="auto"/>
              <w:ind w:left="105" w:leftChars="50"/>
              <w:jc w:val="left"/>
              <w:rPr>
                <w:color w:val="auto"/>
                <w:szCs w:val="21"/>
                <w:highlight w:val="none"/>
              </w:rPr>
            </w:pPr>
            <w:r>
              <w:rPr>
                <w:rFonts w:hint="eastAsia"/>
                <w:color w:val="auto"/>
                <w:szCs w:val="21"/>
                <w:highlight w:val="none"/>
              </w:rPr>
              <w:t>结算时，按照中标人的中标单价以及实际供应的数量进行结算。</w:t>
            </w:r>
          </w:p>
          <w:p w14:paraId="2792892B">
            <w:pPr>
              <w:spacing w:line="360" w:lineRule="auto"/>
              <w:ind w:left="105" w:leftChars="50" w:right="105" w:rightChars="50"/>
              <w:jc w:val="left"/>
              <w:rPr>
                <w:color w:val="auto"/>
                <w:highlight w:val="none"/>
              </w:rPr>
            </w:pPr>
            <w:r>
              <w:rPr>
                <w:rFonts w:hint="eastAsia"/>
                <w:color w:val="auto"/>
                <w:highlight w:val="none"/>
              </w:rPr>
              <w:t>注：</w:t>
            </w:r>
            <w:r>
              <w:rPr>
                <w:rFonts w:hint="eastAsia" w:ascii="宋体" w:hAnsi="宋体"/>
                <w:color w:val="auto"/>
                <w:szCs w:val="21"/>
                <w:highlight w:val="none"/>
              </w:rPr>
              <w:t>供应商的投标报价需根据本采购文件的要求规范和标准以及</w:t>
            </w:r>
            <w:r>
              <w:rPr>
                <w:rFonts w:hint="eastAsia" w:asciiTheme="minorEastAsia" w:hAnsiTheme="minorEastAsia" w:eastAsiaTheme="minorEastAsia"/>
                <w:color w:val="auto"/>
                <w:szCs w:val="21"/>
                <w:highlight w:val="none"/>
              </w:rPr>
              <w:t>供应</w:t>
            </w:r>
            <w:r>
              <w:rPr>
                <w:rFonts w:hint="eastAsia" w:ascii="宋体" w:hAnsi="宋体"/>
                <w:color w:val="auto"/>
                <w:szCs w:val="21"/>
                <w:highlight w:val="none"/>
              </w:rPr>
              <w:t>商对现场实际情况的了解和市场竞争因素，并结合企业实力自行确定。合同一旦签订，在合同履行期间，中标人的</w:t>
            </w:r>
            <w:r>
              <w:rPr>
                <w:rFonts w:hint="eastAsia" w:ascii="宋体" w:hAnsi="宋体"/>
                <w:color w:val="auto"/>
                <w:highlight w:val="none"/>
              </w:rPr>
              <w:t>中标单价</w:t>
            </w:r>
            <w:r>
              <w:rPr>
                <w:rFonts w:hint="eastAsia" w:ascii="宋体" w:hAnsi="宋体"/>
                <w:color w:val="auto"/>
                <w:szCs w:val="21"/>
                <w:highlight w:val="none"/>
              </w:rPr>
              <w:t>不因售后服务及市场行情的变化而调整。</w:t>
            </w:r>
          </w:p>
        </w:tc>
      </w:tr>
      <w:tr w14:paraId="54384782">
        <w:tblPrEx>
          <w:tblCellMar>
            <w:top w:w="0" w:type="dxa"/>
            <w:left w:w="0" w:type="dxa"/>
            <w:bottom w:w="0" w:type="dxa"/>
            <w:right w:w="0" w:type="dxa"/>
          </w:tblCellMar>
        </w:tblPrEx>
        <w:trPr>
          <w:trHeight w:val="462"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415C4B41">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3.3.1</w:t>
            </w:r>
          </w:p>
        </w:tc>
        <w:tc>
          <w:tcPr>
            <w:tcW w:w="1234" w:type="pct"/>
            <w:tcBorders>
              <w:top w:val="single" w:color="auto" w:sz="4" w:space="0"/>
              <w:left w:val="single" w:color="auto" w:sz="4" w:space="0"/>
              <w:bottom w:val="single" w:color="auto" w:sz="4" w:space="0"/>
              <w:right w:val="single" w:color="auto" w:sz="4" w:space="0"/>
            </w:tcBorders>
            <w:vAlign w:val="center"/>
          </w:tcPr>
          <w:p w14:paraId="0CBFCD2A">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投标有效期</w:t>
            </w:r>
          </w:p>
        </w:tc>
        <w:tc>
          <w:tcPr>
            <w:tcW w:w="3308" w:type="pct"/>
            <w:tcBorders>
              <w:top w:val="single" w:color="auto" w:sz="4" w:space="0"/>
              <w:left w:val="single" w:color="auto" w:sz="4" w:space="0"/>
              <w:bottom w:val="single" w:color="auto" w:sz="4" w:space="0"/>
              <w:right w:val="single" w:color="auto" w:sz="4" w:space="0"/>
            </w:tcBorders>
            <w:vAlign w:val="center"/>
          </w:tcPr>
          <w:p w14:paraId="352E81DA">
            <w:pPr>
              <w:spacing w:before="120" w:beforeLines="50" w:line="360" w:lineRule="auto"/>
              <w:ind w:left="105" w:leftChars="50"/>
              <w:jc w:val="left"/>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90</w:t>
            </w:r>
            <w:r>
              <w:rPr>
                <w:rFonts w:hint="eastAsia" w:asciiTheme="minorEastAsia" w:hAnsiTheme="minorEastAsia" w:eastAsiaTheme="minorEastAsia"/>
                <w:color w:val="auto"/>
                <w:szCs w:val="21"/>
                <w:highlight w:val="none"/>
              </w:rPr>
              <w:t>日历天（从投标文件递交截止之日算起）。</w:t>
            </w:r>
          </w:p>
        </w:tc>
      </w:tr>
      <w:tr w14:paraId="159EC289">
        <w:tblPrEx>
          <w:tblCellMar>
            <w:top w:w="0" w:type="dxa"/>
            <w:left w:w="0" w:type="dxa"/>
            <w:bottom w:w="0" w:type="dxa"/>
            <w:right w:w="0" w:type="dxa"/>
          </w:tblCellMar>
        </w:tblPrEx>
        <w:trPr>
          <w:trHeight w:val="274"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0E1C32BA">
            <w:pPr>
              <w:jc w:val="center"/>
              <w:rPr>
                <w:rFonts w:hint="eastAsia" w:ascii="宋体" w:hAnsi="宋体"/>
                <w:color w:val="auto"/>
                <w:highlight w:val="none"/>
              </w:rPr>
            </w:pPr>
            <w:r>
              <w:rPr>
                <w:rFonts w:hint="eastAsia" w:ascii="宋体" w:hAnsi="宋体"/>
                <w:color w:val="auto"/>
                <w:highlight w:val="none"/>
              </w:rPr>
              <w:t>3.4</w:t>
            </w:r>
            <w:r>
              <w:rPr>
                <w:rFonts w:ascii="宋体" w:hAnsi="宋体"/>
                <w:color w:val="auto"/>
                <w:highlight w:val="none"/>
              </w:rPr>
              <w:t>.1</w:t>
            </w:r>
          </w:p>
        </w:tc>
        <w:tc>
          <w:tcPr>
            <w:tcW w:w="1234" w:type="pct"/>
            <w:tcBorders>
              <w:top w:val="single" w:color="auto" w:sz="4" w:space="0"/>
              <w:left w:val="single" w:color="auto" w:sz="4" w:space="0"/>
              <w:bottom w:val="single" w:color="auto" w:sz="4" w:space="0"/>
              <w:right w:val="single" w:color="auto" w:sz="4" w:space="0"/>
            </w:tcBorders>
            <w:vAlign w:val="center"/>
          </w:tcPr>
          <w:p w14:paraId="6AD2BDA5">
            <w:pPr>
              <w:pStyle w:val="28"/>
              <w:wordWrap w:val="0"/>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投标保证金</w:t>
            </w:r>
          </w:p>
        </w:tc>
        <w:tc>
          <w:tcPr>
            <w:tcW w:w="3308" w:type="pct"/>
            <w:tcBorders>
              <w:top w:val="single" w:color="auto" w:sz="4" w:space="0"/>
              <w:left w:val="single" w:color="auto" w:sz="4" w:space="0"/>
              <w:bottom w:val="single" w:color="auto" w:sz="4" w:space="0"/>
              <w:right w:val="single" w:color="auto" w:sz="4" w:space="0"/>
            </w:tcBorders>
            <w:vAlign w:val="center"/>
          </w:tcPr>
          <w:p w14:paraId="31C245FF">
            <w:pPr>
              <w:pStyle w:val="136"/>
              <w:rPr>
                <w:rFonts w:hint="eastAsia"/>
                <w:color w:val="auto"/>
                <w:highlight w:val="none"/>
              </w:rPr>
            </w:pPr>
            <w:r>
              <w:rPr>
                <w:rFonts w:hint="eastAsia"/>
                <w:color w:val="auto"/>
                <w:highlight w:val="none"/>
              </w:rPr>
              <w:t>1.投标保证金的提交方式</w:t>
            </w:r>
          </w:p>
          <w:p w14:paraId="05042693">
            <w:pPr>
              <w:pStyle w:val="136"/>
              <w:spacing w:before="0" w:beforeLines="0"/>
              <w:rPr>
                <w:rFonts w:hint="eastAsia"/>
                <w:color w:val="auto"/>
                <w:highlight w:val="none"/>
              </w:rPr>
            </w:pPr>
            <w:r>
              <w:rPr>
                <w:rFonts w:hint="eastAsia"/>
                <w:color w:val="auto"/>
                <w:highlight w:val="none"/>
              </w:rPr>
              <w:t>投标保证金的提交方式有三种：银行转账、保证保险、担保保函，供应商可根据实际情况，选择投标保证金的提供或缴纳方式。</w:t>
            </w:r>
          </w:p>
          <w:p w14:paraId="0B488E34">
            <w:pPr>
              <w:pStyle w:val="136"/>
              <w:spacing w:before="0" w:beforeLines="0"/>
              <w:rPr>
                <w:rFonts w:hint="eastAsia"/>
                <w:color w:val="auto"/>
                <w:highlight w:val="none"/>
              </w:rPr>
            </w:pPr>
            <w:r>
              <w:rPr>
                <w:rFonts w:hint="eastAsia"/>
                <w:color w:val="auto"/>
                <w:highlight w:val="none"/>
              </w:rPr>
              <w:t>（1）银行转账：投标保证金应以供应商自身的名义提交，并且必须从其基本账户转出，不得以分支机构其他名义提交（按照规定，供应商可以为自然人的项目除外）。</w:t>
            </w:r>
          </w:p>
          <w:p w14:paraId="7984083A">
            <w:pPr>
              <w:pStyle w:val="136"/>
              <w:spacing w:before="0" w:beforeLines="0"/>
              <w:rPr>
                <w:rFonts w:hint="eastAsia"/>
                <w:color w:val="auto"/>
                <w:highlight w:val="none"/>
              </w:rPr>
            </w:pPr>
            <w:r>
              <w:rPr>
                <w:rFonts w:hint="eastAsia"/>
                <w:color w:val="auto"/>
                <w:highlight w:val="none"/>
              </w:rPr>
              <w:t>（2）保证保险：</w:t>
            </w:r>
          </w:p>
          <w:p w14:paraId="593C80C5">
            <w:pPr>
              <w:pStyle w:val="136"/>
              <w:spacing w:before="0" w:beforeLines="0"/>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1 \* GB3</w:instrText>
            </w:r>
            <w:r>
              <w:rPr>
                <w:color w:val="auto"/>
                <w:highlight w:val="none"/>
              </w:rPr>
              <w:instrText xml:space="preserve"> </w:instrText>
            </w:r>
            <w:r>
              <w:rPr>
                <w:color w:val="auto"/>
                <w:highlight w:val="none"/>
              </w:rPr>
              <w:fldChar w:fldCharType="separate"/>
            </w:r>
            <w:r>
              <w:rPr>
                <w:rFonts w:hint="eastAsia"/>
                <w:color w:val="auto"/>
                <w:highlight w:val="none"/>
              </w:rPr>
              <w:t>①</w:t>
            </w:r>
            <w:r>
              <w:rPr>
                <w:color w:val="auto"/>
                <w:highlight w:val="none"/>
              </w:rPr>
              <w:fldChar w:fldCharType="end"/>
            </w:r>
            <w:r>
              <w:rPr>
                <w:rFonts w:hint="eastAsia"/>
                <w:color w:val="auto"/>
                <w:highlight w:val="none"/>
              </w:rPr>
              <w:t>当供应商未能按照</w:t>
            </w:r>
            <w:r>
              <w:rPr>
                <w:rFonts w:hint="eastAsia" w:cs="宋体"/>
                <w:color w:val="auto"/>
                <w:highlight w:val="none"/>
              </w:rPr>
              <w:t>采购文件</w:t>
            </w:r>
            <w:r>
              <w:rPr>
                <w:rFonts w:hint="eastAsia"/>
                <w:color w:val="auto"/>
                <w:highlight w:val="none"/>
              </w:rPr>
              <w:t>要求履行投标义务而导致采购人受到损失时，由保险公司按照保险合同对采购人的损失承担代偿责任。</w:t>
            </w:r>
          </w:p>
          <w:p w14:paraId="0124EE65">
            <w:pPr>
              <w:pStyle w:val="136"/>
              <w:spacing w:before="0" w:beforeLines="0"/>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2 \* GB3</w:instrText>
            </w:r>
            <w:r>
              <w:rPr>
                <w:color w:val="auto"/>
                <w:highlight w:val="none"/>
              </w:rPr>
              <w:instrText xml:space="preserve"> </w:instrText>
            </w:r>
            <w:r>
              <w:rPr>
                <w:color w:val="auto"/>
                <w:highlight w:val="none"/>
              </w:rPr>
              <w:fldChar w:fldCharType="separate"/>
            </w:r>
            <w:r>
              <w:rPr>
                <w:rFonts w:hint="eastAsia"/>
                <w:color w:val="auto"/>
                <w:highlight w:val="none"/>
              </w:rPr>
              <w:t>②</w:t>
            </w:r>
            <w:r>
              <w:rPr>
                <w:color w:val="auto"/>
                <w:highlight w:val="none"/>
              </w:rPr>
              <w:fldChar w:fldCharType="end"/>
            </w:r>
            <w:r>
              <w:rPr>
                <w:rFonts w:hint="eastAsia"/>
                <w:color w:val="auto"/>
                <w:highlight w:val="none"/>
              </w:rPr>
              <w:t>供应商在支付投标保证金保险费时，必须使用基本账号资金支付购买，未从基本账户转出支付保费造成经济纠纷的应由企业自行承担。</w:t>
            </w:r>
          </w:p>
          <w:p w14:paraId="00DA5098">
            <w:pPr>
              <w:pStyle w:val="136"/>
              <w:spacing w:before="0" w:beforeLines="0"/>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3 \* GB3</w:instrText>
            </w:r>
            <w:r>
              <w:rPr>
                <w:color w:val="auto"/>
                <w:highlight w:val="none"/>
              </w:rPr>
              <w:instrText xml:space="preserve"> </w:instrText>
            </w:r>
            <w:r>
              <w:rPr>
                <w:color w:val="auto"/>
                <w:highlight w:val="none"/>
              </w:rPr>
              <w:fldChar w:fldCharType="separate"/>
            </w:r>
            <w:r>
              <w:rPr>
                <w:rFonts w:hint="eastAsia"/>
                <w:color w:val="auto"/>
                <w:highlight w:val="none"/>
              </w:rPr>
              <w:t>③</w:t>
            </w:r>
            <w:r>
              <w:rPr>
                <w:color w:val="auto"/>
                <w:highlight w:val="none"/>
              </w:rPr>
              <w:fldChar w:fldCharType="end"/>
            </w:r>
            <w:r>
              <w:rPr>
                <w:rFonts w:hint="eastAsia"/>
                <w:color w:val="auto"/>
                <w:highlight w:val="none"/>
              </w:rPr>
              <w:t>在保证保险中，供应商为投保人，采购人为被保险人。</w:t>
            </w:r>
          </w:p>
          <w:p w14:paraId="525277AA">
            <w:pPr>
              <w:pStyle w:val="136"/>
              <w:spacing w:before="0" w:beforeLines="0"/>
              <w:rPr>
                <w:rFonts w:hint="eastAsia"/>
                <w:color w:val="auto"/>
                <w:highlight w:val="none"/>
              </w:rPr>
            </w:pPr>
            <w:r>
              <w:rPr>
                <w:rFonts w:hint="eastAsia"/>
                <w:color w:val="auto"/>
                <w:highlight w:val="none"/>
              </w:rPr>
              <w:t>（3）担保保函：</w:t>
            </w:r>
          </w:p>
          <w:p w14:paraId="40C58CAF">
            <w:pPr>
              <w:pStyle w:val="136"/>
              <w:spacing w:before="0" w:beforeLines="0"/>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1 \* GB3</w:instrText>
            </w:r>
            <w:r>
              <w:rPr>
                <w:color w:val="auto"/>
                <w:highlight w:val="none"/>
              </w:rPr>
              <w:instrText xml:space="preserve"> </w:instrText>
            </w:r>
            <w:r>
              <w:rPr>
                <w:color w:val="auto"/>
                <w:highlight w:val="none"/>
              </w:rPr>
              <w:fldChar w:fldCharType="separate"/>
            </w:r>
            <w:r>
              <w:rPr>
                <w:rFonts w:hint="eastAsia"/>
                <w:color w:val="auto"/>
                <w:highlight w:val="none"/>
              </w:rPr>
              <w:t>①</w:t>
            </w:r>
            <w:r>
              <w:rPr>
                <w:color w:val="auto"/>
                <w:highlight w:val="none"/>
              </w:rPr>
              <w:fldChar w:fldCharType="end"/>
            </w:r>
            <w:r>
              <w:rPr>
                <w:rFonts w:hint="eastAsia"/>
                <w:color w:val="auto"/>
                <w:highlight w:val="none"/>
              </w:rPr>
              <w:t>当供应商未能按照</w:t>
            </w:r>
            <w:r>
              <w:rPr>
                <w:rFonts w:hint="eastAsia" w:cs="宋体"/>
                <w:color w:val="auto"/>
                <w:highlight w:val="none"/>
              </w:rPr>
              <w:t>采购文件</w:t>
            </w:r>
            <w:r>
              <w:rPr>
                <w:rFonts w:hint="eastAsia"/>
                <w:color w:val="auto"/>
                <w:highlight w:val="none"/>
              </w:rPr>
              <w:t>要求履行投标义务而导致采购人受到损失时，由担保公司按照要求对采购人的损失承担代偿责任。</w:t>
            </w:r>
          </w:p>
          <w:p w14:paraId="75B2F195">
            <w:pPr>
              <w:pStyle w:val="136"/>
              <w:spacing w:before="0" w:beforeLines="0"/>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2 \* GB3</w:instrText>
            </w:r>
            <w:r>
              <w:rPr>
                <w:color w:val="auto"/>
                <w:highlight w:val="none"/>
              </w:rPr>
              <w:instrText xml:space="preserve"> </w:instrText>
            </w:r>
            <w:r>
              <w:rPr>
                <w:color w:val="auto"/>
                <w:highlight w:val="none"/>
              </w:rPr>
              <w:fldChar w:fldCharType="separate"/>
            </w:r>
            <w:r>
              <w:rPr>
                <w:rFonts w:hint="eastAsia"/>
                <w:color w:val="auto"/>
                <w:highlight w:val="none"/>
              </w:rPr>
              <w:t>②</w:t>
            </w:r>
            <w:r>
              <w:rPr>
                <w:color w:val="auto"/>
                <w:highlight w:val="none"/>
              </w:rPr>
              <w:fldChar w:fldCharType="end"/>
            </w:r>
            <w:r>
              <w:rPr>
                <w:rFonts w:hint="eastAsia"/>
                <w:color w:val="auto"/>
                <w:highlight w:val="none"/>
              </w:rPr>
              <w:t>在投标担保中，供应商为投保人，采购人为被担保人。</w:t>
            </w:r>
          </w:p>
          <w:p w14:paraId="6CEAE36D">
            <w:pPr>
              <w:pStyle w:val="136"/>
              <w:spacing w:before="0" w:beforeLines="0"/>
              <w:rPr>
                <w:rFonts w:hint="eastAsia"/>
                <w:color w:val="auto"/>
                <w:highlight w:val="none"/>
              </w:rPr>
            </w:pPr>
            <w:r>
              <w:rPr>
                <w:rFonts w:hint="eastAsia"/>
                <w:color w:val="auto"/>
                <w:highlight w:val="none"/>
              </w:rPr>
              <w:t>2.投标保证金的提交时间</w:t>
            </w:r>
          </w:p>
          <w:p w14:paraId="0A23C802">
            <w:pPr>
              <w:pStyle w:val="136"/>
              <w:spacing w:before="0" w:beforeLines="0"/>
              <w:rPr>
                <w:rFonts w:hint="eastAsia"/>
                <w:color w:val="auto"/>
                <w:highlight w:val="none"/>
              </w:rPr>
            </w:pPr>
            <w:r>
              <w:rPr>
                <w:rFonts w:hint="eastAsia"/>
                <w:color w:val="auto"/>
                <w:highlight w:val="none"/>
              </w:rPr>
              <w:t>投标保证金到账截止时间为投标截止时间，到账时间以实际到达专用账号时间为准，未按时到账的投标保证金视为未提交；投标保证保险的投保人应在项目投标前与保险公司签订投标保证保险合同，在投标截止时间前，</w:t>
            </w:r>
            <w:r>
              <w:rPr>
                <w:color w:val="auto"/>
                <w:highlight w:val="none"/>
              </w:rPr>
              <w:fldChar w:fldCharType="begin"/>
            </w:r>
            <w:r>
              <w:rPr>
                <w:color w:val="auto"/>
                <w:highlight w:val="none"/>
              </w:rPr>
              <w:instrText xml:space="preserve"> HYPERLINK "mailto:投标人应当把有效的投标保证保险证明原件扫描件发送至邮箱2584480751@qq.com" </w:instrText>
            </w:r>
            <w:r>
              <w:rPr>
                <w:color w:val="auto"/>
                <w:highlight w:val="none"/>
              </w:rPr>
              <w:fldChar w:fldCharType="separate"/>
            </w:r>
            <w:r>
              <w:rPr>
                <w:rStyle w:val="60"/>
                <w:rFonts w:hint="eastAsia" w:cs="宋体"/>
                <w:color w:val="auto"/>
                <w:szCs w:val="21"/>
                <w:highlight w:val="none"/>
                <w:u w:val="none"/>
              </w:rPr>
              <w:t>供应商应当把有效的投标保证保险证明原件扫描件发送至邮箱：ynmy1407@163.com</w:t>
            </w:r>
            <w:r>
              <w:rPr>
                <w:rStyle w:val="60"/>
                <w:rFonts w:hint="eastAsia" w:cs="宋体"/>
                <w:color w:val="auto"/>
                <w:szCs w:val="21"/>
                <w:highlight w:val="none"/>
                <w:u w:val="none"/>
              </w:rPr>
              <w:fldChar w:fldCharType="end"/>
            </w:r>
            <w:r>
              <w:rPr>
                <w:rFonts w:hint="eastAsia"/>
                <w:color w:val="auto"/>
                <w:highlight w:val="none"/>
              </w:rPr>
              <w:t xml:space="preserve">；担保保函供应商应当在项目投标前与担保机构签订投标担保协议，在投标截止时间前，供应商应当把有效的投标保函原件扫描件发送至邮箱：ynmy1407@163.com。 </w:t>
            </w:r>
          </w:p>
          <w:p w14:paraId="19BCAE80">
            <w:pPr>
              <w:pStyle w:val="136"/>
              <w:spacing w:before="0" w:beforeLines="0"/>
              <w:rPr>
                <w:rFonts w:hint="eastAsia"/>
                <w:color w:val="auto"/>
                <w:highlight w:val="none"/>
              </w:rPr>
            </w:pPr>
            <w:r>
              <w:rPr>
                <w:rFonts w:hint="eastAsia"/>
                <w:color w:val="auto"/>
                <w:highlight w:val="none"/>
              </w:rPr>
              <w:t>3.投标保证金的办理程序</w:t>
            </w:r>
          </w:p>
          <w:p w14:paraId="767F19B2">
            <w:pPr>
              <w:pStyle w:val="136"/>
              <w:spacing w:before="0" w:beforeLines="0"/>
              <w:rPr>
                <w:rFonts w:hint="eastAsia"/>
                <w:color w:val="auto"/>
                <w:highlight w:val="none"/>
              </w:rPr>
            </w:pPr>
            <w:r>
              <w:rPr>
                <w:rFonts w:hint="eastAsia"/>
                <w:color w:val="auto"/>
                <w:highlight w:val="none"/>
              </w:rPr>
              <w:t>（1）采用银行转账方式：</w:t>
            </w:r>
          </w:p>
          <w:p w14:paraId="0509C086">
            <w:pPr>
              <w:adjustRightInd w:val="0"/>
              <w:snapToGrid w:val="0"/>
              <w:spacing w:line="360" w:lineRule="auto"/>
              <w:ind w:left="105" w:leftChars="50" w:right="105" w:rightChars="5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w:instrText>
            </w:r>
            <w:r>
              <w:rPr>
                <w:rFonts w:hint="eastAsia" w:asciiTheme="minorEastAsia" w:hAnsiTheme="minorEastAsia" w:eastAsiaTheme="minorEastAsia"/>
                <w:color w:val="auto"/>
                <w:szCs w:val="21"/>
                <w:highlight w:val="none"/>
              </w:rPr>
              <w:instrText xml:space="preserve">= 1 \* GB3</w:instrText>
            </w:r>
            <w:r>
              <w:rPr>
                <w:rFonts w:asciiTheme="minorEastAsia" w:hAnsiTheme="minorEastAsia" w:eastAsiaTheme="minorEastAsia"/>
                <w:color w:val="auto"/>
                <w:szCs w:val="21"/>
                <w:highlight w:val="none"/>
              </w:rPr>
              <w:instrText xml:space="preserve"> </w:instrText>
            </w:r>
            <w:r>
              <w:rPr>
                <w:rFonts w:asciiTheme="minorEastAsia" w:hAnsiTheme="minorEastAsia" w:eastAsiaTheme="minorEastAsia"/>
                <w:color w:val="auto"/>
                <w:szCs w:val="21"/>
                <w:highlight w:val="none"/>
              </w:rPr>
              <w:fldChar w:fldCharType="separate"/>
            </w:r>
            <w:r>
              <w:rPr>
                <w:rFonts w:hint="eastAsia" w:asciiTheme="minorEastAsia" w:hAnsiTheme="minorEastAsia" w:eastAsiaTheme="minorEastAsia"/>
                <w:color w:val="auto"/>
                <w:szCs w:val="21"/>
                <w:highlight w:val="none"/>
              </w:rPr>
              <w:t>①</w:t>
            </w:r>
            <w:r>
              <w:rPr>
                <w:rFonts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投标保证金的金额：</w:t>
            </w:r>
            <w:r>
              <w:rPr>
                <w:rFonts w:hint="eastAsia" w:asciiTheme="minorEastAsia" w:hAnsiTheme="minorEastAsia" w:eastAsiaTheme="minorEastAsia"/>
                <w:b/>
                <w:color w:val="auto"/>
                <w:szCs w:val="21"/>
                <w:highlight w:val="none"/>
                <w:u w:val="single"/>
              </w:rPr>
              <w:t>¥20000.00元</w:t>
            </w:r>
            <w:r>
              <w:rPr>
                <w:rFonts w:hint="eastAsia" w:asciiTheme="minorEastAsia" w:hAnsiTheme="minorEastAsia" w:eastAsiaTheme="minorEastAsia"/>
                <w:b/>
                <w:color w:val="auto"/>
                <w:szCs w:val="21"/>
                <w:highlight w:val="none"/>
              </w:rPr>
              <w:t>。</w:t>
            </w:r>
          </w:p>
          <w:p w14:paraId="622B75B9">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提交保证金的供应商不需再开具投标保证金收据，在提交投标文件时提供银行汇款或转账凭证原件扫描件即可。</w:t>
            </w:r>
          </w:p>
          <w:p w14:paraId="38501805">
            <w:pPr>
              <w:spacing w:line="360" w:lineRule="auto"/>
              <w:ind w:left="105" w:leftChars="50" w:right="105" w:rightChars="5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w:instrText>
            </w:r>
            <w:r>
              <w:rPr>
                <w:rFonts w:hint="eastAsia" w:asciiTheme="minorEastAsia" w:hAnsiTheme="minorEastAsia" w:eastAsiaTheme="minorEastAsia"/>
                <w:color w:val="auto"/>
                <w:szCs w:val="21"/>
                <w:highlight w:val="none"/>
              </w:rPr>
              <w:instrText xml:space="preserve">= 2 \* GB3</w:instrText>
            </w:r>
            <w:r>
              <w:rPr>
                <w:rFonts w:asciiTheme="minorEastAsia" w:hAnsiTheme="minorEastAsia" w:eastAsiaTheme="minorEastAsia"/>
                <w:color w:val="auto"/>
                <w:szCs w:val="21"/>
                <w:highlight w:val="none"/>
              </w:rPr>
              <w:instrText xml:space="preserve"> </w:instrText>
            </w:r>
            <w:r>
              <w:rPr>
                <w:rFonts w:asciiTheme="minorEastAsia" w:hAnsiTheme="minorEastAsia" w:eastAsiaTheme="minorEastAsia"/>
                <w:color w:val="auto"/>
                <w:szCs w:val="21"/>
                <w:highlight w:val="none"/>
              </w:rPr>
              <w:fldChar w:fldCharType="separate"/>
            </w:r>
            <w:r>
              <w:rPr>
                <w:rFonts w:hint="eastAsia" w:asciiTheme="minorEastAsia" w:hAnsiTheme="minorEastAsia" w:eastAsiaTheme="minorEastAsia"/>
                <w:color w:val="auto"/>
                <w:szCs w:val="21"/>
                <w:highlight w:val="none"/>
              </w:rPr>
              <w:t>②</w:t>
            </w:r>
            <w:r>
              <w:rPr>
                <w:rFonts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投标保证金交纳时间：与投标文件提交截止时间一致。</w:t>
            </w:r>
          </w:p>
          <w:p w14:paraId="73B63B2D">
            <w:pPr>
              <w:spacing w:line="360" w:lineRule="auto"/>
              <w:ind w:left="105" w:leftChars="50" w:right="105" w:rightChars="5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w:instrText>
            </w:r>
            <w:r>
              <w:rPr>
                <w:rFonts w:hint="eastAsia" w:asciiTheme="minorEastAsia" w:hAnsiTheme="minorEastAsia" w:eastAsiaTheme="minorEastAsia"/>
                <w:color w:val="auto"/>
                <w:szCs w:val="21"/>
                <w:highlight w:val="none"/>
              </w:rPr>
              <w:instrText xml:space="preserve">= 3 \* GB3</w:instrText>
            </w:r>
            <w:r>
              <w:rPr>
                <w:rFonts w:asciiTheme="minorEastAsia" w:hAnsiTheme="minorEastAsia" w:eastAsiaTheme="minorEastAsia"/>
                <w:color w:val="auto"/>
                <w:szCs w:val="21"/>
                <w:highlight w:val="none"/>
              </w:rPr>
              <w:instrText xml:space="preserve"> </w:instrText>
            </w:r>
            <w:r>
              <w:rPr>
                <w:rFonts w:asciiTheme="minorEastAsia" w:hAnsiTheme="minorEastAsia" w:eastAsiaTheme="minorEastAsia"/>
                <w:color w:val="auto"/>
                <w:szCs w:val="21"/>
                <w:highlight w:val="none"/>
              </w:rPr>
              <w:fldChar w:fldCharType="separate"/>
            </w:r>
            <w:r>
              <w:rPr>
                <w:rFonts w:hint="eastAsia" w:asciiTheme="minorEastAsia" w:hAnsiTheme="minorEastAsia" w:eastAsiaTheme="minorEastAsia"/>
                <w:color w:val="auto"/>
                <w:szCs w:val="21"/>
                <w:highlight w:val="none"/>
              </w:rPr>
              <w:t>③</w:t>
            </w:r>
            <w:r>
              <w:rPr>
                <w:rFonts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投标保证金的交纳：</w:t>
            </w:r>
          </w:p>
          <w:p w14:paraId="31091281">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开户行：中信银行昆明高新支行</w:t>
            </w:r>
          </w:p>
          <w:p w14:paraId="44179ABB">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帐  号：8111901012300280815</w:t>
            </w:r>
          </w:p>
          <w:p w14:paraId="5897D6CB">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收款人：云南铭漾工程技术咨询有限公司</w:t>
            </w:r>
          </w:p>
          <w:p w14:paraId="541801F0">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联系电话：0871-</w:t>
            </w:r>
            <w:r>
              <w:rPr>
                <w:rFonts w:asciiTheme="minorEastAsia" w:hAnsiTheme="minorEastAsia" w:eastAsiaTheme="minorEastAsia"/>
                <w:color w:val="auto"/>
                <w:szCs w:val="21"/>
                <w:highlight w:val="none"/>
              </w:rPr>
              <w:t>65093696</w:t>
            </w:r>
          </w:p>
          <w:p w14:paraId="380F2603">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注：应注明包件名称（若包件名称较长无法填写完全时，可以缩写）。</w:t>
            </w:r>
          </w:p>
          <w:p w14:paraId="3832020E">
            <w:pPr>
              <w:spacing w:line="360" w:lineRule="auto"/>
              <w:ind w:right="105" w:rightChars="50"/>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（2）采用保证保险方式：</w:t>
            </w:r>
          </w:p>
          <w:p w14:paraId="71859911">
            <w:pPr>
              <w:spacing w:line="360" w:lineRule="auto"/>
              <w:ind w:left="105" w:leftChars="50" w:right="105" w:rightChars="50"/>
              <w:rPr>
                <w:rFonts w:hint="eastAsia"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w:instrText>
            </w:r>
            <w:r>
              <w:rPr>
                <w:rFonts w:hint="eastAsia" w:asciiTheme="minorEastAsia" w:hAnsiTheme="minorEastAsia" w:eastAsiaTheme="minorEastAsia"/>
                <w:color w:val="auto"/>
                <w:szCs w:val="21"/>
                <w:highlight w:val="none"/>
              </w:rPr>
              <w:instrText xml:space="preserve">= 1 \* GB3</w:instrText>
            </w:r>
            <w:r>
              <w:rPr>
                <w:rFonts w:asciiTheme="minorEastAsia" w:hAnsiTheme="minorEastAsia" w:eastAsiaTheme="minorEastAsia"/>
                <w:color w:val="auto"/>
                <w:szCs w:val="21"/>
                <w:highlight w:val="none"/>
              </w:rPr>
              <w:instrText xml:space="preserve"> </w:instrText>
            </w:r>
            <w:r>
              <w:rPr>
                <w:rFonts w:asciiTheme="minorEastAsia" w:hAnsiTheme="minorEastAsia" w:eastAsiaTheme="minorEastAsia"/>
                <w:color w:val="auto"/>
                <w:szCs w:val="21"/>
                <w:highlight w:val="none"/>
              </w:rPr>
              <w:fldChar w:fldCharType="separate"/>
            </w:r>
            <w:r>
              <w:rPr>
                <w:rFonts w:hint="eastAsia" w:asciiTheme="minorEastAsia" w:hAnsiTheme="minorEastAsia" w:eastAsiaTheme="minorEastAsia"/>
                <w:color w:val="auto"/>
                <w:szCs w:val="21"/>
                <w:highlight w:val="none"/>
              </w:rPr>
              <w:t>①</w:t>
            </w:r>
            <w:r>
              <w:rPr>
                <w:rFonts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投标保证金的金额：</w:t>
            </w:r>
            <w:r>
              <w:rPr>
                <w:rFonts w:hint="eastAsia" w:asciiTheme="minorEastAsia" w:hAnsiTheme="minorEastAsia" w:eastAsiaTheme="minorEastAsia"/>
                <w:b/>
                <w:color w:val="auto"/>
                <w:szCs w:val="21"/>
                <w:highlight w:val="none"/>
                <w:u w:val="single"/>
              </w:rPr>
              <w:t>¥20000.00元</w:t>
            </w:r>
            <w:r>
              <w:rPr>
                <w:rFonts w:hint="eastAsia" w:asciiTheme="minorEastAsia" w:hAnsiTheme="minorEastAsia" w:eastAsiaTheme="minorEastAsia"/>
                <w:b/>
                <w:color w:val="auto"/>
                <w:szCs w:val="21"/>
                <w:highlight w:val="none"/>
              </w:rPr>
              <w:t>。</w:t>
            </w:r>
          </w:p>
          <w:p w14:paraId="2D4E140B">
            <w:pPr>
              <w:spacing w:line="360" w:lineRule="auto"/>
              <w:ind w:left="105" w:leftChars="50" w:right="105" w:rightChars="5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w:instrText>
            </w:r>
            <w:r>
              <w:rPr>
                <w:rFonts w:hint="eastAsia" w:asciiTheme="minorEastAsia" w:hAnsiTheme="minorEastAsia" w:eastAsiaTheme="minorEastAsia"/>
                <w:color w:val="auto"/>
                <w:szCs w:val="21"/>
                <w:highlight w:val="none"/>
              </w:rPr>
              <w:instrText xml:space="preserve">= 2 \* GB3</w:instrText>
            </w:r>
            <w:r>
              <w:rPr>
                <w:rFonts w:asciiTheme="minorEastAsia" w:hAnsiTheme="minorEastAsia" w:eastAsiaTheme="minorEastAsia"/>
                <w:color w:val="auto"/>
                <w:szCs w:val="21"/>
                <w:highlight w:val="none"/>
              </w:rPr>
              <w:instrText xml:space="preserve"> </w:instrText>
            </w:r>
            <w:r>
              <w:rPr>
                <w:rFonts w:asciiTheme="minorEastAsia" w:hAnsiTheme="minorEastAsia" w:eastAsiaTheme="minorEastAsia"/>
                <w:color w:val="auto"/>
                <w:szCs w:val="21"/>
                <w:highlight w:val="none"/>
              </w:rPr>
              <w:fldChar w:fldCharType="separate"/>
            </w:r>
            <w:r>
              <w:rPr>
                <w:rFonts w:hint="eastAsia" w:asciiTheme="minorEastAsia" w:hAnsiTheme="minorEastAsia" w:eastAsiaTheme="minorEastAsia"/>
                <w:color w:val="auto"/>
                <w:szCs w:val="21"/>
                <w:highlight w:val="none"/>
              </w:rPr>
              <w:t>②</w:t>
            </w:r>
            <w:r>
              <w:rPr>
                <w:rFonts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投标保证金交纳时间：供应商在保险公司购买保险保单后，须在投标文件提交截至时间前，将购买保险保单提交到采购代理机构。</w:t>
            </w:r>
          </w:p>
          <w:p w14:paraId="2763AF02">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注：投标保证金保险的保额须与投标保证金金额一致，同时应注明包件名称，否则不予认可。</w:t>
            </w:r>
          </w:p>
          <w:p w14:paraId="363D9E5E">
            <w:pPr>
              <w:spacing w:line="360" w:lineRule="auto"/>
              <w:ind w:right="105" w:rightChars="50"/>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（3）采用担保保函方式：</w:t>
            </w:r>
          </w:p>
          <w:p w14:paraId="74F1504A">
            <w:pPr>
              <w:spacing w:line="360" w:lineRule="auto"/>
              <w:ind w:left="105" w:leftChars="50" w:right="105" w:rightChars="50"/>
              <w:rPr>
                <w:rFonts w:hint="eastAsia" w:asciiTheme="minorEastAsia" w:hAnsiTheme="minorEastAsia" w:eastAsiaTheme="minorEastAsia"/>
                <w:b/>
                <w:color w:val="auto"/>
                <w:szCs w:val="21"/>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w:instrText>
            </w:r>
            <w:r>
              <w:rPr>
                <w:rFonts w:hint="eastAsia" w:asciiTheme="minorEastAsia" w:hAnsiTheme="minorEastAsia" w:eastAsiaTheme="minorEastAsia"/>
                <w:color w:val="auto"/>
                <w:szCs w:val="21"/>
                <w:highlight w:val="none"/>
              </w:rPr>
              <w:instrText xml:space="preserve">= 1 \* GB3</w:instrText>
            </w:r>
            <w:r>
              <w:rPr>
                <w:rFonts w:asciiTheme="minorEastAsia" w:hAnsiTheme="minorEastAsia" w:eastAsiaTheme="minorEastAsia"/>
                <w:color w:val="auto"/>
                <w:szCs w:val="21"/>
                <w:highlight w:val="none"/>
              </w:rPr>
              <w:instrText xml:space="preserve"> </w:instrText>
            </w:r>
            <w:r>
              <w:rPr>
                <w:rFonts w:asciiTheme="minorEastAsia" w:hAnsiTheme="minorEastAsia" w:eastAsiaTheme="minorEastAsia"/>
                <w:color w:val="auto"/>
                <w:szCs w:val="21"/>
                <w:highlight w:val="none"/>
              </w:rPr>
              <w:fldChar w:fldCharType="separate"/>
            </w:r>
            <w:r>
              <w:rPr>
                <w:rFonts w:hint="eastAsia" w:asciiTheme="minorEastAsia" w:hAnsiTheme="minorEastAsia" w:eastAsiaTheme="minorEastAsia"/>
                <w:color w:val="auto"/>
                <w:szCs w:val="21"/>
                <w:highlight w:val="none"/>
              </w:rPr>
              <w:t>①</w:t>
            </w:r>
            <w:r>
              <w:rPr>
                <w:rFonts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投标保证金的金额：</w:t>
            </w:r>
            <w:r>
              <w:rPr>
                <w:rFonts w:hint="eastAsia" w:asciiTheme="minorEastAsia" w:hAnsiTheme="minorEastAsia" w:eastAsiaTheme="minorEastAsia"/>
                <w:b/>
                <w:color w:val="auto"/>
                <w:szCs w:val="21"/>
                <w:highlight w:val="none"/>
                <w:u w:val="single"/>
              </w:rPr>
              <w:t>¥20000.00元</w:t>
            </w:r>
            <w:r>
              <w:rPr>
                <w:rFonts w:hint="eastAsia" w:asciiTheme="minorEastAsia" w:hAnsiTheme="minorEastAsia" w:eastAsiaTheme="minorEastAsia"/>
                <w:b/>
                <w:color w:val="auto"/>
                <w:szCs w:val="21"/>
                <w:highlight w:val="none"/>
              </w:rPr>
              <w:t>。</w:t>
            </w:r>
          </w:p>
          <w:p w14:paraId="68A22669">
            <w:pPr>
              <w:spacing w:line="360" w:lineRule="auto"/>
              <w:ind w:left="105" w:leftChars="50" w:right="105" w:rightChars="5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w:instrText>
            </w:r>
            <w:r>
              <w:rPr>
                <w:rFonts w:hint="eastAsia" w:asciiTheme="minorEastAsia" w:hAnsiTheme="minorEastAsia" w:eastAsiaTheme="minorEastAsia"/>
                <w:color w:val="auto"/>
                <w:szCs w:val="21"/>
                <w:highlight w:val="none"/>
              </w:rPr>
              <w:instrText xml:space="preserve">= 2 \* GB3</w:instrText>
            </w:r>
            <w:r>
              <w:rPr>
                <w:rFonts w:asciiTheme="minorEastAsia" w:hAnsiTheme="minorEastAsia" w:eastAsiaTheme="minorEastAsia"/>
                <w:color w:val="auto"/>
                <w:szCs w:val="21"/>
                <w:highlight w:val="none"/>
              </w:rPr>
              <w:instrText xml:space="preserve"> </w:instrText>
            </w:r>
            <w:r>
              <w:rPr>
                <w:rFonts w:asciiTheme="minorEastAsia" w:hAnsiTheme="minorEastAsia" w:eastAsiaTheme="minorEastAsia"/>
                <w:color w:val="auto"/>
                <w:szCs w:val="21"/>
                <w:highlight w:val="none"/>
              </w:rPr>
              <w:fldChar w:fldCharType="separate"/>
            </w:r>
            <w:r>
              <w:rPr>
                <w:rFonts w:hint="eastAsia" w:asciiTheme="minorEastAsia" w:hAnsiTheme="minorEastAsia" w:eastAsiaTheme="minorEastAsia"/>
                <w:color w:val="auto"/>
                <w:szCs w:val="21"/>
                <w:highlight w:val="none"/>
              </w:rPr>
              <w:t>②</w:t>
            </w:r>
            <w:r>
              <w:rPr>
                <w:rFonts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投标保证金交纳时间：供应商在担保机构购买担保保函后，须在投标文件提交截至时间前，将购买的保函提交到采购代理机构。</w:t>
            </w:r>
          </w:p>
          <w:p w14:paraId="2FA869FB">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注：保函的保额须与投标保证金金额一致，同时应注明包件名称，否则不予认可。</w:t>
            </w:r>
          </w:p>
          <w:p w14:paraId="6AF681DF">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4.对于未能按要求提交投标保证金、保险、保函的供应商，采购人将视为不响应</w:t>
            </w:r>
            <w:r>
              <w:rPr>
                <w:rFonts w:hint="eastAsia" w:cs="宋体" w:asciiTheme="minorEastAsia" w:hAnsiTheme="minorEastAsia" w:eastAsiaTheme="minorEastAsia"/>
                <w:color w:val="auto"/>
                <w:szCs w:val="21"/>
                <w:highlight w:val="none"/>
              </w:rPr>
              <w:t>采购文件</w:t>
            </w:r>
            <w:r>
              <w:rPr>
                <w:rFonts w:hint="eastAsia" w:asciiTheme="minorEastAsia" w:hAnsiTheme="minorEastAsia" w:eastAsiaTheme="minorEastAsia"/>
                <w:color w:val="auto"/>
                <w:szCs w:val="21"/>
                <w:highlight w:val="none"/>
              </w:rPr>
              <w:t>而予以拒绝其投标文件。</w:t>
            </w:r>
          </w:p>
          <w:p w14:paraId="0DE130FD">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5.未中标的供应商的投标保证金，在成交通知书发出后5个工作日内退还；成交供应商的投标保证金在采购人与其签订合同后5个工作日内退还。</w:t>
            </w:r>
          </w:p>
          <w:p w14:paraId="13211FD2">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6.供应商如发生下列情况之一时，投标保证金将不予退还：</w:t>
            </w:r>
          </w:p>
          <w:p w14:paraId="78CE80D2">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（1）供应商在提交投标文件截止时间后撤回其投标文件的；</w:t>
            </w:r>
          </w:p>
          <w:p w14:paraId="2530E7B6">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（2）供应商在投标文件中提供虚假材料的；</w:t>
            </w:r>
          </w:p>
          <w:p w14:paraId="6035E87D">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（3）除因不可抗力或</w:t>
            </w:r>
            <w:r>
              <w:rPr>
                <w:rFonts w:hint="eastAsia" w:cs="宋体" w:asciiTheme="minorEastAsia" w:hAnsiTheme="minorEastAsia" w:eastAsiaTheme="minorEastAsia"/>
                <w:color w:val="auto"/>
                <w:szCs w:val="21"/>
                <w:highlight w:val="none"/>
              </w:rPr>
              <w:t>采购文件</w:t>
            </w:r>
            <w:r>
              <w:rPr>
                <w:rFonts w:hint="eastAsia" w:asciiTheme="minorEastAsia" w:hAnsiTheme="minorEastAsia" w:eastAsiaTheme="minorEastAsia"/>
                <w:color w:val="auto"/>
                <w:szCs w:val="21"/>
                <w:highlight w:val="none"/>
              </w:rPr>
              <w:t>认可的情形以外，成交供应商不与采购人签订合同的；</w:t>
            </w:r>
          </w:p>
          <w:p w14:paraId="0F24E62B">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（4）供应商与采购人、其他供应商或者代理机构恶意串通的。</w:t>
            </w:r>
          </w:p>
        </w:tc>
      </w:tr>
      <w:tr w14:paraId="4315F5E0">
        <w:tblPrEx>
          <w:tblCellMar>
            <w:top w:w="0" w:type="dxa"/>
            <w:left w:w="0" w:type="dxa"/>
            <w:bottom w:w="0" w:type="dxa"/>
            <w:right w:w="0" w:type="dxa"/>
          </w:tblCellMar>
        </w:tblPrEx>
        <w:trPr>
          <w:trHeight w:val="567"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0699BD1E">
            <w:pPr>
              <w:wordWrap w:val="0"/>
              <w:autoSpaceDE w:val="0"/>
              <w:autoSpaceDN w:val="0"/>
              <w:spacing w:before="60" w:after="60"/>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3.5.1</w:t>
            </w:r>
          </w:p>
        </w:tc>
        <w:tc>
          <w:tcPr>
            <w:tcW w:w="1234" w:type="pct"/>
            <w:tcBorders>
              <w:top w:val="single" w:color="auto" w:sz="4" w:space="0"/>
              <w:left w:val="single" w:color="auto" w:sz="4" w:space="0"/>
              <w:bottom w:val="single" w:color="auto" w:sz="4" w:space="0"/>
              <w:right w:val="single" w:color="auto" w:sz="4" w:space="0"/>
            </w:tcBorders>
            <w:vAlign w:val="center"/>
          </w:tcPr>
          <w:p w14:paraId="52F8D5FA">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近年财务状况的</w:t>
            </w:r>
          </w:p>
          <w:p w14:paraId="2F35CCDC">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年份要求</w:t>
            </w:r>
          </w:p>
        </w:tc>
        <w:tc>
          <w:tcPr>
            <w:tcW w:w="3308" w:type="pct"/>
            <w:tcBorders>
              <w:top w:val="single" w:color="auto" w:sz="4" w:space="0"/>
              <w:left w:val="single" w:color="auto" w:sz="4" w:space="0"/>
              <w:bottom w:val="single" w:color="auto" w:sz="4" w:space="0"/>
              <w:right w:val="single" w:color="auto" w:sz="4" w:space="0"/>
            </w:tcBorders>
            <w:vAlign w:val="center"/>
          </w:tcPr>
          <w:p w14:paraId="3E00E31F">
            <w:pPr>
              <w:wordWrap w:val="0"/>
              <w:autoSpaceDE w:val="0"/>
              <w:autoSpaceDN w:val="0"/>
              <w:spacing w:before="60" w:after="60"/>
              <w:ind w:left="105" w:leftChars="50" w:firstLine="14" w:firstLineChars="7"/>
              <w:contextualSpacing/>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2023年度。</w:t>
            </w:r>
          </w:p>
        </w:tc>
      </w:tr>
      <w:tr w14:paraId="1FE51A5C">
        <w:tblPrEx>
          <w:tblCellMar>
            <w:top w:w="0" w:type="dxa"/>
            <w:left w:w="0" w:type="dxa"/>
            <w:bottom w:w="0" w:type="dxa"/>
            <w:right w:w="0" w:type="dxa"/>
          </w:tblCellMar>
        </w:tblPrEx>
        <w:trPr>
          <w:trHeight w:val="274"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3C867581">
            <w:pPr>
              <w:wordWrap w:val="0"/>
              <w:autoSpaceDE w:val="0"/>
              <w:autoSpaceDN w:val="0"/>
              <w:spacing w:before="60" w:after="60"/>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3.5.2</w:t>
            </w:r>
          </w:p>
        </w:tc>
        <w:tc>
          <w:tcPr>
            <w:tcW w:w="1234" w:type="pct"/>
            <w:tcBorders>
              <w:top w:val="single" w:color="auto" w:sz="4" w:space="0"/>
              <w:left w:val="single" w:color="auto" w:sz="4" w:space="0"/>
              <w:bottom w:val="single" w:color="auto" w:sz="4" w:space="0"/>
              <w:right w:val="single" w:color="auto" w:sz="4" w:space="0"/>
            </w:tcBorders>
            <w:vAlign w:val="center"/>
          </w:tcPr>
          <w:p w14:paraId="0D56BB9F">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没有重大违法记录的</w:t>
            </w:r>
          </w:p>
          <w:p w14:paraId="53686980">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年份要求</w:t>
            </w:r>
          </w:p>
        </w:tc>
        <w:tc>
          <w:tcPr>
            <w:tcW w:w="3308" w:type="pct"/>
            <w:tcBorders>
              <w:top w:val="single" w:color="auto" w:sz="4" w:space="0"/>
              <w:left w:val="single" w:color="auto" w:sz="4" w:space="0"/>
              <w:bottom w:val="single" w:color="auto" w:sz="4" w:space="0"/>
              <w:right w:val="single" w:color="auto" w:sz="4" w:space="0"/>
            </w:tcBorders>
            <w:vAlign w:val="center"/>
          </w:tcPr>
          <w:p w14:paraId="67A429D1">
            <w:pPr>
              <w:wordWrap w:val="0"/>
              <w:autoSpaceDE w:val="0"/>
              <w:autoSpaceDN w:val="0"/>
              <w:ind w:left="105" w:leftChars="50"/>
              <w:contextualSpacing/>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投标文件递交截止时间前三年内。</w:t>
            </w:r>
          </w:p>
        </w:tc>
      </w:tr>
      <w:tr w14:paraId="7915DE7B">
        <w:tblPrEx>
          <w:tblCellMar>
            <w:top w:w="0" w:type="dxa"/>
            <w:left w:w="0" w:type="dxa"/>
            <w:bottom w:w="0" w:type="dxa"/>
            <w:right w:w="0" w:type="dxa"/>
          </w:tblCellMar>
        </w:tblPrEx>
        <w:trPr>
          <w:trHeight w:val="132"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3330F053">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3.7.1</w:t>
            </w:r>
          </w:p>
        </w:tc>
        <w:tc>
          <w:tcPr>
            <w:tcW w:w="1234" w:type="pct"/>
            <w:tcBorders>
              <w:top w:val="single" w:color="auto" w:sz="4" w:space="0"/>
              <w:left w:val="single" w:color="auto" w:sz="4" w:space="0"/>
              <w:bottom w:val="single" w:color="auto" w:sz="4" w:space="0"/>
              <w:right w:val="single" w:color="auto" w:sz="4" w:space="0"/>
            </w:tcBorders>
            <w:vAlign w:val="center"/>
          </w:tcPr>
          <w:p w14:paraId="77805CC4">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投标文件的格式</w:t>
            </w:r>
          </w:p>
        </w:tc>
        <w:tc>
          <w:tcPr>
            <w:tcW w:w="3308" w:type="pct"/>
            <w:tcBorders>
              <w:top w:val="single" w:color="auto" w:sz="4" w:space="0"/>
              <w:left w:val="single" w:color="auto" w:sz="4" w:space="0"/>
              <w:bottom w:val="single" w:color="auto" w:sz="4" w:space="0"/>
              <w:right w:val="single" w:color="auto" w:sz="4" w:space="0"/>
            </w:tcBorders>
            <w:vAlign w:val="center"/>
          </w:tcPr>
          <w:p w14:paraId="1273C963">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1.投标文件全部采用电子文档，必须使用政府采购云平台下载的政采云电子投标客户端制作，并进行电子签章及加密后上传至政府采购云平台。编制要求见《电子投标文件编制要求》。</w:t>
            </w:r>
          </w:p>
          <w:p w14:paraId="7F0189F1">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如供应商递交的投标文件不符合以上要求的或开标时无法读取导入或解密的，其投标文件将不予受理。</w:t>
            </w:r>
          </w:p>
        </w:tc>
      </w:tr>
      <w:tr w14:paraId="1B2176B3">
        <w:tblPrEx>
          <w:tblCellMar>
            <w:top w:w="0" w:type="dxa"/>
            <w:left w:w="0" w:type="dxa"/>
            <w:bottom w:w="0" w:type="dxa"/>
            <w:right w:w="0" w:type="dxa"/>
          </w:tblCellMar>
        </w:tblPrEx>
        <w:trPr>
          <w:trHeight w:val="567"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5704FF4E">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3.7.3</w:t>
            </w:r>
          </w:p>
        </w:tc>
        <w:tc>
          <w:tcPr>
            <w:tcW w:w="1234" w:type="pct"/>
            <w:tcBorders>
              <w:top w:val="single" w:color="auto" w:sz="4" w:space="0"/>
              <w:left w:val="single" w:color="auto" w:sz="4" w:space="0"/>
              <w:bottom w:val="single" w:color="auto" w:sz="4" w:space="0"/>
              <w:right w:val="single" w:color="auto" w:sz="4" w:space="0"/>
            </w:tcBorders>
            <w:vAlign w:val="center"/>
          </w:tcPr>
          <w:p w14:paraId="75C33F74">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投标文件的签署</w:t>
            </w:r>
          </w:p>
        </w:tc>
        <w:tc>
          <w:tcPr>
            <w:tcW w:w="3308" w:type="pct"/>
            <w:tcBorders>
              <w:top w:val="single" w:color="auto" w:sz="4" w:space="0"/>
              <w:left w:val="single" w:color="auto" w:sz="4" w:space="0"/>
              <w:bottom w:val="single" w:color="auto" w:sz="4" w:space="0"/>
              <w:right w:val="single" w:color="auto" w:sz="4" w:space="0"/>
            </w:tcBorders>
          </w:tcPr>
          <w:p w14:paraId="5E664976">
            <w:pPr>
              <w:spacing w:before="120" w:beforeLines="50" w:line="360" w:lineRule="auto"/>
              <w:ind w:left="105" w:leftChars="50" w:right="105" w:rightChars="50"/>
              <w:rPr>
                <w:rFonts w:hint="eastAsia"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按照第四章“投标文件格式”的要求，采用单位和个人数字证书电子签章，需要企业、法定代表人电子签章。在需要电子签章的地方进行电子签章，无需逐页电子签章。</w:t>
            </w:r>
          </w:p>
          <w:p w14:paraId="151D2BAE">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注：投标文件格式中的《中小企业声明函》、《残疾人福利性单位声明函》、《监狱企业证明》，</w:t>
            </w:r>
            <w:r>
              <w:rPr>
                <w:rFonts w:hint="eastAsia" w:ascii="宋体" w:hAnsi="宋体"/>
                <w:color w:val="auto"/>
                <w:szCs w:val="21"/>
                <w:highlight w:val="none"/>
              </w:rPr>
              <w:t>制造企业非此类单位的，供应商无需填写及电子签章。</w:t>
            </w:r>
          </w:p>
        </w:tc>
      </w:tr>
      <w:tr w14:paraId="25211C26">
        <w:tblPrEx>
          <w:tblCellMar>
            <w:top w:w="0" w:type="dxa"/>
            <w:left w:w="0" w:type="dxa"/>
            <w:bottom w:w="0" w:type="dxa"/>
            <w:right w:w="0" w:type="dxa"/>
          </w:tblCellMar>
        </w:tblPrEx>
        <w:trPr>
          <w:trHeight w:val="411"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6DD36540">
            <w:pPr>
              <w:wordWrap w:val="0"/>
              <w:autoSpaceDE w:val="0"/>
              <w:autoSpaceDN w:val="0"/>
              <w:spacing w:before="60" w:after="60"/>
              <w:contextualSpacing/>
              <w:jc w:val="cente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4.1.1</w:t>
            </w:r>
          </w:p>
        </w:tc>
        <w:tc>
          <w:tcPr>
            <w:tcW w:w="1234" w:type="pct"/>
            <w:tcBorders>
              <w:top w:val="single" w:color="auto" w:sz="4" w:space="0"/>
              <w:left w:val="single" w:color="auto" w:sz="4" w:space="0"/>
              <w:bottom w:val="single" w:color="auto" w:sz="4" w:space="0"/>
              <w:right w:val="single" w:color="auto" w:sz="4" w:space="0"/>
            </w:tcBorders>
            <w:vAlign w:val="center"/>
          </w:tcPr>
          <w:p w14:paraId="61E0393D">
            <w:pPr>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投标文件的加密</w:t>
            </w:r>
          </w:p>
        </w:tc>
        <w:tc>
          <w:tcPr>
            <w:tcW w:w="3308" w:type="pct"/>
            <w:tcBorders>
              <w:top w:val="single" w:color="auto" w:sz="4" w:space="0"/>
              <w:left w:val="single" w:color="auto" w:sz="4" w:space="0"/>
              <w:bottom w:val="single" w:color="auto" w:sz="4" w:space="0"/>
              <w:right w:val="single" w:color="auto" w:sz="4" w:space="0"/>
            </w:tcBorders>
          </w:tcPr>
          <w:p w14:paraId="7200D610">
            <w:pPr>
              <w:spacing w:before="120" w:beforeLines="50" w:line="360" w:lineRule="auto"/>
              <w:ind w:left="105" w:leftChar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网上递交的投标文件</w:t>
            </w:r>
            <w:r>
              <w:rPr>
                <w:rFonts w:asciiTheme="minorEastAsia" w:hAnsiTheme="minorEastAsia" w:eastAsiaTheme="minorEastAsia"/>
                <w:color w:val="auto"/>
                <w:szCs w:val="21"/>
                <w:highlight w:val="none"/>
              </w:rPr>
              <w:t>应</w:t>
            </w:r>
            <w:r>
              <w:rPr>
                <w:rFonts w:hint="eastAsia" w:asciiTheme="minorEastAsia" w:hAnsiTheme="minorEastAsia" w:eastAsiaTheme="minorEastAsia"/>
                <w:color w:val="auto"/>
                <w:szCs w:val="21"/>
                <w:highlight w:val="none"/>
              </w:rPr>
              <w:t>使用</w:t>
            </w:r>
            <w:r>
              <w:rPr>
                <w:rFonts w:asciiTheme="minorEastAsia" w:hAnsiTheme="minorEastAsia" w:eastAsiaTheme="minorEastAsia"/>
                <w:color w:val="auto"/>
                <w:szCs w:val="21"/>
                <w:highlight w:val="none"/>
              </w:rPr>
              <w:t>数</w:t>
            </w:r>
            <w:r>
              <w:rPr>
                <w:rFonts w:hint="eastAsia" w:asciiTheme="minorEastAsia" w:hAnsiTheme="minorEastAsia" w:eastAsiaTheme="minorEastAsia"/>
                <w:color w:val="auto"/>
                <w:szCs w:val="21"/>
                <w:highlight w:val="none"/>
              </w:rPr>
              <w:t>字</w:t>
            </w:r>
            <w:r>
              <w:rPr>
                <w:rFonts w:asciiTheme="minorEastAsia" w:hAnsiTheme="minorEastAsia" w:eastAsiaTheme="minorEastAsia"/>
                <w:color w:val="auto"/>
                <w:szCs w:val="21"/>
                <w:highlight w:val="none"/>
              </w:rPr>
              <w:t>证书</w:t>
            </w:r>
            <w:r>
              <w:rPr>
                <w:rFonts w:hint="eastAsia" w:asciiTheme="minorEastAsia" w:hAnsiTheme="minorEastAsia" w:eastAsiaTheme="minorEastAsia"/>
                <w:color w:val="auto"/>
                <w:szCs w:val="21"/>
                <w:highlight w:val="none"/>
              </w:rPr>
              <w:t>（CA）进行加密。</w:t>
            </w:r>
          </w:p>
        </w:tc>
      </w:tr>
      <w:tr w14:paraId="70F7F290">
        <w:tblPrEx>
          <w:tblCellMar>
            <w:top w:w="0" w:type="dxa"/>
            <w:left w:w="0" w:type="dxa"/>
            <w:bottom w:w="0" w:type="dxa"/>
            <w:right w:w="0" w:type="dxa"/>
          </w:tblCellMar>
        </w:tblPrEx>
        <w:trPr>
          <w:trHeight w:val="132"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0241ACDC">
            <w:pPr>
              <w:wordWrap w:val="0"/>
              <w:autoSpaceDE w:val="0"/>
              <w:autoSpaceDN w:val="0"/>
              <w:spacing w:before="60" w:after="6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4.2.1</w:t>
            </w:r>
          </w:p>
        </w:tc>
        <w:tc>
          <w:tcPr>
            <w:tcW w:w="1234" w:type="pct"/>
            <w:tcBorders>
              <w:top w:val="single" w:color="auto" w:sz="4" w:space="0"/>
              <w:left w:val="single" w:color="auto" w:sz="4" w:space="0"/>
              <w:bottom w:val="single" w:color="auto" w:sz="4" w:space="0"/>
              <w:right w:val="single" w:color="auto" w:sz="4" w:space="0"/>
            </w:tcBorders>
            <w:vAlign w:val="center"/>
          </w:tcPr>
          <w:p w14:paraId="2C91193D">
            <w:pPr>
              <w:wordWrap w:val="0"/>
              <w:autoSpaceDE w:val="0"/>
              <w:autoSpaceDN w:val="0"/>
              <w:spacing w:before="120" w:after="6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投标文件的递交</w:t>
            </w:r>
          </w:p>
        </w:tc>
        <w:tc>
          <w:tcPr>
            <w:tcW w:w="3308" w:type="pct"/>
            <w:tcBorders>
              <w:top w:val="single" w:color="auto" w:sz="4" w:space="0"/>
              <w:left w:val="single" w:color="auto" w:sz="4" w:space="0"/>
              <w:bottom w:val="single" w:color="auto" w:sz="4" w:space="0"/>
              <w:right w:val="single" w:color="auto" w:sz="4" w:space="0"/>
            </w:tcBorders>
          </w:tcPr>
          <w:p w14:paraId="5581FE2C">
            <w:pPr>
              <w:widowControl/>
              <w:wordWrap w:val="0"/>
              <w:spacing w:before="120" w:beforeLines="50" w:line="360" w:lineRule="auto"/>
              <w:ind w:left="105" w:leftChars="50" w:right="105" w:rightChar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为全流程电子化项目。凡有意参与投标者，请自行前往政府采购云平台“客户端&amp;驱动下载”网页（网址：https：//customer.zcygov.cn/CA-driver-download?utm=web-ca-front.3ddc8fbb.0.0.91c6cff0db1311ec8cfbc9f613d30204）下载并安装“政采云投标客户端”。供应商按照采购文件和政府采购云平台的要求编制、加密电子投标文件，投标文件在递交截止时间前未完成上传的，视为撤回投标文件。供应商在政府采购云平台递交电子版投标文件时，请填写参与远程开标活动经办人的联系方式。</w:t>
            </w:r>
          </w:p>
          <w:p w14:paraId="7700B3A0">
            <w:pPr>
              <w:widowControl/>
              <w:wordWrap w:val="0"/>
              <w:spacing w:line="360" w:lineRule="auto"/>
              <w:ind w:left="105" w:leftChars="50" w:right="105" w:rightChar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注：供应商应在投标文件递交截止时间前完成电子投标文件的上传、递交，投标文件递交截止时间前可以补充、修改或者撤回电子投标文件。补充或者修改投标文件的，应当先行撤回原文件，补充、修改后重新上传、递交。投标文件递交截止时间前未完成上传、递交的，视为撤回投标文件。投标文件递交截止时间以后上传递交的，视为无效。</w:t>
            </w:r>
          </w:p>
        </w:tc>
      </w:tr>
      <w:tr w14:paraId="32F25EC0">
        <w:tblPrEx>
          <w:tblCellMar>
            <w:top w:w="0" w:type="dxa"/>
            <w:left w:w="0" w:type="dxa"/>
            <w:bottom w:w="0" w:type="dxa"/>
            <w:right w:w="0" w:type="dxa"/>
          </w:tblCellMar>
        </w:tblPrEx>
        <w:trPr>
          <w:trHeight w:val="567"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73217ED0">
            <w:pPr>
              <w:spacing w:before="120" w:beforeLines="50" w:line="360" w:lineRule="auto"/>
              <w:jc w:val="center"/>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4.2.2</w:t>
            </w:r>
          </w:p>
        </w:tc>
        <w:tc>
          <w:tcPr>
            <w:tcW w:w="1234" w:type="pct"/>
            <w:tcBorders>
              <w:top w:val="single" w:color="auto" w:sz="4" w:space="0"/>
              <w:left w:val="single" w:color="auto" w:sz="4" w:space="0"/>
              <w:bottom w:val="single" w:color="auto" w:sz="4" w:space="0"/>
              <w:right w:val="single" w:color="auto" w:sz="4" w:space="0"/>
            </w:tcBorders>
            <w:vAlign w:val="center"/>
          </w:tcPr>
          <w:p w14:paraId="670ADF2E">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是否退还投标文件</w:t>
            </w:r>
          </w:p>
        </w:tc>
        <w:tc>
          <w:tcPr>
            <w:tcW w:w="3308" w:type="pct"/>
            <w:tcBorders>
              <w:top w:val="single" w:color="auto" w:sz="4" w:space="0"/>
              <w:left w:val="single" w:color="auto" w:sz="4" w:space="0"/>
              <w:bottom w:val="single" w:color="auto" w:sz="4" w:space="0"/>
              <w:right w:val="single" w:color="auto" w:sz="4" w:space="0"/>
            </w:tcBorders>
            <w:vAlign w:val="center"/>
          </w:tcPr>
          <w:p w14:paraId="2720DE06">
            <w:pPr>
              <w:spacing w:before="120" w:beforeLines="50" w:line="360" w:lineRule="auto"/>
              <w:ind w:firstLine="105" w:firstLine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否。</w:t>
            </w:r>
          </w:p>
        </w:tc>
      </w:tr>
      <w:tr w14:paraId="3856B9B6">
        <w:tblPrEx>
          <w:tblCellMar>
            <w:top w:w="0" w:type="dxa"/>
            <w:left w:w="0" w:type="dxa"/>
            <w:bottom w:w="0" w:type="dxa"/>
            <w:right w:w="0" w:type="dxa"/>
          </w:tblCellMar>
        </w:tblPrEx>
        <w:trPr>
          <w:trHeight w:val="58"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1729CC09">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5.1</w:t>
            </w:r>
          </w:p>
        </w:tc>
        <w:tc>
          <w:tcPr>
            <w:tcW w:w="1234" w:type="pct"/>
            <w:tcBorders>
              <w:top w:val="single" w:color="auto" w:sz="4" w:space="0"/>
              <w:left w:val="single" w:color="auto" w:sz="4" w:space="0"/>
              <w:bottom w:val="single" w:color="auto" w:sz="4" w:space="0"/>
              <w:right w:val="single" w:color="auto" w:sz="4" w:space="0"/>
            </w:tcBorders>
            <w:vAlign w:val="center"/>
          </w:tcPr>
          <w:p w14:paraId="39853868">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开标时间和地点</w:t>
            </w:r>
          </w:p>
        </w:tc>
        <w:tc>
          <w:tcPr>
            <w:tcW w:w="3308" w:type="pct"/>
            <w:tcBorders>
              <w:top w:val="single" w:color="auto" w:sz="4" w:space="0"/>
              <w:left w:val="single" w:color="auto" w:sz="4" w:space="0"/>
              <w:bottom w:val="single" w:color="auto" w:sz="4" w:space="0"/>
              <w:right w:val="single" w:color="auto" w:sz="4" w:space="0"/>
            </w:tcBorders>
          </w:tcPr>
          <w:p w14:paraId="46D1BE08">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开标时间：同投标截止时间；</w:t>
            </w:r>
          </w:p>
          <w:p w14:paraId="777400FC">
            <w:pPr>
              <w:autoSpaceDE w:val="0"/>
              <w:autoSpaceDN w:val="0"/>
              <w:spacing w:before="60" w:after="60" w:line="360" w:lineRule="auto"/>
              <w:ind w:left="105" w:leftChars="50" w:right="105" w:rightChars="50" w:firstLine="14" w:firstLineChars="7"/>
              <w:contextualSpacing/>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开标地点：政府采购云平台（网址：https：//www.zcygov.cn/）。</w:t>
            </w:r>
          </w:p>
        </w:tc>
      </w:tr>
      <w:tr w14:paraId="39A1D448">
        <w:tblPrEx>
          <w:tblCellMar>
            <w:top w:w="0" w:type="dxa"/>
            <w:left w:w="0" w:type="dxa"/>
            <w:bottom w:w="0" w:type="dxa"/>
            <w:right w:w="0" w:type="dxa"/>
          </w:tblCellMar>
        </w:tblPrEx>
        <w:trPr>
          <w:trHeight w:val="274"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721F3FD3">
            <w:pPr>
              <w:wordWrap w:val="0"/>
              <w:autoSpaceDE w:val="0"/>
              <w:autoSpaceDN w:val="0"/>
              <w:spacing w:before="60" w:after="6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5.2</w:t>
            </w:r>
          </w:p>
        </w:tc>
        <w:tc>
          <w:tcPr>
            <w:tcW w:w="1234" w:type="pct"/>
            <w:tcBorders>
              <w:top w:val="single" w:color="auto" w:sz="4" w:space="0"/>
              <w:left w:val="single" w:color="auto" w:sz="4" w:space="0"/>
              <w:bottom w:val="single" w:color="auto" w:sz="4" w:space="0"/>
              <w:right w:val="single" w:color="auto" w:sz="4" w:space="0"/>
            </w:tcBorders>
            <w:vAlign w:val="center"/>
          </w:tcPr>
          <w:p w14:paraId="33E07126">
            <w:pPr>
              <w:wordWrap w:val="0"/>
              <w:autoSpaceDE w:val="0"/>
              <w:autoSpaceDN w:val="0"/>
              <w:spacing w:before="60" w:after="60"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开标程序</w:t>
            </w:r>
          </w:p>
        </w:tc>
        <w:tc>
          <w:tcPr>
            <w:tcW w:w="3308" w:type="pct"/>
            <w:tcBorders>
              <w:top w:val="single" w:color="auto" w:sz="4" w:space="0"/>
              <w:left w:val="single" w:color="auto" w:sz="4" w:space="0"/>
              <w:bottom w:val="single" w:color="auto" w:sz="4" w:space="0"/>
              <w:right w:val="single" w:color="auto" w:sz="4" w:space="0"/>
            </w:tcBorders>
          </w:tcPr>
          <w:p w14:paraId="44617D12">
            <w:pPr>
              <w:spacing w:before="120" w:beforeLines="50" w:line="360" w:lineRule="auto"/>
              <w:ind w:left="105" w:leftChars="50" w:right="105" w:rightChar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本项目的开标程序如下：</w:t>
            </w:r>
          </w:p>
          <w:p w14:paraId="6B07F334">
            <w:pPr>
              <w:spacing w:line="360" w:lineRule="auto"/>
              <w:ind w:left="105" w:leftChars="50" w:right="105" w:rightChar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至投标文件递交截止时间止，采购代理机构的工作人员登录进入政府采购云平台，按照政府采购云平台的操作流程完成开标程序。</w:t>
            </w:r>
          </w:p>
          <w:p w14:paraId="2B09FFAA">
            <w:pPr>
              <w:spacing w:line="360" w:lineRule="auto"/>
              <w:ind w:left="105" w:leftChars="50" w:right="105" w:rightChar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注：因供应商原因造成投标文件未解密的，视为供应商撤销其投标文件。</w:t>
            </w:r>
          </w:p>
        </w:tc>
      </w:tr>
      <w:tr w14:paraId="73A4E19B">
        <w:tblPrEx>
          <w:tblCellMar>
            <w:top w:w="0" w:type="dxa"/>
            <w:left w:w="0" w:type="dxa"/>
            <w:bottom w:w="0" w:type="dxa"/>
            <w:right w:w="0" w:type="dxa"/>
          </w:tblCellMar>
        </w:tblPrEx>
        <w:trPr>
          <w:trHeight w:val="274"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1059987D">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5.3</w:t>
            </w:r>
          </w:p>
        </w:tc>
        <w:tc>
          <w:tcPr>
            <w:tcW w:w="1234" w:type="pct"/>
            <w:tcBorders>
              <w:top w:val="single" w:color="auto" w:sz="4" w:space="0"/>
              <w:left w:val="single" w:color="auto" w:sz="4" w:space="0"/>
              <w:bottom w:val="single" w:color="auto" w:sz="4" w:space="0"/>
              <w:right w:val="single" w:color="auto" w:sz="4" w:space="0"/>
            </w:tcBorders>
            <w:vAlign w:val="center"/>
          </w:tcPr>
          <w:p w14:paraId="583BAE14">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投标文件的解密方式</w:t>
            </w:r>
          </w:p>
        </w:tc>
        <w:tc>
          <w:tcPr>
            <w:tcW w:w="3308" w:type="pct"/>
            <w:tcBorders>
              <w:top w:val="single" w:color="auto" w:sz="4" w:space="0"/>
              <w:left w:val="single" w:color="auto" w:sz="4" w:space="0"/>
              <w:bottom w:val="single" w:color="auto" w:sz="4" w:space="0"/>
              <w:right w:val="single" w:color="auto" w:sz="4" w:space="0"/>
            </w:tcBorders>
          </w:tcPr>
          <w:p w14:paraId="049217BA">
            <w:pPr>
              <w:spacing w:before="120" w:beforeLines="50" w:line="360" w:lineRule="auto"/>
              <w:ind w:left="105" w:leftChars="50" w:right="105" w:rightChars="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在线解密。供应商须提前在自有场地配置有音视频通话（带摄像头及话筒的电脑）功能的相应设备及稳定网络的环境下，并按政府采购云平台开标大厅中的提示完成采购活动</w:t>
            </w:r>
            <w:r>
              <w:rPr>
                <w:rFonts w:hint="eastAsia" w:asciiTheme="minorEastAsia" w:hAnsiTheme="minorEastAsia" w:eastAsiaTheme="minorEastAsia"/>
                <w:bCs/>
                <w:snapToGrid w:val="0"/>
                <w:color w:val="auto"/>
                <w:szCs w:val="21"/>
                <w:highlight w:val="none"/>
              </w:rPr>
              <w:t>。</w:t>
            </w:r>
          </w:p>
        </w:tc>
      </w:tr>
      <w:tr w14:paraId="71B5C3A4">
        <w:tblPrEx>
          <w:tblCellMar>
            <w:top w:w="0" w:type="dxa"/>
            <w:left w:w="0" w:type="dxa"/>
            <w:bottom w:w="0" w:type="dxa"/>
            <w:right w:w="0" w:type="dxa"/>
          </w:tblCellMar>
        </w:tblPrEx>
        <w:trPr>
          <w:trHeight w:val="274"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176FE981">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6.1.1</w:t>
            </w:r>
          </w:p>
        </w:tc>
        <w:tc>
          <w:tcPr>
            <w:tcW w:w="1234" w:type="pct"/>
            <w:tcBorders>
              <w:top w:val="single" w:color="auto" w:sz="4" w:space="0"/>
              <w:left w:val="single" w:color="auto" w:sz="4" w:space="0"/>
              <w:bottom w:val="single" w:color="auto" w:sz="4" w:space="0"/>
              <w:right w:val="single" w:color="auto" w:sz="4" w:space="0"/>
            </w:tcBorders>
            <w:vAlign w:val="center"/>
          </w:tcPr>
          <w:p w14:paraId="3B5DA672">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w:t>
            </w:r>
            <w:r>
              <w:rPr>
                <w:rFonts w:asciiTheme="minorEastAsia" w:hAnsiTheme="minorEastAsia" w:eastAsiaTheme="minorEastAsia"/>
                <w:color w:val="auto"/>
                <w:szCs w:val="21"/>
                <w:highlight w:val="none"/>
              </w:rPr>
              <w:t>的组建</w:t>
            </w:r>
          </w:p>
        </w:tc>
        <w:tc>
          <w:tcPr>
            <w:tcW w:w="3308" w:type="pct"/>
            <w:tcBorders>
              <w:top w:val="single" w:color="auto" w:sz="4" w:space="0"/>
              <w:left w:val="single" w:color="auto" w:sz="4" w:space="0"/>
              <w:bottom w:val="single" w:color="auto" w:sz="4" w:space="0"/>
              <w:right w:val="single" w:color="auto" w:sz="4" w:space="0"/>
            </w:tcBorders>
            <w:vAlign w:val="center"/>
          </w:tcPr>
          <w:p w14:paraId="12C7402E">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w:t>
            </w:r>
            <w:r>
              <w:rPr>
                <w:rFonts w:asciiTheme="minorEastAsia" w:hAnsiTheme="minorEastAsia" w:eastAsiaTheme="minorEastAsia"/>
                <w:color w:val="auto"/>
                <w:szCs w:val="21"/>
                <w:highlight w:val="none"/>
              </w:rPr>
              <w:t>人数：</w:t>
            </w: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人</w:t>
            </w:r>
            <w:r>
              <w:rPr>
                <w:rFonts w:hint="eastAsia" w:asciiTheme="minorEastAsia" w:hAnsiTheme="minorEastAsia" w:eastAsiaTheme="minorEastAsia"/>
                <w:color w:val="auto"/>
                <w:szCs w:val="21"/>
                <w:highlight w:val="none"/>
              </w:rPr>
              <w:t>及</w:t>
            </w:r>
            <w:r>
              <w:rPr>
                <w:rFonts w:asciiTheme="minorEastAsia" w:hAnsiTheme="minorEastAsia" w:eastAsiaTheme="minorEastAsia"/>
                <w:color w:val="auto"/>
                <w:szCs w:val="21"/>
                <w:highlight w:val="none"/>
              </w:rPr>
              <w:t>以上单数。</w:t>
            </w:r>
          </w:p>
          <w:p w14:paraId="00F5D33F">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评审成员</w:t>
            </w:r>
            <w:r>
              <w:rPr>
                <w:rFonts w:asciiTheme="minorEastAsia" w:hAnsiTheme="minorEastAsia" w:eastAsiaTheme="minorEastAsia"/>
                <w:color w:val="auto"/>
                <w:szCs w:val="21"/>
                <w:highlight w:val="none"/>
              </w:rPr>
              <w:t>确定方式：</w:t>
            </w:r>
            <w:r>
              <w:rPr>
                <w:rFonts w:hint="eastAsia" w:asciiTheme="minorEastAsia" w:hAnsiTheme="minorEastAsia" w:eastAsiaTheme="minorEastAsia"/>
                <w:color w:val="auto"/>
                <w:szCs w:val="21"/>
                <w:highlight w:val="none"/>
              </w:rPr>
              <w:t>由采购人代表和“云南省政府采购评标专家库”中随机抽取的技术、经济方面的专家组成</w:t>
            </w:r>
            <w:r>
              <w:rPr>
                <w:rFonts w:asciiTheme="minorEastAsia" w:hAnsiTheme="minorEastAsia" w:eastAsiaTheme="minorEastAsia"/>
                <w:color w:val="auto"/>
                <w:szCs w:val="21"/>
                <w:highlight w:val="none"/>
              </w:rPr>
              <w:t>。</w:t>
            </w:r>
          </w:p>
        </w:tc>
      </w:tr>
      <w:tr w14:paraId="409C02E9">
        <w:tblPrEx>
          <w:tblCellMar>
            <w:top w:w="0" w:type="dxa"/>
            <w:left w:w="0" w:type="dxa"/>
            <w:bottom w:w="0" w:type="dxa"/>
            <w:right w:w="0" w:type="dxa"/>
          </w:tblCellMar>
        </w:tblPrEx>
        <w:trPr>
          <w:trHeight w:val="567"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651F6DC7">
            <w:pPr>
              <w:wordWrap w:val="0"/>
              <w:autoSpaceDE w:val="0"/>
              <w:autoSpaceDN w:val="0"/>
              <w:spacing w:line="360" w:lineRule="auto"/>
              <w:contextualSpacing/>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7.1</w:t>
            </w:r>
          </w:p>
        </w:tc>
        <w:tc>
          <w:tcPr>
            <w:tcW w:w="1234" w:type="pct"/>
            <w:tcBorders>
              <w:top w:val="single" w:color="auto" w:sz="4" w:space="0"/>
              <w:left w:val="single" w:color="auto" w:sz="4" w:space="0"/>
              <w:bottom w:val="single" w:color="auto" w:sz="4" w:space="0"/>
              <w:right w:val="single" w:color="auto" w:sz="4" w:space="0"/>
            </w:tcBorders>
            <w:vAlign w:val="center"/>
          </w:tcPr>
          <w:p w14:paraId="01C352C6">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是否授权评标委员会</w:t>
            </w:r>
          </w:p>
          <w:p w14:paraId="3D4B237D">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确定中标人</w:t>
            </w:r>
          </w:p>
        </w:tc>
        <w:tc>
          <w:tcPr>
            <w:tcW w:w="3308" w:type="pct"/>
            <w:tcBorders>
              <w:top w:val="single" w:color="auto" w:sz="4" w:space="0"/>
              <w:left w:val="single" w:color="auto" w:sz="4" w:space="0"/>
              <w:bottom w:val="single" w:color="auto" w:sz="4" w:space="0"/>
              <w:right w:val="single" w:color="auto" w:sz="4" w:space="0"/>
            </w:tcBorders>
            <w:vAlign w:val="center"/>
          </w:tcPr>
          <w:p w14:paraId="069D36AD">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否。</w:t>
            </w:r>
          </w:p>
          <w:p w14:paraId="5847412B">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由评标委员会根据第七章“评标办法”的相关规定推荐1～3名中标候选人，采购人根据评标委员会的推荐顺序确定中标人。</w:t>
            </w:r>
          </w:p>
        </w:tc>
      </w:tr>
      <w:tr w14:paraId="55FE1C82">
        <w:tblPrEx>
          <w:tblCellMar>
            <w:top w:w="0" w:type="dxa"/>
            <w:left w:w="0" w:type="dxa"/>
            <w:bottom w:w="0" w:type="dxa"/>
            <w:right w:w="0" w:type="dxa"/>
          </w:tblCellMar>
        </w:tblPrEx>
        <w:trPr>
          <w:trHeight w:val="567" w:hRule="atLeast"/>
          <w:jc w:val="center"/>
        </w:trPr>
        <w:tc>
          <w:tcPr>
            <w:tcW w:w="458" w:type="pct"/>
            <w:tcBorders>
              <w:top w:val="single" w:color="auto" w:sz="4" w:space="0"/>
              <w:left w:val="single" w:color="auto" w:sz="4" w:space="0"/>
              <w:bottom w:val="single" w:color="auto" w:sz="4" w:space="0"/>
              <w:right w:val="single" w:color="auto" w:sz="4" w:space="0"/>
            </w:tcBorders>
            <w:vAlign w:val="center"/>
          </w:tcPr>
          <w:p w14:paraId="3C287AE3">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7.3</w:t>
            </w:r>
          </w:p>
        </w:tc>
        <w:tc>
          <w:tcPr>
            <w:tcW w:w="1234" w:type="pct"/>
            <w:tcBorders>
              <w:top w:val="single" w:color="auto" w:sz="4" w:space="0"/>
              <w:left w:val="single" w:color="auto" w:sz="4" w:space="0"/>
              <w:bottom w:val="single" w:color="auto" w:sz="4" w:space="0"/>
              <w:right w:val="single" w:color="auto" w:sz="4" w:space="0"/>
            </w:tcBorders>
            <w:vAlign w:val="center"/>
          </w:tcPr>
          <w:p w14:paraId="77FF32EC">
            <w:pPr>
              <w:spacing w:before="120" w:beforeLines="50"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履约担保</w:t>
            </w:r>
          </w:p>
        </w:tc>
        <w:tc>
          <w:tcPr>
            <w:tcW w:w="3308" w:type="pct"/>
            <w:tcBorders>
              <w:top w:val="single" w:color="auto" w:sz="4" w:space="0"/>
              <w:left w:val="single" w:color="auto" w:sz="4" w:space="0"/>
              <w:bottom w:val="single" w:color="auto" w:sz="4" w:space="0"/>
              <w:right w:val="single" w:color="auto" w:sz="4" w:space="0"/>
            </w:tcBorders>
          </w:tcPr>
          <w:p w14:paraId="14518D7C">
            <w:pPr>
              <w:spacing w:before="120" w:beforeLines="50" w:line="360" w:lineRule="auto"/>
              <w:ind w:left="105" w:leftChars="50" w:right="105" w:rightChars="50"/>
              <w:rPr>
                <w:rFonts w:hint="eastAsia" w:ascii="宋体" w:hAnsi="宋体" w:cs="宋体"/>
                <w:color w:val="auto"/>
                <w:szCs w:val="21"/>
                <w:highlight w:val="none"/>
              </w:rPr>
            </w:pPr>
            <w:r>
              <w:rPr>
                <w:rFonts w:hint="eastAsia" w:ascii="宋体" w:hAnsi="宋体" w:cs="宋体"/>
                <w:color w:val="auto"/>
                <w:szCs w:val="21"/>
                <w:highlight w:val="none"/>
              </w:rPr>
              <w:t>1.履约保证金的金额：</w:t>
            </w:r>
            <w:r>
              <w:rPr>
                <w:rFonts w:hint="eastAsia" w:ascii="宋体" w:hAnsi="宋体"/>
                <w:color w:val="auto"/>
                <w:szCs w:val="21"/>
                <w:highlight w:val="none"/>
                <w:u w:val="single"/>
              </w:rPr>
              <w:t>合同金额的</w:t>
            </w:r>
            <w:r>
              <w:rPr>
                <w:rFonts w:ascii="宋体" w:hAnsi="宋体"/>
                <w:color w:val="auto"/>
                <w:szCs w:val="21"/>
                <w:highlight w:val="none"/>
                <w:u w:val="single"/>
              </w:rPr>
              <w:t>5</w:t>
            </w:r>
            <w:r>
              <w:rPr>
                <w:rFonts w:hint="eastAsia" w:ascii="宋体" w:hAnsi="宋体"/>
                <w:color w:val="auto"/>
                <w:szCs w:val="21"/>
                <w:highlight w:val="none"/>
                <w:u w:val="single"/>
              </w:rPr>
              <w:t>%</w:t>
            </w:r>
            <w:r>
              <w:rPr>
                <w:rFonts w:hint="eastAsia" w:ascii="宋体" w:hAnsi="宋体" w:cs="宋体"/>
                <w:color w:val="auto"/>
                <w:szCs w:val="21"/>
                <w:highlight w:val="none"/>
              </w:rPr>
              <w:t>。</w:t>
            </w:r>
          </w:p>
          <w:p w14:paraId="17AD8A5E">
            <w:pPr>
              <w:spacing w:line="360" w:lineRule="auto"/>
              <w:ind w:left="105" w:leftChars="50" w:right="105" w:rightChars="50"/>
              <w:rPr>
                <w:rFonts w:hint="eastAsia" w:ascii="宋体" w:hAnsi="宋体" w:cs="宋体"/>
                <w:color w:val="auto"/>
                <w:szCs w:val="21"/>
                <w:highlight w:val="none"/>
              </w:rPr>
            </w:pPr>
            <w:r>
              <w:rPr>
                <w:rFonts w:hint="eastAsia" w:ascii="宋体" w:hAnsi="宋体" w:cs="宋体"/>
                <w:color w:val="auto"/>
                <w:szCs w:val="21"/>
                <w:highlight w:val="none"/>
              </w:rPr>
              <w:t>2.履约保证金的提交形式：</w:t>
            </w:r>
            <w:r>
              <w:rPr>
                <w:rFonts w:hint="eastAsia" w:ascii="宋体" w:hAnsi="宋体"/>
                <w:color w:val="auto"/>
                <w:szCs w:val="21"/>
                <w:highlight w:val="none"/>
                <w:u w:val="single"/>
              </w:rPr>
              <w:t>支票、汇票、本票或者金融机构、担保机构出具的保函等非现金形式提交</w:t>
            </w:r>
            <w:r>
              <w:rPr>
                <w:rFonts w:hint="eastAsia" w:ascii="宋体" w:hAnsi="宋体" w:cs="宋体"/>
                <w:color w:val="auto"/>
                <w:szCs w:val="21"/>
                <w:highlight w:val="none"/>
              </w:rPr>
              <w:t>。</w:t>
            </w:r>
          </w:p>
          <w:p w14:paraId="77A1F417">
            <w:pPr>
              <w:spacing w:line="360" w:lineRule="auto"/>
              <w:ind w:left="105" w:leftChars="50" w:right="105" w:rightChars="50"/>
              <w:rPr>
                <w:rFonts w:hint="eastAsia" w:ascii="宋体" w:hAnsi="宋体" w:cs="宋体"/>
                <w:color w:val="auto"/>
                <w:szCs w:val="21"/>
                <w:highlight w:val="none"/>
              </w:rPr>
            </w:pPr>
            <w:r>
              <w:rPr>
                <w:rFonts w:hint="eastAsia" w:ascii="宋体" w:hAnsi="宋体" w:cs="宋体"/>
                <w:color w:val="auto"/>
                <w:szCs w:val="21"/>
                <w:highlight w:val="none"/>
              </w:rPr>
              <w:t>3.履约保证金的提交时间：</w:t>
            </w:r>
            <w:bookmarkStart w:id="145" w:name="_Hlk108086072"/>
            <w:r>
              <w:rPr>
                <w:rFonts w:hint="eastAsia" w:ascii="宋体" w:hAnsi="宋体" w:cs="宋体"/>
                <w:color w:val="auto"/>
                <w:szCs w:val="21"/>
                <w:highlight w:val="none"/>
                <w:u w:val="single"/>
              </w:rPr>
              <w:t>合同签订后5个工作日内提交</w:t>
            </w:r>
            <w:bookmarkEnd w:id="145"/>
            <w:r>
              <w:rPr>
                <w:rFonts w:hint="eastAsia" w:ascii="宋体" w:hAnsi="宋体" w:cs="宋体"/>
                <w:color w:val="auto"/>
                <w:szCs w:val="21"/>
                <w:highlight w:val="none"/>
              </w:rPr>
              <w:t>。</w:t>
            </w:r>
          </w:p>
          <w:p w14:paraId="1B1DFC30">
            <w:pPr>
              <w:spacing w:line="360" w:lineRule="auto"/>
              <w:ind w:left="105" w:leftChars="50" w:right="105" w:rightChars="50"/>
              <w:rPr>
                <w:rFonts w:hint="eastAsia"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.履约保证金的退还：</w:t>
            </w:r>
            <w:r>
              <w:rPr>
                <w:rFonts w:hint="eastAsia" w:ascii="宋体" w:hAnsi="宋体" w:cs="宋体"/>
                <w:color w:val="auto"/>
                <w:szCs w:val="21"/>
                <w:highlight w:val="none"/>
                <w:u w:val="single"/>
              </w:rPr>
              <w:t>合同履行期届满后，经甲乙双方协商一致，由甲方根据乙方支付履约保证金的原账户予以退还；提交保函的，可按程序解除</w:t>
            </w:r>
            <w:r>
              <w:rPr>
                <w:rFonts w:hint="eastAsia" w:ascii="宋体" w:hAnsi="宋体" w:cs="宋体"/>
                <w:color w:val="auto"/>
                <w:szCs w:val="21"/>
                <w:highlight w:val="none"/>
              </w:rPr>
              <w:t>。</w:t>
            </w:r>
          </w:p>
          <w:p w14:paraId="68606B37">
            <w:pPr>
              <w:spacing w:line="360" w:lineRule="auto"/>
              <w:ind w:left="105" w:leftChars="50" w:right="105" w:rightChars="50"/>
              <w:rPr>
                <w:rFonts w:hint="eastAsia"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.若不按以上规定提交履约担保的，视为自动放弃中标资格。</w:t>
            </w:r>
          </w:p>
        </w:tc>
      </w:tr>
      <w:tr w14:paraId="467C70C3">
        <w:tblPrEx>
          <w:tblCellMar>
            <w:top w:w="0" w:type="dxa"/>
            <w:left w:w="0" w:type="dxa"/>
            <w:bottom w:w="0" w:type="dxa"/>
            <w:right w:w="0" w:type="dxa"/>
          </w:tblCellMar>
        </w:tblPrEx>
        <w:trPr>
          <w:trHeight w:val="448"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109886EA">
            <w:pPr>
              <w:spacing w:before="120" w:beforeLines="50" w:line="360" w:lineRule="auto"/>
              <w:ind w:firstLine="422"/>
              <w:jc w:val="cente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10.需要补充的其他内容</w:t>
            </w:r>
          </w:p>
        </w:tc>
      </w:tr>
      <w:tr w14:paraId="6A4B966D">
        <w:tblPrEx>
          <w:tblCellMar>
            <w:top w:w="0" w:type="dxa"/>
            <w:left w:w="0" w:type="dxa"/>
            <w:bottom w:w="0" w:type="dxa"/>
            <w:right w:w="0" w:type="dxa"/>
          </w:tblCellMar>
        </w:tblPrEx>
        <w:trPr>
          <w:trHeight w:val="274"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2EFEB3B2">
            <w:pPr>
              <w:spacing w:before="120" w:beforeLines="50"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1.供应商</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投标文件</w:t>
            </w:r>
            <w:r>
              <w:rPr>
                <w:rFonts w:asciiTheme="minorEastAsia" w:hAnsiTheme="minorEastAsia" w:eastAsiaTheme="minorEastAsia"/>
                <w:color w:val="auto"/>
                <w:szCs w:val="21"/>
                <w:highlight w:val="none"/>
              </w:rPr>
              <w:t>必须是在接受</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人</w:t>
            </w:r>
            <w:r>
              <w:rPr>
                <w:rFonts w:hint="eastAsia" w:asciiTheme="minorEastAsia" w:hAnsiTheme="minorEastAsia" w:eastAsiaTheme="minorEastAsia"/>
                <w:color w:val="auto"/>
                <w:szCs w:val="21"/>
                <w:highlight w:val="none"/>
              </w:rPr>
              <w:t>的</w:t>
            </w:r>
            <w:r>
              <w:rPr>
                <w:rFonts w:hint="eastAsia" w:asciiTheme="minorEastAsia" w:hAnsiTheme="minorEastAsia" w:eastAsiaTheme="minorEastAsia"/>
                <w:snapToGrid w:val="0"/>
                <w:color w:val="auto"/>
                <w:kern w:val="0"/>
                <w:szCs w:val="21"/>
                <w:highlight w:val="none"/>
              </w:rPr>
              <w:t>采购文件（</w:t>
            </w:r>
            <w:r>
              <w:rPr>
                <w:rFonts w:asciiTheme="minorEastAsia" w:hAnsiTheme="minorEastAsia" w:eastAsiaTheme="minorEastAsia"/>
                <w:color w:val="auto"/>
                <w:szCs w:val="21"/>
                <w:highlight w:val="none"/>
              </w:rPr>
              <w:t>含合同条款等）的基础上作出的承诺，若</w:t>
            </w:r>
            <w:r>
              <w:rPr>
                <w:rFonts w:hint="eastAsia" w:asciiTheme="minorEastAsia" w:hAnsiTheme="minorEastAsia" w:eastAsiaTheme="minorEastAsia"/>
                <w:color w:val="auto"/>
                <w:szCs w:val="21"/>
                <w:highlight w:val="none"/>
              </w:rPr>
              <w:t>中标人</w:t>
            </w:r>
            <w:r>
              <w:rPr>
                <w:rFonts w:asciiTheme="minorEastAsia" w:hAnsiTheme="minorEastAsia" w:eastAsiaTheme="minorEastAsia"/>
                <w:color w:val="auto"/>
                <w:szCs w:val="21"/>
                <w:highlight w:val="none"/>
              </w:rPr>
              <w:t>对</w:t>
            </w:r>
            <w:r>
              <w:rPr>
                <w:rFonts w:hint="eastAsia" w:asciiTheme="minorEastAsia" w:hAnsiTheme="minorEastAsia" w:eastAsiaTheme="minorEastAsia"/>
                <w:snapToGrid w:val="0"/>
                <w:color w:val="auto"/>
                <w:kern w:val="0"/>
                <w:szCs w:val="21"/>
                <w:highlight w:val="none"/>
              </w:rPr>
              <w:t>采购文件</w:t>
            </w:r>
            <w:r>
              <w:rPr>
                <w:rFonts w:asciiTheme="minorEastAsia" w:hAnsiTheme="minorEastAsia" w:eastAsiaTheme="minorEastAsia"/>
                <w:color w:val="auto"/>
                <w:szCs w:val="21"/>
                <w:highlight w:val="none"/>
              </w:rPr>
              <w:t>（含合同条款等）提出修改要求，</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人可视为其不响应</w:t>
            </w:r>
            <w:r>
              <w:rPr>
                <w:rFonts w:hint="eastAsia" w:asciiTheme="minorEastAsia" w:hAnsiTheme="minorEastAsia" w:eastAsiaTheme="minorEastAsia"/>
                <w:snapToGrid w:val="0"/>
                <w:color w:val="auto"/>
                <w:kern w:val="0"/>
                <w:szCs w:val="21"/>
                <w:highlight w:val="none"/>
              </w:rPr>
              <w:t>采购文件</w:t>
            </w:r>
            <w:r>
              <w:rPr>
                <w:rFonts w:asciiTheme="minorEastAsia" w:hAnsiTheme="minorEastAsia" w:eastAsiaTheme="minorEastAsia"/>
                <w:color w:val="auto"/>
                <w:szCs w:val="21"/>
                <w:highlight w:val="none"/>
              </w:rPr>
              <w:t>的实质性条款，取消其</w:t>
            </w:r>
            <w:r>
              <w:rPr>
                <w:rFonts w:hint="eastAsia" w:asciiTheme="minorEastAsia" w:hAnsiTheme="minorEastAsia" w:eastAsiaTheme="minorEastAsia"/>
                <w:color w:val="auto"/>
                <w:szCs w:val="21"/>
                <w:highlight w:val="none"/>
              </w:rPr>
              <w:t>中标资格</w:t>
            </w:r>
            <w:r>
              <w:rPr>
                <w:rFonts w:asciiTheme="minorEastAsia" w:hAnsiTheme="minorEastAsia" w:eastAsiaTheme="minorEastAsia"/>
                <w:color w:val="auto"/>
                <w:szCs w:val="21"/>
                <w:highlight w:val="none"/>
              </w:rPr>
              <w:t>。</w:t>
            </w:r>
          </w:p>
          <w:p w14:paraId="7C4078BF">
            <w:pPr>
              <w:spacing w:line="360" w:lineRule="auto"/>
              <w:ind w:left="108" w:right="105" w:rightChars="5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信誉要求：</w:t>
            </w:r>
            <w:r>
              <w:rPr>
                <w:rFonts w:hint="eastAsia" w:ascii="宋体" w:hAnsi="宋体"/>
                <w:color w:val="auto"/>
                <w:szCs w:val="21"/>
                <w:highlight w:val="none"/>
              </w:rPr>
              <w:t>供应商未被中国执行信息公开网（网址：http：//zxgk.court.gov.cn/shixin/）列入“失信被执行人”；未被信用中国（网址：https：//www.creditchina.gov.cn/）列入“重大税收违法案件当事人名单”以及“政府采购严重违法失信行为记录名单”；未被中国政府采购网（网址：http：//www.ccgp.gov.cn/）列为“政府采购严重违法失信行为信息记录”（评审前采购人或采购代理机构将通过相关网站查询，并留存网站查询结果截图或打印件，提供给评标委员会）。</w:t>
            </w:r>
          </w:p>
          <w:p w14:paraId="5065235C">
            <w:pPr>
              <w:spacing w:line="360" w:lineRule="auto"/>
              <w:ind w:left="108" w:right="105" w:rightChars="5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.中标人无故</w:t>
            </w:r>
            <w:r>
              <w:rPr>
                <w:rFonts w:asciiTheme="minorEastAsia" w:hAnsiTheme="minorEastAsia" w:eastAsiaTheme="minorEastAsia"/>
                <w:color w:val="auto"/>
                <w:szCs w:val="21"/>
                <w:highlight w:val="none"/>
              </w:rPr>
              <w:t>不与</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签订合同的，或在合同签订中无故要求变更</w:t>
            </w:r>
            <w:r>
              <w:rPr>
                <w:rFonts w:hint="eastAsia" w:asciiTheme="minorEastAsia" w:hAnsiTheme="minorEastAsia" w:eastAsiaTheme="minorEastAsia"/>
                <w:color w:val="auto"/>
                <w:szCs w:val="21"/>
                <w:highlight w:val="none"/>
              </w:rPr>
              <w:t>承诺或报价</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人</w:t>
            </w:r>
            <w:r>
              <w:rPr>
                <w:rFonts w:hint="eastAsia" w:asciiTheme="minorEastAsia" w:hAnsiTheme="minorEastAsia" w:eastAsiaTheme="minorEastAsia"/>
                <w:color w:val="auto"/>
                <w:szCs w:val="21"/>
                <w:highlight w:val="none"/>
              </w:rPr>
              <w:t>将</w:t>
            </w:r>
            <w:r>
              <w:rPr>
                <w:rFonts w:asciiTheme="minorEastAsia" w:hAnsiTheme="minorEastAsia" w:eastAsiaTheme="minorEastAsia"/>
                <w:color w:val="auto"/>
                <w:szCs w:val="21"/>
                <w:highlight w:val="none"/>
              </w:rPr>
              <w:t>取消其</w:t>
            </w:r>
            <w:r>
              <w:rPr>
                <w:rFonts w:hint="eastAsia" w:asciiTheme="minorEastAsia" w:hAnsiTheme="minorEastAsia" w:eastAsiaTheme="minorEastAsia"/>
                <w:color w:val="auto"/>
                <w:szCs w:val="21"/>
                <w:highlight w:val="none"/>
              </w:rPr>
              <w:t>中标资格，其保证金不予退还</w:t>
            </w:r>
            <w:r>
              <w:rPr>
                <w:rFonts w:asciiTheme="minorEastAsia" w:hAnsiTheme="minorEastAsia" w:eastAsiaTheme="minorEastAsia"/>
                <w:color w:val="auto"/>
                <w:szCs w:val="21"/>
                <w:highlight w:val="none"/>
              </w:rPr>
              <w:t>；给</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人</w:t>
            </w:r>
            <w:r>
              <w:rPr>
                <w:rFonts w:hint="eastAsia" w:asciiTheme="minorEastAsia" w:hAnsiTheme="minorEastAsia" w:eastAsiaTheme="minorEastAsia"/>
                <w:color w:val="auto"/>
                <w:szCs w:val="21"/>
                <w:highlight w:val="none"/>
              </w:rPr>
              <w:t>造成损失的，中标人还应当赔偿损失</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并且采购人将上报采购监督管理</w:t>
            </w:r>
            <w:r>
              <w:rPr>
                <w:rFonts w:asciiTheme="minorEastAsia" w:hAnsiTheme="minorEastAsia" w:eastAsiaTheme="minorEastAsia"/>
                <w:color w:val="auto"/>
                <w:szCs w:val="21"/>
                <w:highlight w:val="none"/>
              </w:rPr>
              <w:t>部门给予</w:t>
            </w:r>
            <w:r>
              <w:rPr>
                <w:rFonts w:hint="eastAsia" w:asciiTheme="minorEastAsia" w:hAnsiTheme="minorEastAsia" w:eastAsiaTheme="minorEastAsia"/>
                <w:color w:val="auto"/>
                <w:szCs w:val="21"/>
                <w:highlight w:val="none"/>
              </w:rPr>
              <w:t>其</w:t>
            </w:r>
            <w:r>
              <w:rPr>
                <w:rFonts w:asciiTheme="minorEastAsia" w:hAnsiTheme="minorEastAsia" w:eastAsiaTheme="minorEastAsia"/>
                <w:color w:val="auto"/>
                <w:szCs w:val="21"/>
                <w:highlight w:val="none"/>
              </w:rPr>
              <w:t>不良市场行为记录。</w:t>
            </w:r>
          </w:p>
          <w:p w14:paraId="530A5085">
            <w:pPr>
              <w:spacing w:line="360" w:lineRule="auto"/>
              <w:ind w:left="108" w:right="105" w:rightChars="5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.根据《政府采购促进中小企业发展管理办法》（财库〔2020〕46号）和《关于进一步加大政府采购支持中小企业力度的通知》（财库〔20</w:t>
            </w:r>
            <w:r>
              <w:rPr>
                <w:rFonts w:asciiTheme="minorEastAsia" w:hAnsiTheme="minorEastAsia" w:eastAsiaTheme="minorEastAsia"/>
                <w:color w:val="auto"/>
                <w:szCs w:val="21"/>
                <w:highlight w:val="none"/>
              </w:rPr>
              <w:t>22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19</w:t>
            </w:r>
            <w:r>
              <w:rPr>
                <w:rFonts w:hint="eastAsia" w:asciiTheme="minorEastAsia" w:hAnsiTheme="minorEastAsia" w:eastAsiaTheme="minorEastAsia"/>
                <w:color w:val="auto"/>
                <w:szCs w:val="21"/>
                <w:highlight w:val="none"/>
              </w:rPr>
              <w:t>号）第十二条规定：</w:t>
            </w:r>
          </w:p>
          <w:p w14:paraId="4DBFDED3">
            <w:pPr>
              <w:spacing w:line="360" w:lineRule="auto"/>
              <w:ind w:left="105" w:leftChars="50" w:right="105" w:rightChars="5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（1）依据《办法》规定享受扶持政策获得政府采购合同的小微企业不得将合同分包给大中型企业，中型企业不得将合同分包给大型企业。若中标人违反规定，则依法承担相关责任。</w:t>
            </w:r>
          </w:p>
          <w:p w14:paraId="54D41CB1">
            <w:pPr>
              <w:spacing w:line="360" w:lineRule="auto"/>
              <w:ind w:left="105" w:leftChars="50" w:right="105" w:rightChars="50"/>
              <w:rPr>
                <w:rFonts w:hint="eastAsia" w:ascii="宋体" w:hAnsi="宋体"/>
                <w:color w:val="auto"/>
                <w:szCs w:val="21"/>
                <w:highlight w:val="none"/>
              </w:rPr>
            </w:pPr>
            <w:r>
              <w:rPr>
                <w:rFonts w:hint="eastAsia" w:asciiTheme="minorEastAsia" w:hAnsiTheme="minorEastAsia" w:eastAsiaTheme="minorEastAsia"/>
                <w:color w:val="auto"/>
                <w:szCs w:val="21"/>
                <w:highlight w:val="none"/>
              </w:rPr>
              <w:t>（2）对具备享受扶持政策的中小企业，在资金支付期限上的优惠措施为：根据《保障中小企业款项支付条例》（中华人民共和国国务院令第728号）第八条规定，服务期结束之日起30日内支付</w:t>
            </w:r>
            <w:r>
              <w:rPr>
                <w:rFonts w:hint="eastAsia" w:ascii="宋体" w:hAnsi="宋体"/>
                <w:color w:val="auto"/>
                <w:szCs w:val="21"/>
                <w:highlight w:val="none"/>
              </w:rPr>
              <w:t>款项；合同另有约定的，付款期限最长不超过60日。</w:t>
            </w:r>
          </w:p>
          <w:p w14:paraId="685D9C8C">
            <w:pPr>
              <w:spacing w:line="360" w:lineRule="auto"/>
              <w:ind w:right="105" w:rightChars="5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）根据《统计上大中小微型企业划分办法（2017）》规定，本项目属于</w:t>
            </w:r>
            <w:r>
              <w:rPr>
                <w:rFonts w:hint="eastAsia" w:ascii="宋体" w:hAnsi="宋体"/>
                <w:b/>
                <w:bCs/>
                <w:color w:val="auto"/>
                <w:szCs w:val="21"/>
                <w:highlight w:val="none"/>
              </w:rPr>
              <w:t>“制造业”</w:t>
            </w:r>
            <w:r>
              <w:rPr>
                <w:rFonts w:hint="eastAsia" w:ascii="宋体" w:hAnsi="宋体"/>
                <w:color w:val="auto"/>
                <w:szCs w:val="21"/>
                <w:highlight w:val="none"/>
              </w:rPr>
              <w:t>行业。</w:t>
            </w:r>
          </w:p>
        </w:tc>
      </w:tr>
    </w:tbl>
    <w:p w14:paraId="70D6BF31">
      <w:pPr>
        <w:rPr>
          <w:color w:val="auto"/>
          <w:highlight w:val="none"/>
        </w:rPr>
      </w:pPr>
      <w:bookmarkStart w:id="146" w:name="_Toc132362633"/>
      <w:r>
        <w:rPr>
          <w:rFonts w:hint="eastAsia"/>
          <w:color w:val="auto"/>
          <w:highlight w:val="none"/>
        </w:rPr>
        <w:br w:type="page"/>
      </w:r>
    </w:p>
    <w:p w14:paraId="7971B4B5">
      <w:pPr>
        <w:pStyle w:val="2"/>
        <w:rPr>
          <w:color w:val="auto"/>
          <w:highlight w:val="none"/>
        </w:rPr>
      </w:pPr>
      <w:bookmarkStart w:id="147" w:name="_Toc180143778"/>
      <w:r>
        <w:rPr>
          <w:rFonts w:hint="eastAsia"/>
          <w:color w:val="auto"/>
          <w:highlight w:val="none"/>
        </w:rPr>
        <w:t>二、供应商须知正文部分</w:t>
      </w:r>
      <w:bookmarkEnd w:id="146"/>
      <w:bookmarkEnd w:id="147"/>
    </w:p>
    <w:p w14:paraId="1A2E71FA">
      <w:pPr>
        <w:spacing w:line="360" w:lineRule="auto"/>
        <w:jc w:val="center"/>
        <w:outlineLvl w:val="2"/>
        <w:rPr>
          <w:rFonts w:hint="eastAsia" w:asciiTheme="minorEastAsia" w:hAnsiTheme="minorEastAsia" w:eastAsiaTheme="minorEastAsia"/>
          <w:b/>
          <w:bCs/>
          <w:color w:val="auto"/>
          <w:sz w:val="28"/>
          <w:szCs w:val="28"/>
          <w:highlight w:val="none"/>
        </w:rPr>
      </w:pPr>
      <w:bookmarkStart w:id="148" w:name="_Toc42204979"/>
      <w:bookmarkStart w:id="149" w:name="_Toc42267618"/>
      <w:bookmarkStart w:id="150" w:name="_Toc98033920"/>
      <w:bookmarkStart w:id="151" w:name="_Toc45976886"/>
      <w:bookmarkStart w:id="152" w:name="_Toc87543804"/>
      <w:bookmarkStart w:id="153" w:name="_Toc83753878"/>
      <w:bookmarkStart w:id="154" w:name="_Toc98864997"/>
      <w:bookmarkStart w:id="155" w:name="_Toc108"/>
      <w:bookmarkStart w:id="156" w:name="_Toc110405120"/>
      <w:bookmarkStart w:id="157" w:name="_Toc84356238"/>
      <w:bookmarkStart w:id="158" w:name="_Toc45791340"/>
      <w:bookmarkStart w:id="159" w:name="_Toc109809298"/>
      <w:bookmarkStart w:id="160" w:name="_Toc87538355"/>
      <w:bookmarkStart w:id="161" w:name="_Toc116583986"/>
      <w:r>
        <w:rPr>
          <w:rFonts w:hint="eastAsia" w:asciiTheme="minorEastAsia" w:hAnsiTheme="minorEastAsia" w:eastAsiaTheme="minorEastAsia"/>
          <w:b/>
          <w:bCs/>
          <w:color w:val="auto"/>
          <w:sz w:val="28"/>
          <w:szCs w:val="28"/>
          <w:highlight w:val="none"/>
        </w:rPr>
        <w:t>1.总则</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02D73ECB">
      <w:pPr>
        <w:spacing w:line="360" w:lineRule="auto"/>
        <w:ind w:firstLine="482"/>
        <w:outlineLvl w:val="3"/>
        <w:rPr>
          <w:rFonts w:hint="eastAsia" w:ascii="宋体" w:hAnsi="宋体"/>
          <w:b/>
          <w:bCs/>
          <w:color w:val="auto"/>
          <w:sz w:val="24"/>
          <w:szCs w:val="24"/>
          <w:highlight w:val="none"/>
        </w:rPr>
      </w:pPr>
      <w:bookmarkStart w:id="162" w:name="_Toc116583987"/>
      <w:bookmarkStart w:id="163" w:name="_Toc13886"/>
      <w:bookmarkStart w:id="164" w:name="_Toc69678416"/>
      <w:bookmarkStart w:id="165" w:name="_Toc42267619"/>
      <w:bookmarkStart w:id="166" w:name="_Toc98033921"/>
      <w:bookmarkStart w:id="167" w:name="_Toc109809299"/>
      <w:bookmarkStart w:id="168" w:name="_Toc84356239"/>
      <w:bookmarkStart w:id="169" w:name="_Toc45791341"/>
      <w:bookmarkStart w:id="170" w:name="_Toc42204980"/>
      <w:bookmarkStart w:id="171" w:name="_Toc83753879"/>
      <w:bookmarkStart w:id="172" w:name="_Toc110405121"/>
      <w:bookmarkStart w:id="173" w:name="_Toc87543805"/>
      <w:bookmarkStart w:id="174" w:name="_Toc53412203"/>
      <w:bookmarkStart w:id="175" w:name="_Toc75783518"/>
      <w:bookmarkStart w:id="176" w:name="_Toc98864998"/>
      <w:bookmarkStart w:id="177" w:name="_Toc45976887"/>
      <w:bookmarkStart w:id="178" w:name="_Toc81330926"/>
      <w:bookmarkStart w:id="179" w:name="_Toc87538356"/>
      <w:r>
        <w:rPr>
          <w:rFonts w:hint="eastAsia" w:ascii="宋体" w:hAnsi="宋体"/>
          <w:b/>
          <w:bCs/>
          <w:color w:val="auto"/>
          <w:sz w:val="24"/>
          <w:szCs w:val="24"/>
          <w:highlight w:val="none"/>
        </w:rPr>
        <w:t>1.1项目概况</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1690A35A">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8"/>
          <w:highlight w:val="none"/>
        </w:rPr>
        <w:t>1.1.1</w:t>
      </w:r>
      <w:r>
        <w:rPr>
          <w:rFonts w:hint="eastAsia" w:asciiTheme="minorEastAsia" w:hAnsiTheme="minorEastAsia" w:eastAsiaTheme="minorEastAsia"/>
          <w:color w:val="auto"/>
          <w:szCs w:val="21"/>
          <w:highlight w:val="none"/>
        </w:rPr>
        <w:t>根据《中华人民共和国政府采购法》、《中华人民共和国政府采购法实施条例》（国务院令第658号）、《政府采购货物和服务招标投标管理办法》（财政部令第87号）等相关法律法规的规定</w:t>
      </w:r>
      <w:r>
        <w:rPr>
          <w:rFonts w:asciiTheme="minorEastAsia" w:hAnsiTheme="minorEastAsia" w:eastAsiaTheme="minorEastAsia"/>
          <w:color w:val="auto"/>
          <w:szCs w:val="21"/>
          <w:highlight w:val="none"/>
        </w:rPr>
        <w:t>，本项目已具备</w:t>
      </w:r>
      <w:r>
        <w:rPr>
          <w:rFonts w:hint="eastAsia" w:asciiTheme="minorEastAsia" w:hAnsiTheme="minorEastAsia" w:eastAsiaTheme="minorEastAsia"/>
          <w:color w:val="auto"/>
          <w:szCs w:val="21"/>
          <w:highlight w:val="none"/>
        </w:rPr>
        <w:t>招标</w:t>
      </w:r>
      <w:r>
        <w:rPr>
          <w:rFonts w:asciiTheme="minorEastAsia" w:hAnsiTheme="minorEastAsia" w:eastAsiaTheme="minorEastAsia"/>
          <w:color w:val="auto"/>
          <w:szCs w:val="21"/>
          <w:highlight w:val="none"/>
        </w:rPr>
        <w:t>条件，现对本</w:t>
      </w:r>
      <w:r>
        <w:rPr>
          <w:rFonts w:hint="eastAsia" w:asciiTheme="minorEastAsia" w:hAnsiTheme="minorEastAsia" w:eastAsiaTheme="minorEastAsia"/>
          <w:color w:val="auto"/>
          <w:szCs w:val="21"/>
          <w:highlight w:val="none"/>
        </w:rPr>
        <w:t>项目</w:t>
      </w:r>
      <w:r>
        <w:rPr>
          <w:rFonts w:asciiTheme="minorEastAsia" w:hAnsiTheme="minorEastAsia" w:eastAsiaTheme="minorEastAsia"/>
          <w:color w:val="auto"/>
          <w:szCs w:val="21"/>
          <w:highlight w:val="none"/>
        </w:rPr>
        <w:t>进行</w:t>
      </w:r>
      <w:r>
        <w:rPr>
          <w:rFonts w:hint="eastAsia" w:asciiTheme="minorEastAsia" w:hAnsiTheme="minorEastAsia" w:eastAsiaTheme="minorEastAsia"/>
          <w:color w:val="auto"/>
          <w:szCs w:val="21"/>
          <w:highlight w:val="none"/>
        </w:rPr>
        <w:t>公开招标</w:t>
      </w:r>
      <w:r>
        <w:rPr>
          <w:rFonts w:asciiTheme="minorEastAsia" w:hAnsiTheme="minorEastAsia" w:eastAsiaTheme="minorEastAsia"/>
          <w:color w:val="auto"/>
          <w:szCs w:val="21"/>
          <w:highlight w:val="none"/>
        </w:rPr>
        <w:t>。</w:t>
      </w:r>
    </w:p>
    <w:p w14:paraId="45D7709D">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1.1.2采购人名称：见供应商须知前附表。</w:t>
      </w:r>
    </w:p>
    <w:p w14:paraId="75081B5C">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1.1.3采购代理机构名称：见供应商须知前附表。</w:t>
      </w:r>
    </w:p>
    <w:p w14:paraId="530EA0F1">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项目名称：见供应商须知前附表。</w:t>
      </w:r>
    </w:p>
    <w:p w14:paraId="73411597">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.1.5</w:t>
      </w:r>
      <w:r>
        <w:rPr>
          <w:rFonts w:hint="eastAsia" w:asciiTheme="minorEastAsia" w:hAnsiTheme="minorEastAsia" w:eastAsiaTheme="minorEastAsia"/>
          <w:color w:val="auto"/>
          <w:szCs w:val="21"/>
          <w:highlight w:val="none"/>
        </w:rPr>
        <w:t>交货地点：见供应商须知前附表。</w:t>
      </w:r>
    </w:p>
    <w:p w14:paraId="22E62C1B">
      <w:pPr>
        <w:spacing w:line="360" w:lineRule="auto"/>
        <w:ind w:firstLine="482"/>
        <w:outlineLvl w:val="3"/>
        <w:rPr>
          <w:rFonts w:hint="eastAsia" w:ascii="宋体" w:hAnsi="宋体"/>
          <w:b/>
          <w:bCs/>
          <w:color w:val="auto"/>
          <w:sz w:val="24"/>
          <w:szCs w:val="24"/>
          <w:highlight w:val="none"/>
        </w:rPr>
      </w:pPr>
      <w:bookmarkStart w:id="180" w:name="_Toc42267620"/>
      <w:bookmarkStart w:id="181" w:name="_Toc69678417"/>
      <w:bookmarkStart w:id="182" w:name="_Toc84356240"/>
      <w:bookmarkStart w:id="183" w:name="_Toc45976888"/>
      <w:bookmarkStart w:id="184" w:name="_Toc75783519"/>
      <w:bookmarkStart w:id="185" w:name="_Toc42204981"/>
      <w:bookmarkStart w:id="186" w:name="_Toc116583988"/>
      <w:bookmarkStart w:id="187" w:name="_Toc87543806"/>
      <w:bookmarkStart w:id="188" w:name="_Toc53412204"/>
      <w:bookmarkStart w:id="189" w:name="_Toc98864999"/>
      <w:bookmarkStart w:id="190" w:name="_Toc109809300"/>
      <w:bookmarkStart w:id="191" w:name="_Toc83753880"/>
      <w:bookmarkStart w:id="192" w:name="_Toc25268"/>
      <w:bookmarkStart w:id="193" w:name="_Toc81330927"/>
      <w:bookmarkStart w:id="194" w:name="_Toc98033922"/>
      <w:bookmarkStart w:id="195" w:name="_Toc110405122"/>
      <w:bookmarkStart w:id="196" w:name="_Toc87538357"/>
      <w:bookmarkStart w:id="197" w:name="_Toc45791342"/>
      <w:r>
        <w:rPr>
          <w:rFonts w:hint="eastAsia" w:ascii="宋体" w:hAnsi="宋体"/>
          <w:b/>
          <w:bCs/>
          <w:color w:val="auto"/>
          <w:sz w:val="24"/>
          <w:szCs w:val="24"/>
          <w:highlight w:val="none"/>
        </w:rPr>
        <w:t>1.2 资金来源和资金落实情况</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7336D129">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1.2.1资金来源：见供应商须知前附表。</w:t>
      </w:r>
    </w:p>
    <w:p w14:paraId="19030B6E">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bCs/>
          <w:color w:val="auto"/>
          <w:szCs w:val="21"/>
          <w:highlight w:val="none"/>
        </w:rPr>
        <w:t>1.2.2</w:t>
      </w:r>
      <w:r>
        <w:rPr>
          <w:rFonts w:hint="eastAsia" w:asciiTheme="minorEastAsia" w:hAnsiTheme="minorEastAsia" w:eastAsiaTheme="minorEastAsia"/>
          <w:color w:val="auto"/>
          <w:szCs w:val="21"/>
          <w:highlight w:val="none"/>
        </w:rPr>
        <w:t>资金落实情况：见供应商须知前附表。</w:t>
      </w:r>
    </w:p>
    <w:p w14:paraId="24DA466A">
      <w:pPr>
        <w:spacing w:line="360" w:lineRule="auto"/>
        <w:ind w:firstLine="482"/>
        <w:outlineLvl w:val="3"/>
        <w:rPr>
          <w:rFonts w:hint="eastAsia" w:ascii="宋体" w:hAnsi="宋体"/>
          <w:b/>
          <w:bCs/>
          <w:color w:val="auto"/>
          <w:sz w:val="24"/>
          <w:szCs w:val="24"/>
          <w:highlight w:val="none"/>
        </w:rPr>
      </w:pPr>
      <w:bookmarkStart w:id="198" w:name="_Toc98865000"/>
      <w:bookmarkStart w:id="199" w:name="_Toc98033923"/>
      <w:bookmarkStart w:id="200" w:name="_Toc27136"/>
      <w:bookmarkStart w:id="201" w:name="_Toc110405123"/>
      <w:bookmarkStart w:id="202" w:name="_Toc83753881"/>
      <w:bookmarkStart w:id="203" w:name="_Toc87543807"/>
      <w:bookmarkStart w:id="204" w:name="_Toc84356241"/>
      <w:bookmarkStart w:id="205" w:name="_Toc81330928"/>
      <w:bookmarkStart w:id="206" w:name="_Toc45976889"/>
      <w:bookmarkStart w:id="207" w:name="_Toc42267621"/>
      <w:bookmarkStart w:id="208" w:name="_Toc42204982"/>
      <w:bookmarkStart w:id="209" w:name="_Toc75783520"/>
      <w:bookmarkStart w:id="210" w:name="_Toc69678418"/>
      <w:bookmarkStart w:id="211" w:name="_Toc109809301"/>
      <w:bookmarkStart w:id="212" w:name="_Toc53412205"/>
      <w:bookmarkStart w:id="213" w:name="_Toc87538358"/>
      <w:bookmarkStart w:id="214" w:name="_Toc45791343"/>
      <w:bookmarkStart w:id="215" w:name="_Toc116583989"/>
      <w:r>
        <w:rPr>
          <w:rFonts w:hint="eastAsia" w:ascii="宋体" w:hAnsi="宋体"/>
          <w:b/>
          <w:bCs/>
          <w:color w:val="auto"/>
          <w:sz w:val="24"/>
          <w:szCs w:val="24"/>
          <w:highlight w:val="none"/>
        </w:rPr>
        <w:t>1.3 采购内容、交货期、质量</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Pr>
          <w:rFonts w:hint="eastAsia" w:ascii="宋体" w:hAnsi="宋体"/>
          <w:b/>
          <w:bCs/>
          <w:color w:val="auto"/>
          <w:sz w:val="24"/>
          <w:szCs w:val="24"/>
          <w:highlight w:val="none"/>
        </w:rPr>
        <w:t>要求</w:t>
      </w:r>
      <w:bookmarkEnd w:id="215"/>
      <w:r>
        <w:rPr>
          <w:rFonts w:hint="eastAsia" w:ascii="宋体" w:hAnsi="宋体"/>
          <w:b/>
          <w:bCs/>
          <w:color w:val="auto"/>
          <w:sz w:val="24"/>
          <w:szCs w:val="24"/>
          <w:highlight w:val="none"/>
        </w:rPr>
        <w:t>、是否接受进口产品</w:t>
      </w:r>
      <w:r>
        <w:rPr>
          <w:rFonts w:hint="eastAsia" w:ascii="宋体" w:hAnsi="宋体"/>
          <w:color w:val="auto"/>
          <w:szCs w:val="21"/>
          <w:highlight w:val="none"/>
        </w:rPr>
        <w:t>、</w:t>
      </w:r>
      <w:r>
        <w:rPr>
          <w:rFonts w:hint="eastAsia" w:ascii="宋体" w:hAnsi="宋体"/>
          <w:b/>
          <w:bCs/>
          <w:color w:val="auto"/>
          <w:sz w:val="24"/>
          <w:szCs w:val="24"/>
          <w:highlight w:val="none"/>
        </w:rPr>
        <w:t>质保期要求、包件划分</w:t>
      </w:r>
    </w:p>
    <w:p w14:paraId="64CC26F9">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1.3.1采购内容</w:t>
      </w: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见供应商须知前附表。</w:t>
      </w:r>
    </w:p>
    <w:p w14:paraId="07000FD4">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交货期：见供应商须知前附表。</w:t>
      </w:r>
    </w:p>
    <w:p w14:paraId="286BE4AD">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bookmarkStart w:id="216" w:name="OLE_LINK1"/>
      <w:bookmarkStart w:id="217" w:name="OLE_LINK2"/>
      <w:r>
        <w:rPr>
          <w:rFonts w:hint="eastAsia" w:asciiTheme="minorEastAsia" w:hAnsiTheme="minorEastAsia" w:eastAsiaTheme="minorEastAsia"/>
          <w:color w:val="auto"/>
          <w:szCs w:val="21"/>
          <w:highlight w:val="none"/>
        </w:rPr>
        <w:t>3.3质量要求：</w:t>
      </w:r>
      <w:bookmarkEnd w:id="216"/>
      <w:bookmarkEnd w:id="217"/>
      <w:r>
        <w:rPr>
          <w:rFonts w:hint="eastAsia" w:asciiTheme="minorEastAsia" w:hAnsiTheme="minorEastAsia" w:eastAsiaTheme="minorEastAsia"/>
          <w:color w:val="auto"/>
          <w:szCs w:val="21"/>
          <w:highlight w:val="none"/>
        </w:rPr>
        <w:t>见供应商须知前附表。</w:t>
      </w:r>
    </w:p>
    <w:p w14:paraId="4E307E37">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1.3.4是否接受进口产品：见供应商须知前附表。</w:t>
      </w:r>
    </w:p>
    <w:p w14:paraId="3566D4C1">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1.3.5质保期要求：见供应商须知前附表。</w:t>
      </w:r>
    </w:p>
    <w:p w14:paraId="44FCC29C">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1.3.6包件划分：见供应商须知前附表。</w:t>
      </w:r>
    </w:p>
    <w:p w14:paraId="2FC2B3FD">
      <w:pPr>
        <w:spacing w:line="360" w:lineRule="auto"/>
        <w:ind w:firstLine="482"/>
        <w:outlineLvl w:val="3"/>
        <w:rPr>
          <w:rFonts w:hint="eastAsia" w:ascii="宋体" w:hAnsi="宋体"/>
          <w:b/>
          <w:bCs/>
          <w:color w:val="auto"/>
          <w:sz w:val="24"/>
          <w:szCs w:val="24"/>
          <w:highlight w:val="none"/>
        </w:rPr>
      </w:pPr>
      <w:bookmarkStart w:id="218" w:name="_Toc42267622"/>
      <w:bookmarkStart w:id="219" w:name="_Toc2751"/>
      <w:bookmarkStart w:id="220" w:name="_Toc75783521"/>
      <w:bookmarkStart w:id="221" w:name="_Toc45976890"/>
      <w:bookmarkStart w:id="222" w:name="_Toc84356242"/>
      <w:bookmarkStart w:id="223" w:name="_Toc87538359"/>
      <w:bookmarkStart w:id="224" w:name="_Toc87543808"/>
      <w:bookmarkStart w:id="225" w:name="_Toc109809302"/>
      <w:bookmarkStart w:id="226" w:name="_Toc53412206"/>
      <w:bookmarkStart w:id="227" w:name="_Toc116583990"/>
      <w:bookmarkStart w:id="228" w:name="_Toc45791344"/>
      <w:bookmarkStart w:id="229" w:name="_Toc42204983"/>
      <w:bookmarkStart w:id="230" w:name="_Toc81330929"/>
      <w:bookmarkStart w:id="231" w:name="_Toc110405124"/>
      <w:bookmarkStart w:id="232" w:name="_Toc98033924"/>
      <w:bookmarkStart w:id="233" w:name="_Toc69678419"/>
      <w:bookmarkStart w:id="234" w:name="_Toc98865001"/>
      <w:bookmarkStart w:id="235" w:name="_Toc83753882"/>
      <w:r>
        <w:rPr>
          <w:rFonts w:hint="eastAsia" w:ascii="宋体" w:hAnsi="宋体"/>
          <w:b/>
          <w:bCs/>
          <w:color w:val="auto"/>
          <w:sz w:val="24"/>
          <w:szCs w:val="24"/>
          <w:highlight w:val="none"/>
        </w:rPr>
        <w:t>1.4 供应商资格要求</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5B7FB82A">
      <w:pPr>
        <w:autoSpaceDE w:val="0"/>
        <w:autoSpaceDN w:val="0"/>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1.4.1 供应商资格要求：见供应商须知前附表。</w:t>
      </w:r>
    </w:p>
    <w:p w14:paraId="4DC9197E">
      <w:pPr>
        <w:autoSpaceDE w:val="0"/>
        <w:autoSpaceDN w:val="0"/>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 xml:space="preserve"> 是否接受联合体投标：见供应商须知前附表。</w:t>
      </w:r>
    </w:p>
    <w:p w14:paraId="36E3E8BE">
      <w:pPr>
        <w:tabs>
          <w:tab w:val="left" w:pos="900"/>
        </w:tabs>
        <w:autoSpaceDE w:val="0"/>
        <w:autoSpaceDN w:val="0"/>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 xml:space="preserve"> 供应商不得存在下列情形之一：</w:t>
      </w:r>
    </w:p>
    <w:p w14:paraId="60647F10">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（1）被责令停业的；</w:t>
      </w:r>
    </w:p>
    <w:p w14:paraId="0A6B71F1">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（2）被暂停或取消投标资格的；</w:t>
      </w:r>
    </w:p>
    <w:p w14:paraId="56FED7F5">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（3）财产被接管或冻结的；</w:t>
      </w:r>
    </w:p>
    <w:p w14:paraId="09AFAEB2">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（4）在最近三年内有骗取中标或严重违约或重大质量问题的；</w:t>
      </w:r>
    </w:p>
    <w:p w14:paraId="33CD8A3A">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（5）提供虚假材料谋取中标的；</w:t>
      </w:r>
    </w:p>
    <w:p w14:paraId="6F3CA94F">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（6）采取不正当手段诋毁、排挤其他供应商的；</w:t>
      </w:r>
    </w:p>
    <w:p w14:paraId="05383E87">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（7）与采购人、其他供应商或者采购代理机构恶意串通的；</w:t>
      </w:r>
    </w:p>
    <w:p w14:paraId="59C37A36">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（8）向采购人、采购代理机构行贿或者提供其他不正当利益的；</w:t>
      </w:r>
    </w:p>
    <w:p w14:paraId="3B345A29">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（9）在招标投标过程中与采购人进行协商投标的；</w:t>
      </w:r>
    </w:p>
    <w:p w14:paraId="6273A9FD">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（10）拒绝有关部门监督检查或者提供虚假情况的。</w:t>
      </w:r>
    </w:p>
    <w:p w14:paraId="0A4D399D">
      <w:pPr>
        <w:tabs>
          <w:tab w:val="left" w:pos="900"/>
        </w:tabs>
        <w:autoSpaceDE w:val="0"/>
        <w:autoSpaceDN w:val="0"/>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供应商有第（5）至（9）项情形之一的，中标无效。 </w:t>
      </w:r>
    </w:p>
    <w:p w14:paraId="4FA7E253">
      <w:pPr>
        <w:spacing w:line="360" w:lineRule="auto"/>
        <w:ind w:firstLine="482"/>
        <w:outlineLvl w:val="3"/>
        <w:rPr>
          <w:rFonts w:hint="eastAsia" w:ascii="宋体" w:hAnsi="宋体"/>
          <w:b/>
          <w:bCs/>
          <w:color w:val="auto"/>
          <w:sz w:val="24"/>
          <w:szCs w:val="24"/>
          <w:highlight w:val="none"/>
        </w:rPr>
      </w:pPr>
      <w:bookmarkStart w:id="236" w:name="_Toc42267623"/>
      <w:bookmarkStart w:id="237" w:name="_Toc11916"/>
      <w:bookmarkStart w:id="238" w:name="_Toc87538360"/>
      <w:bookmarkStart w:id="239" w:name="_Toc42204984"/>
      <w:bookmarkStart w:id="240" w:name="_Toc109809303"/>
      <w:bookmarkStart w:id="241" w:name="_Toc83753883"/>
      <w:bookmarkStart w:id="242" w:name="_Toc98033925"/>
      <w:bookmarkStart w:id="243" w:name="_Toc116583991"/>
      <w:bookmarkStart w:id="244" w:name="_Toc75783522"/>
      <w:bookmarkStart w:id="245" w:name="_Toc69678420"/>
      <w:bookmarkStart w:id="246" w:name="_Toc87543809"/>
      <w:bookmarkStart w:id="247" w:name="_Toc53412207"/>
      <w:bookmarkStart w:id="248" w:name="_Toc45976891"/>
      <w:bookmarkStart w:id="249" w:name="_Toc45791345"/>
      <w:bookmarkStart w:id="250" w:name="_Toc110405125"/>
      <w:bookmarkStart w:id="251" w:name="_Toc81330930"/>
      <w:bookmarkStart w:id="252" w:name="_Toc84356243"/>
      <w:bookmarkStart w:id="253" w:name="_Toc98865002"/>
      <w:r>
        <w:rPr>
          <w:rFonts w:hint="eastAsia" w:ascii="宋体" w:hAnsi="宋体"/>
          <w:b/>
          <w:bCs/>
          <w:color w:val="auto"/>
          <w:sz w:val="24"/>
          <w:szCs w:val="24"/>
          <w:highlight w:val="none"/>
        </w:rPr>
        <w:t>1.5 费用承担</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6A25D05">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bookmarkStart w:id="254" w:name="_Toc53412208"/>
      <w:bookmarkStart w:id="255" w:name="_Toc42267624"/>
      <w:bookmarkStart w:id="256" w:name="_Toc45791346"/>
      <w:bookmarkStart w:id="257" w:name="_Toc45976892"/>
      <w:bookmarkStart w:id="258" w:name="_Toc42204985"/>
      <w:r>
        <w:rPr>
          <w:rFonts w:hint="eastAsia" w:asciiTheme="minorEastAsia" w:hAnsiTheme="minorEastAsia" w:eastAsiaTheme="minorEastAsia"/>
          <w:color w:val="auto"/>
          <w:szCs w:val="21"/>
          <w:highlight w:val="none"/>
        </w:rPr>
        <w:t>见供应商须知前附表。</w:t>
      </w:r>
    </w:p>
    <w:p w14:paraId="4DD784F9">
      <w:pPr>
        <w:spacing w:line="360" w:lineRule="auto"/>
        <w:ind w:firstLine="482"/>
        <w:outlineLvl w:val="3"/>
        <w:rPr>
          <w:rFonts w:hint="eastAsia" w:ascii="宋体" w:hAnsi="宋体"/>
          <w:b/>
          <w:bCs/>
          <w:color w:val="auto"/>
          <w:sz w:val="24"/>
          <w:szCs w:val="24"/>
          <w:highlight w:val="none"/>
        </w:rPr>
      </w:pPr>
      <w:bookmarkStart w:id="259" w:name="_Toc87538361"/>
      <w:bookmarkStart w:id="260" w:name="_Toc84356244"/>
      <w:bookmarkStart w:id="261" w:name="_Toc75783523"/>
      <w:bookmarkStart w:id="262" w:name="_Toc87543810"/>
      <w:bookmarkStart w:id="263" w:name="_Toc98033926"/>
      <w:bookmarkStart w:id="264" w:name="_Toc98865003"/>
      <w:bookmarkStart w:id="265" w:name="_Toc109809304"/>
      <w:bookmarkStart w:id="266" w:name="_Toc116583992"/>
      <w:bookmarkStart w:id="267" w:name="_Toc29495"/>
      <w:bookmarkStart w:id="268" w:name="_Toc110405126"/>
      <w:bookmarkStart w:id="269" w:name="_Toc69678421"/>
      <w:bookmarkStart w:id="270" w:name="_Toc83753884"/>
      <w:bookmarkStart w:id="271" w:name="_Toc81330931"/>
      <w:r>
        <w:rPr>
          <w:rFonts w:hint="eastAsia" w:ascii="宋体" w:hAnsi="宋体"/>
          <w:b/>
          <w:bCs/>
          <w:color w:val="auto"/>
          <w:sz w:val="24"/>
          <w:szCs w:val="24"/>
          <w:highlight w:val="none"/>
        </w:rPr>
        <w:t>1.6 保密</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60151D8C">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参与投标的各方应对</w:t>
      </w:r>
      <w:r>
        <w:rPr>
          <w:rFonts w:hint="eastAsia" w:asciiTheme="minorEastAsia" w:hAnsiTheme="minorEastAsia" w:eastAsiaTheme="minorEastAsia"/>
          <w:snapToGrid w:val="0"/>
          <w:color w:val="auto"/>
          <w:kern w:val="0"/>
          <w:szCs w:val="21"/>
          <w:highlight w:val="none"/>
        </w:rPr>
        <w:t>采购文件</w:t>
      </w:r>
      <w:r>
        <w:rPr>
          <w:rFonts w:hint="eastAsia" w:asciiTheme="minorEastAsia" w:hAnsiTheme="minorEastAsia" w:eastAsiaTheme="minorEastAsia"/>
          <w:color w:val="auto"/>
          <w:szCs w:val="21"/>
          <w:highlight w:val="none"/>
        </w:rPr>
        <w:t>和投标文件中的商业、技术等秘密保密，违者应对由此造成的后果承担法律责任。</w:t>
      </w:r>
    </w:p>
    <w:p w14:paraId="251B5C94">
      <w:pPr>
        <w:spacing w:line="360" w:lineRule="auto"/>
        <w:ind w:firstLine="482"/>
        <w:outlineLvl w:val="3"/>
        <w:rPr>
          <w:rFonts w:hint="eastAsia" w:ascii="宋体" w:hAnsi="宋体"/>
          <w:b/>
          <w:bCs/>
          <w:color w:val="auto"/>
          <w:sz w:val="24"/>
          <w:szCs w:val="24"/>
          <w:highlight w:val="none"/>
        </w:rPr>
      </w:pPr>
      <w:bookmarkStart w:id="272" w:name="_Toc98033927"/>
      <w:bookmarkStart w:id="273" w:name="_Toc75783524"/>
      <w:bookmarkStart w:id="274" w:name="_Toc87543811"/>
      <w:bookmarkStart w:id="275" w:name="_Toc83753885"/>
      <w:bookmarkStart w:id="276" w:name="_Toc84356245"/>
      <w:bookmarkStart w:id="277" w:name="_Toc109809305"/>
      <w:bookmarkStart w:id="278" w:name="_Toc81330932"/>
      <w:bookmarkStart w:id="279" w:name="_Toc110405127"/>
      <w:bookmarkStart w:id="280" w:name="_Toc116583993"/>
      <w:bookmarkStart w:id="281" w:name="_Toc45791347"/>
      <w:bookmarkStart w:id="282" w:name="_Toc98865004"/>
      <w:bookmarkStart w:id="283" w:name="_Toc42204986"/>
      <w:bookmarkStart w:id="284" w:name="_Toc3702"/>
      <w:bookmarkStart w:id="285" w:name="_Toc42267625"/>
      <w:bookmarkStart w:id="286" w:name="_Toc87538362"/>
      <w:bookmarkStart w:id="287" w:name="_Toc45976893"/>
      <w:bookmarkStart w:id="288" w:name="_Toc69678422"/>
      <w:bookmarkStart w:id="289" w:name="_Toc53412209"/>
      <w:r>
        <w:rPr>
          <w:rFonts w:hint="eastAsia" w:ascii="宋体" w:hAnsi="宋体"/>
          <w:b/>
          <w:bCs/>
          <w:color w:val="auto"/>
          <w:sz w:val="24"/>
          <w:szCs w:val="24"/>
          <w:highlight w:val="none"/>
        </w:rPr>
        <w:t>1.7 语言文字</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25BB4FA4">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除专用术语外，与投标有关的语言均使用中文。必要时专用术语应附有中文注释。</w:t>
      </w:r>
    </w:p>
    <w:p w14:paraId="1DEB110F">
      <w:pPr>
        <w:spacing w:line="360" w:lineRule="auto"/>
        <w:ind w:firstLine="482"/>
        <w:outlineLvl w:val="3"/>
        <w:rPr>
          <w:rFonts w:hint="eastAsia" w:ascii="宋体" w:hAnsi="宋体"/>
          <w:b/>
          <w:bCs/>
          <w:color w:val="auto"/>
          <w:sz w:val="24"/>
          <w:szCs w:val="24"/>
          <w:highlight w:val="none"/>
        </w:rPr>
      </w:pPr>
      <w:bookmarkStart w:id="290" w:name="_Toc110405128"/>
      <w:bookmarkStart w:id="291" w:name="_Toc98033928"/>
      <w:bookmarkStart w:id="292" w:name="_Toc87543812"/>
      <w:bookmarkStart w:id="293" w:name="_Toc116583994"/>
      <w:bookmarkStart w:id="294" w:name="_Toc45791348"/>
      <w:bookmarkStart w:id="295" w:name="_Toc83753886"/>
      <w:bookmarkStart w:id="296" w:name="_Toc42267626"/>
      <w:bookmarkStart w:id="297" w:name="_Toc81330933"/>
      <w:bookmarkStart w:id="298" w:name="_Toc69678423"/>
      <w:bookmarkStart w:id="299" w:name="_Toc75783525"/>
      <w:bookmarkStart w:id="300" w:name="_Toc53412210"/>
      <w:bookmarkStart w:id="301" w:name="_Toc45976894"/>
      <w:bookmarkStart w:id="302" w:name="_Toc42204987"/>
      <w:bookmarkStart w:id="303" w:name="_Toc98865005"/>
      <w:bookmarkStart w:id="304" w:name="_Toc21668"/>
      <w:bookmarkStart w:id="305" w:name="_Toc109809306"/>
      <w:bookmarkStart w:id="306" w:name="_Toc87538363"/>
      <w:bookmarkStart w:id="307" w:name="_Toc84356246"/>
      <w:r>
        <w:rPr>
          <w:rFonts w:hint="eastAsia" w:ascii="宋体" w:hAnsi="宋体"/>
          <w:b/>
          <w:bCs/>
          <w:color w:val="auto"/>
          <w:sz w:val="24"/>
          <w:szCs w:val="24"/>
          <w:highlight w:val="none"/>
        </w:rPr>
        <w:t>1.8 计量单位</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5DFA350E">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所有计量均采用中华人民共和国法定计量单位。</w:t>
      </w:r>
    </w:p>
    <w:p w14:paraId="62D2344C">
      <w:pPr>
        <w:spacing w:line="360" w:lineRule="auto"/>
        <w:ind w:firstLine="482"/>
        <w:outlineLvl w:val="3"/>
        <w:rPr>
          <w:rFonts w:hint="eastAsia" w:ascii="宋体" w:hAnsi="宋体"/>
          <w:b/>
          <w:bCs/>
          <w:color w:val="auto"/>
          <w:sz w:val="24"/>
          <w:szCs w:val="24"/>
          <w:highlight w:val="none"/>
        </w:rPr>
      </w:pPr>
      <w:bookmarkStart w:id="308" w:name="_Toc45976895"/>
      <w:bookmarkStart w:id="309" w:name="_Toc83753887"/>
      <w:bookmarkStart w:id="310" w:name="_Toc87543813"/>
      <w:bookmarkStart w:id="311" w:name="_Toc75783526"/>
      <w:bookmarkStart w:id="312" w:name="_Toc110405129"/>
      <w:bookmarkStart w:id="313" w:name="_Toc98865006"/>
      <w:bookmarkStart w:id="314" w:name="_Toc109809307"/>
      <w:bookmarkStart w:id="315" w:name="_Toc69678424"/>
      <w:bookmarkStart w:id="316" w:name="_Toc45791349"/>
      <w:bookmarkStart w:id="317" w:name="_Toc42267627"/>
      <w:bookmarkStart w:id="318" w:name="_Toc32582"/>
      <w:bookmarkStart w:id="319" w:name="_Toc98033929"/>
      <w:bookmarkStart w:id="320" w:name="_Toc81330934"/>
      <w:bookmarkStart w:id="321" w:name="_Toc116583995"/>
      <w:bookmarkStart w:id="322" w:name="_Toc42204988"/>
      <w:bookmarkStart w:id="323" w:name="_Toc53412211"/>
      <w:bookmarkStart w:id="324" w:name="_Toc84356247"/>
      <w:bookmarkStart w:id="325" w:name="_Toc87538364"/>
      <w:r>
        <w:rPr>
          <w:rFonts w:hint="eastAsia" w:ascii="宋体" w:hAnsi="宋体"/>
          <w:b/>
          <w:bCs/>
          <w:color w:val="auto"/>
          <w:sz w:val="24"/>
          <w:szCs w:val="24"/>
          <w:highlight w:val="none"/>
        </w:rPr>
        <w:t>1.9 踏勘现场</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352D3C20">
      <w:pPr>
        <w:spacing w:line="360" w:lineRule="auto"/>
        <w:ind w:firstLine="420" w:firstLineChars="200"/>
        <w:rPr>
          <w:rFonts w:hint="eastAsia"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见供应商须知前附表。</w:t>
      </w:r>
    </w:p>
    <w:p w14:paraId="23685C69">
      <w:pPr>
        <w:spacing w:line="360" w:lineRule="auto"/>
        <w:ind w:firstLine="482"/>
        <w:outlineLvl w:val="3"/>
        <w:rPr>
          <w:rFonts w:hint="eastAsia" w:ascii="宋体" w:hAnsi="宋体"/>
          <w:b/>
          <w:bCs/>
          <w:color w:val="auto"/>
          <w:sz w:val="24"/>
          <w:szCs w:val="24"/>
          <w:highlight w:val="none"/>
        </w:rPr>
      </w:pPr>
      <w:bookmarkStart w:id="326" w:name="_Toc98865007"/>
      <w:bookmarkStart w:id="327" w:name="_Toc30991"/>
      <w:bookmarkStart w:id="328" w:name="_Toc83753888"/>
      <w:bookmarkStart w:id="329" w:name="_Toc45791350"/>
      <w:bookmarkStart w:id="330" w:name="_Toc87543814"/>
      <w:bookmarkStart w:id="331" w:name="_Toc98033930"/>
      <w:bookmarkStart w:id="332" w:name="_Toc42267628"/>
      <w:bookmarkStart w:id="333" w:name="_Toc42204989"/>
      <w:bookmarkStart w:id="334" w:name="_Toc53412212"/>
      <w:bookmarkStart w:id="335" w:name="_Toc75783527"/>
      <w:bookmarkStart w:id="336" w:name="_Toc81330935"/>
      <w:bookmarkStart w:id="337" w:name="_Toc87538365"/>
      <w:bookmarkStart w:id="338" w:name="_Toc110405130"/>
      <w:bookmarkStart w:id="339" w:name="_Toc69678425"/>
      <w:bookmarkStart w:id="340" w:name="_Toc109809308"/>
      <w:bookmarkStart w:id="341" w:name="_Toc84356248"/>
      <w:bookmarkStart w:id="342" w:name="_Toc45976896"/>
      <w:bookmarkStart w:id="343" w:name="_Toc116583996"/>
      <w:r>
        <w:rPr>
          <w:rFonts w:hint="eastAsia" w:ascii="宋体" w:hAnsi="宋体"/>
          <w:b/>
          <w:bCs/>
          <w:color w:val="auto"/>
          <w:sz w:val="24"/>
          <w:szCs w:val="24"/>
          <w:highlight w:val="none"/>
        </w:rPr>
        <w:t>1.10 投标预备会</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75ADF83D">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1.10.1本次投标不组织投标预备会。</w:t>
      </w:r>
    </w:p>
    <w:p w14:paraId="2E194308">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1.10.2供应商的询问及答复的规定：见供应商须知前附表。</w:t>
      </w:r>
    </w:p>
    <w:p w14:paraId="1A2D61F3">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1.10.3采购人澄清的时间和方法：见供应商须知前附表。</w:t>
      </w:r>
    </w:p>
    <w:p w14:paraId="5A136B29">
      <w:pPr>
        <w:spacing w:line="360" w:lineRule="auto"/>
        <w:ind w:firstLine="482"/>
        <w:outlineLvl w:val="3"/>
        <w:rPr>
          <w:rFonts w:hint="eastAsia" w:ascii="宋体" w:hAnsi="宋体"/>
          <w:b/>
          <w:bCs/>
          <w:color w:val="auto"/>
          <w:sz w:val="24"/>
          <w:szCs w:val="24"/>
          <w:highlight w:val="none"/>
        </w:rPr>
      </w:pPr>
      <w:bookmarkStart w:id="344" w:name="_Toc53412213"/>
      <w:bookmarkStart w:id="345" w:name="_Toc75783528"/>
      <w:bookmarkStart w:id="346" w:name="_Toc45791351"/>
      <w:bookmarkStart w:id="347" w:name="_Toc87543815"/>
      <w:bookmarkStart w:id="348" w:name="_Toc109809309"/>
      <w:bookmarkStart w:id="349" w:name="_Toc69678426"/>
      <w:bookmarkStart w:id="350" w:name="_Toc2836"/>
      <w:bookmarkStart w:id="351" w:name="_Toc87538366"/>
      <w:bookmarkStart w:id="352" w:name="_Toc84356249"/>
      <w:bookmarkStart w:id="353" w:name="_Toc98033931"/>
      <w:bookmarkStart w:id="354" w:name="_Toc83753889"/>
      <w:bookmarkStart w:id="355" w:name="_Toc98865008"/>
      <w:bookmarkStart w:id="356" w:name="_Toc45976897"/>
      <w:bookmarkStart w:id="357" w:name="_Toc42204990"/>
      <w:bookmarkStart w:id="358" w:name="_Toc116583997"/>
      <w:bookmarkStart w:id="359" w:name="_Toc42267629"/>
      <w:bookmarkStart w:id="360" w:name="_Toc81330936"/>
      <w:bookmarkStart w:id="361" w:name="_Toc110405131"/>
      <w:r>
        <w:rPr>
          <w:rFonts w:hint="eastAsia" w:ascii="宋体" w:hAnsi="宋体"/>
          <w:b/>
          <w:bCs/>
          <w:color w:val="auto"/>
          <w:sz w:val="24"/>
          <w:szCs w:val="24"/>
          <w:highlight w:val="none"/>
        </w:rPr>
        <w:t>1.11 分包</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3602F377">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见供应商须知前附表。</w:t>
      </w:r>
    </w:p>
    <w:p w14:paraId="2A42E177">
      <w:pPr>
        <w:spacing w:line="360" w:lineRule="auto"/>
        <w:ind w:firstLine="482"/>
        <w:outlineLvl w:val="3"/>
        <w:rPr>
          <w:rFonts w:hint="eastAsia" w:ascii="宋体" w:hAnsi="宋体"/>
          <w:b/>
          <w:bCs/>
          <w:color w:val="auto"/>
          <w:sz w:val="24"/>
          <w:szCs w:val="24"/>
          <w:highlight w:val="none"/>
        </w:rPr>
      </w:pPr>
      <w:bookmarkStart w:id="362" w:name="_Toc81330937"/>
      <w:bookmarkStart w:id="363" w:name="_Toc53412214"/>
      <w:bookmarkStart w:id="364" w:name="_Toc110405132"/>
      <w:bookmarkStart w:id="365" w:name="_Toc69678427"/>
      <w:bookmarkStart w:id="366" w:name="_Toc87538367"/>
      <w:bookmarkStart w:id="367" w:name="_Toc116583998"/>
      <w:bookmarkStart w:id="368" w:name="_Toc87543816"/>
      <w:bookmarkStart w:id="369" w:name="_Toc75783529"/>
      <w:bookmarkStart w:id="370" w:name="_Toc45976898"/>
      <w:bookmarkStart w:id="371" w:name="_Toc109809310"/>
      <w:bookmarkStart w:id="372" w:name="_Toc45791352"/>
      <w:bookmarkStart w:id="373" w:name="_Toc42267630"/>
      <w:bookmarkStart w:id="374" w:name="_Toc84356250"/>
      <w:bookmarkStart w:id="375" w:name="_Toc98033932"/>
      <w:bookmarkStart w:id="376" w:name="_Toc98865009"/>
      <w:bookmarkStart w:id="377" w:name="_Toc20888"/>
      <w:bookmarkStart w:id="378" w:name="_Toc42204991"/>
      <w:bookmarkStart w:id="379" w:name="_Toc83753890"/>
      <w:r>
        <w:rPr>
          <w:rFonts w:hint="eastAsia" w:ascii="宋体" w:hAnsi="宋体"/>
          <w:b/>
          <w:bCs/>
          <w:color w:val="auto"/>
          <w:sz w:val="24"/>
          <w:szCs w:val="24"/>
          <w:highlight w:val="none"/>
        </w:rPr>
        <w:t>1.12 偏离</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62D065C6">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见供应商须知前附表。</w:t>
      </w:r>
    </w:p>
    <w:p w14:paraId="6FDD4B12">
      <w:pPr>
        <w:spacing w:line="360" w:lineRule="auto"/>
        <w:jc w:val="center"/>
        <w:outlineLvl w:val="2"/>
        <w:rPr>
          <w:rFonts w:hint="eastAsia" w:asciiTheme="minorEastAsia" w:hAnsiTheme="minorEastAsia" w:eastAsiaTheme="minorEastAsia"/>
          <w:b/>
          <w:bCs/>
          <w:color w:val="auto"/>
          <w:sz w:val="28"/>
          <w:szCs w:val="28"/>
          <w:highlight w:val="none"/>
        </w:rPr>
      </w:pPr>
      <w:bookmarkStart w:id="380" w:name="_Toc45791353"/>
      <w:bookmarkStart w:id="381" w:name="_Toc87538368"/>
      <w:bookmarkStart w:id="382" w:name="_Toc83753891"/>
      <w:bookmarkStart w:id="383" w:name="_Toc45976899"/>
      <w:bookmarkStart w:id="384" w:name="_Toc84356251"/>
      <w:bookmarkStart w:id="385" w:name="_Toc98033933"/>
      <w:bookmarkStart w:id="386" w:name="_Toc42267631"/>
      <w:bookmarkStart w:id="387" w:name="_Toc42204992"/>
      <w:bookmarkStart w:id="388" w:name="_Toc87543817"/>
      <w:bookmarkStart w:id="389" w:name="_Toc116583999"/>
      <w:bookmarkStart w:id="390" w:name="_Toc22595"/>
      <w:bookmarkStart w:id="391" w:name="_Toc98865010"/>
      <w:bookmarkStart w:id="392" w:name="_Toc110405133"/>
      <w:bookmarkStart w:id="393" w:name="_Toc109809311"/>
      <w:r>
        <w:rPr>
          <w:rFonts w:hint="eastAsia" w:asciiTheme="minorEastAsia" w:hAnsiTheme="minorEastAsia" w:eastAsiaTheme="minorEastAsia"/>
          <w:b/>
          <w:bCs/>
          <w:color w:val="auto"/>
          <w:sz w:val="28"/>
          <w:szCs w:val="28"/>
          <w:highlight w:val="none"/>
        </w:rPr>
        <w:t>2.</w:t>
      </w:r>
      <w:bookmarkEnd w:id="380"/>
      <w:bookmarkEnd w:id="381"/>
      <w:bookmarkEnd w:id="382"/>
      <w:bookmarkEnd w:id="383"/>
      <w:bookmarkEnd w:id="384"/>
      <w:bookmarkEnd w:id="385"/>
      <w:bookmarkEnd w:id="386"/>
      <w:bookmarkEnd w:id="387"/>
      <w:bookmarkEnd w:id="388"/>
      <w:r>
        <w:rPr>
          <w:rFonts w:hint="eastAsia" w:asciiTheme="minorEastAsia" w:hAnsiTheme="minorEastAsia" w:eastAsiaTheme="minorEastAsia"/>
          <w:b/>
          <w:bCs/>
          <w:color w:val="auto"/>
          <w:sz w:val="28"/>
          <w:szCs w:val="28"/>
          <w:highlight w:val="none"/>
        </w:rPr>
        <w:t>采购文件</w:t>
      </w:r>
      <w:bookmarkEnd w:id="389"/>
      <w:bookmarkEnd w:id="390"/>
      <w:bookmarkEnd w:id="391"/>
      <w:bookmarkEnd w:id="392"/>
      <w:bookmarkEnd w:id="393"/>
    </w:p>
    <w:p w14:paraId="1795F232">
      <w:pPr>
        <w:spacing w:line="360" w:lineRule="auto"/>
        <w:ind w:firstLine="482"/>
        <w:outlineLvl w:val="3"/>
        <w:rPr>
          <w:rFonts w:hint="eastAsia" w:ascii="宋体" w:hAnsi="宋体"/>
          <w:b/>
          <w:bCs/>
          <w:color w:val="auto"/>
          <w:sz w:val="24"/>
          <w:szCs w:val="24"/>
          <w:highlight w:val="none"/>
        </w:rPr>
      </w:pPr>
      <w:bookmarkStart w:id="394" w:name="_Toc98865011"/>
      <w:bookmarkStart w:id="395" w:name="_Toc98033934"/>
      <w:bookmarkStart w:id="396" w:name="_Toc1486"/>
      <w:bookmarkStart w:id="397" w:name="_Toc42267632"/>
      <w:bookmarkStart w:id="398" w:name="_Toc83753892"/>
      <w:bookmarkStart w:id="399" w:name="_Toc53412216"/>
      <w:bookmarkStart w:id="400" w:name="_Toc87538369"/>
      <w:bookmarkStart w:id="401" w:name="_Toc84356252"/>
      <w:bookmarkStart w:id="402" w:name="_Toc75783531"/>
      <w:bookmarkStart w:id="403" w:name="_Toc110405134"/>
      <w:bookmarkStart w:id="404" w:name="_Toc116584000"/>
      <w:bookmarkStart w:id="405" w:name="_Toc109809312"/>
      <w:bookmarkStart w:id="406" w:name="_Toc87543818"/>
      <w:bookmarkStart w:id="407" w:name="_Toc69678429"/>
      <w:bookmarkStart w:id="408" w:name="_Toc42204993"/>
      <w:bookmarkStart w:id="409" w:name="_Toc45976900"/>
      <w:bookmarkStart w:id="410" w:name="_Toc45791354"/>
      <w:bookmarkStart w:id="411" w:name="_Toc81330939"/>
      <w:r>
        <w:rPr>
          <w:rFonts w:hint="eastAsia" w:ascii="宋体" w:hAnsi="宋体"/>
          <w:b/>
          <w:bCs/>
          <w:color w:val="auto"/>
          <w:sz w:val="24"/>
          <w:szCs w:val="24"/>
          <w:highlight w:val="none"/>
        </w:rPr>
        <w:t>2.1采购文件的构成</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6E7916FE">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采购文件包括以下内容：</w:t>
      </w:r>
    </w:p>
    <w:p w14:paraId="3673FC45">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第一章 公开招标公告</w:t>
      </w:r>
    </w:p>
    <w:p w14:paraId="1AA1AF6C">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第二章 供应商须知</w:t>
      </w:r>
    </w:p>
    <w:p w14:paraId="47D3793B">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第三章 合同条款及格式</w:t>
      </w:r>
    </w:p>
    <w:p w14:paraId="16DEB2B7">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第四章 投标文件格式</w:t>
      </w:r>
    </w:p>
    <w:p w14:paraId="787AC7A1">
      <w:pPr>
        <w:adjustRightInd w:val="0"/>
        <w:snapToGrid w:val="0"/>
        <w:spacing w:line="360" w:lineRule="auto"/>
        <w:ind w:firstLine="420" w:firstLineChars="200"/>
        <w:rPr>
          <w:rFonts w:hint="eastAsia" w:asciiTheme="minorEastAsia" w:hAnsiTheme="minorEastAsia" w:eastAsiaTheme="minorEastAsia"/>
          <w:color w:val="auto"/>
          <w:szCs w:val="32"/>
          <w:highlight w:val="none"/>
        </w:rPr>
      </w:pPr>
      <w:r>
        <w:rPr>
          <w:rFonts w:hint="eastAsia" w:asciiTheme="minorEastAsia" w:hAnsiTheme="minorEastAsia" w:eastAsiaTheme="minorEastAsia"/>
          <w:color w:val="auto"/>
          <w:szCs w:val="21"/>
          <w:highlight w:val="none"/>
        </w:rPr>
        <w:t>第五章 采购清单及要求</w:t>
      </w:r>
    </w:p>
    <w:p w14:paraId="194971B0">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第六章 资格审查</w:t>
      </w:r>
    </w:p>
    <w:p w14:paraId="319B2CB4">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第七章 评标办法（综合评分法）</w:t>
      </w:r>
    </w:p>
    <w:p w14:paraId="290EBEF9">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2.1.1构成采购文件的其他文件：根据本章第1.10款、第2.2 款和第2.3 款采购人对</w:t>
      </w:r>
      <w:r>
        <w:rPr>
          <w:rFonts w:hint="eastAsia" w:asciiTheme="minorEastAsia" w:hAnsiTheme="minorEastAsia" w:eastAsiaTheme="minorEastAsia"/>
          <w:snapToGrid w:val="0"/>
          <w:color w:val="auto"/>
          <w:kern w:val="0"/>
          <w:szCs w:val="21"/>
          <w:highlight w:val="none"/>
        </w:rPr>
        <w:t>采购文件</w:t>
      </w:r>
      <w:r>
        <w:rPr>
          <w:rFonts w:hint="eastAsia" w:asciiTheme="minorEastAsia" w:hAnsiTheme="minorEastAsia" w:eastAsiaTheme="minorEastAsia"/>
          <w:color w:val="auto"/>
          <w:szCs w:val="28"/>
          <w:highlight w:val="none"/>
        </w:rPr>
        <w:t>所作的澄清、修改，构成采购文件的组成部分。</w:t>
      </w:r>
    </w:p>
    <w:p w14:paraId="35C1182C">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2.1.2投标过程中可能实质性变动的内容：在投标过程中，评标委员会可以根据</w:t>
      </w:r>
      <w:r>
        <w:rPr>
          <w:rFonts w:hint="eastAsia" w:asciiTheme="minorEastAsia" w:hAnsiTheme="minorEastAsia" w:eastAsiaTheme="minorEastAsia"/>
          <w:snapToGrid w:val="0"/>
          <w:color w:val="auto"/>
          <w:kern w:val="0"/>
          <w:szCs w:val="21"/>
          <w:highlight w:val="none"/>
        </w:rPr>
        <w:t>采购文件</w:t>
      </w:r>
      <w:r>
        <w:rPr>
          <w:rFonts w:hint="eastAsia" w:asciiTheme="minorEastAsia" w:hAnsiTheme="minorEastAsia" w:eastAsiaTheme="minorEastAsia"/>
          <w:color w:val="auto"/>
          <w:szCs w:val="21"/>
          <w:highlight w:val="none"/>
        </w:rPr>
        <w:t>和投标情况实质性变动采购需求中的技术要求、质量标准以及合同条款，但不得变动</w:t>
      </w:r>
      <w:r>
        <w:rPr>
          <w:rFonts w:hint="eastAsia" w:asciiTheme="minorEastAsia" w:hAnsiTheme="minorEastAsia" w:eastAsiaTheme="minorEastAsia"/>
          <w:snapToGrid w:val="0"/>
          <w:color w:val="auto"/>
          <w:kern w:val="0"/>
          <w:szCs w:val="21"/>
          <w:highlight w:val="none"/>
        </w:rPr>
        <w:t>采购文件</w:t>
      </w:r>
      <w:r>
        <w:rPr>
          <w:rFonts w:hint="eastAsia" w:asciiTheme="minorEastAsia" w:hAnsiTheme="minorEastAsia" w:eastAsiaTheme="minorEastAsia"/>
          <w:color w:val="auto"/>
          <w:szCs w:val="21"/>
          <w:highlight w:val="none"/>
        </w:rPr>
        <w:t>中的其他内容。实质性变动的内容，须经采购人代表确认。</w:t>
      </w:r>
    </w:p>
    <w:p w14:paraId="4BC90EEC">
      <w:pPr>
        <w:spacing w:line="360" w:lineRule="auto"/>
        <w:ind w:firstLine="482"/>
        <w:outlineLvl w:val="3"/>
        <w:rPr>
          <w:rFonts w:hint="eastAsia" w:ascii="宋体" w:hAnsi="宋体"/>
          <w:b/>
          <w:bCs/>
          <w:color w:val="auto"/>
          <w:sz w:val="24"/>
          <w:szCs w:val="24"/>
          <w:highlight w:val="none"/>
        </w:rPr>
      </w:pPr>
      <w:bookmarkStart w:id="412" w:name="_Toc45791355"/>
      <w:bookmarkStart w:id="413" w:name="_Toc98033935"/>
      <w:bookmarkStart w:id="414" w:name="_Toc110405135"/>
      <w:bookmarkStart w:id="415" w:name="_Toc75783532"/>
      <w:bookmarkStart w:id="416" w:name="_Toc87543819"/>
      <w:bookmarkStart w:id="417" w:name="_Toc53412217"/>
      <w:bookmarkStart w:id="418" w:name="_Toc84356253"/>
      <w:bookmarkStart w:id="419" w:name="_Toc45976901"/>
      <w:bookmarkStart w:id="420" w:name="_Toc42267633"/>
      <w:bookmarkStart w:id="421" w:name="_Toc109809313"/>
      <w:bookmarkStart w:id="422" w:name="_Toc42204994"/>
      <w:bookmarkStart w:id="423" w:name="_Toc2038"/>
      <w:bookmarkStart w:id="424" w:name="_Toc81330940"/>
      <w:bookmarkStart w:id="425" w:name="_Toc98865012"/>
      <w:bookmarkStart w:id="426" w:name="_Toc116584001"/>
      <w:bookmarkStart w:id="427" w:name="_Toc83753893"/>
      <w:bookmarkStart w:id="428" w:name="_Toc69678430"/>
      <w:bookmarkStart w:id="429" w:name="_Toc87538370"/>
      <w:r>
        <w:rPr>
          <w:rFonts w:hint="eastAsia" w:ascii="宋体" w:hAnsi="宋体"/>
          <w:b/>
          <w:bCs/>
          <w:color w:val="auto"/>
          <w:sz w:val="24"/>
          <w:szCs w:val="24"/>
          <w:highlight w:val="none"/>
        </w:rPr>
        <w:t>2.2采购文件的澄清</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7B4E63C0">
      <w:pPr>
        <w:adjustRightInd w:val="0"/>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2.2.1供应商要求澄清采购文件的截止时间和方法：同1.10.2的时间要求。供应商应仔细阅读和检查采购文件的全部内容，如发现缺页或附件不全，应及时向采购人提出，以便补齐。如有疑问，应在供应商须知前附表规定的时间前，要求采购人对采购文件予以澄清。</w:t>
      </w:r>
    </w:p>
    <w:p w14:paraId="0955ABCC">
      <w:pPr>
        <w:adjustRightInd w:val="0"/>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2.2.2投标截止时间：见供应商须知前附表。</w:t>
      </w:r>
    </w:p>
    <w:p w14:paraId="36AC6C14">
      <w:pPr>
        <w:adjustRightInd w:val="0"/>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2.2.3供应商确认收到</w:t>
      </w:r>
      <w:r>
        <w:rPr>
          <w:rFonts w:hint="eastAsia" w:asciiTheme="minorEastAsia" w:hAnsiTheme="minorEastAsia" w:eastAsiaTheme="minorEastAsia"/>
          <w:snapToGrid w:val="0"/>
          <w:color w:val="auto"/>
          <w:kern w:val="0"/>
          <w:szCs w:val="21"/>
          <w:highlight w:val="none"/>
        </w:rPr>
        <w:t>采购文件</w:t>
      </w:r>
      <w:r>
        <w:rPr>
          <w:rFonts w:hint="eastAsia" w:asciiTheme="minorEastAsia" w:hAnsiTheme="minorEastAsia" w:eastAsiaTheme="minorEastAsia"/>
          <w:color w:val="auto"/>
          <w:szCs w:val="21"/>
          <w:highlight w:val="none"/>
        </w:rPr>
        <w:t>澄清的时间：见供应商须知前附表。</w:t>
      </w:r>
    </w:p>
    <w:p w14:paraId="0FBB133C">
      <w:pPr>
        <w:spacing w:line="360" w:lineRule="auto"/>
        <w:ind w:firstLine="482"/>
        <w:outlineLvl w:val="3"/>
        <w:rPr>
          <w:rFonts w:hint="eastAsia" w:ascii="宋体" w:hAnsi="宋体"/>
          <w:b/>
          <w:bCs/>
          <w:color w:val="auto"/>
          <w:sz w:val="24"/>
          <w:szCs w:val="24"/>
          <w:highlight w:val="none"/>
        </w:rPr>
      </w:pPr>
      <w:bookmarkStart w:id="430" w:name="_Toc53412218"/>
      <w:bookmarkStart w:id="431" w:name="_Toc13012"/>
      <w:bookmarkStart w:id="432" w:name="_Toc116584002"/>
      <w:bookmarkStart w:id="433" w:name="_Toc81330941"/>
      <w:bookmarkStart w:id="434" w:name="_Toc109809314"/>
      <w:bookmarkStart w:id="435" w:name="_Toc98033936"/>
      <w:bookmarkStart w:id="436" w:name="_Toc83753894"/>
      <w:bookmarkStart w:id="437" w:name="_Toc87538371"/>
      <w:bookmarkStart w:id="438" w:name="_Toc45976902"/>
      <w:bookmarkStart w:id="439" w:name="_Toc84356254"/>
      <w:bookmarkStart w:id="440" w:name="_Toc110405136"/>
      <w:bookmarkStart w:id="441" w:name="_Toc42267634"/>
      <w:bookmarkStart w:id="442" w:name="_Toc98865013"/>
      <w:bookmarkStart w:id="443" w:name="_Toc45791356"/>
      <w:bookmarkStart w:id="444" w:name="_Toc42204995"/>
      <w:bookmarkStart w:id="445" w:name="_Toc69678431"/>
      <w:bookmarkStart w:id="446" w:name="_Toc87543820"/>
      <w:bookmarkStart w:id="447" w:name="_Toc75783533"/>
      <w:r>
        <w:rPr>
          <w:rFonts w:hint="eastAsia" w:ascii="宋体" w:hAnsi="宋体"/>
          <w:b/>
          <w:bCs/>
          <w:color w:val="auto"/>
          <w:sz w:val="24"/>
          <w:szCs w:val="24"/>
          <w:highlight w:val="none"/>
        </w:rPr>
        <w:t>2.3采购文件的修改</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16DDA1B7">
      <w:pPr>
        <w:adjustRightInd w:val="0"/>
        <w:snapToGrid w:val="0"/>
        <w:spacing w:line="360" w:lineRule="auto"/>
        <w:ind w:firstLine="420" w:firstLineChars="200"/>
        <w:jc w:val="left"/>
        <w:rPr>
          <w:rFonts w:hint="eastAsia" w:asciiTheme="minorEastAsia" w:hAnsiTheme="minorEastAsia" w:eastAsiaTheme="minorEastAsia"/>
          <w:color w:val="auto"/>
          <w:szCs w:val="21"/>
          <w:highlight w:val="none"/>
        </w:rPr>
      </w:pPr>
      <w:bookmarkStart w:id="448" w:name="_Toc381796409"/>
      <w:bookmarkStart w:id="449" w:name="_Toc292983019"/>
      <w:r>
        <w:rPr>
          <w:rFonts w:hint="eastAsia" w:asciiTheme="minorEastAsia" w:hAnsiTheme="minorEastAsia" w:eastAsiaTheme="minorEastAsia"/>
          <w:color w:val="auto"/>
          <w:szCs w:val="21"/>
          <w:highlight w:val="none"/>
        </w:rPr>
        <w:t>2.3.1</w:t>
      </w:r>
      <w:r>
        <w:rPr>
          <w:rFonts w:hint="eastAsia" w:asciiTheme="minorEastAsia" w:hAnsiTheme="minorEastAsia" w:eastAsiaTheme="minorEastAsia"/>
          <w:color w:val="auto"/>
          <w:highlight w:val="none"/>
        </w:rPr>
        <w:t>投标文件</w:t>
      </w:r>
      <w:r>
        <w:rPr>
          <w:rFonts w:hint="eastAsia" w:asciiTheme="minorEastAsia" w:hAnsiTheme="minorEastAsia" w:eastAsiaTheme="minorEastAsia"/>
          <w:color w:val="auto"/>
          <w:szCs w:val="21"/>
          <w:highlight w:val="none"/>
        </w:rPr>
        <w:t>递交</w:t>
      </w:r>
      <w:r>
        <w:rPr>
          <w:rFonts w:hint="eastAsia" w:asciiTheme="minorEastAsia" w:hAnsiTheme="minorEastAsia" w:eastAsiaTheme="minorEastAsia"/>
          <w:color w:val="auto"/>
          <w:highlight w:val="none"/>
        </w:rPr>
        <w:t>截止时间前，采购人、采购代理机构可以对已发出的采购文件进行必要的澄清，澄清的内容作为采购文件的组成部分</w:t>
      </w:r>
      <w:r>
        <w:rPr>
          <w:rFonts w:hint="eastAsia" w:asciiTheme="minorEastAsia" w:hAnsiTheme="minorEastAsia" w:eastAsiaTheme="minorEastAsia"/>
          <w:color w:val="auto"/>
          <w:szCs w:val="21"/>
          <w:highlight w:val="none"/>
        </w:rPr>
        <w:t>并具有约束力。</w:t>
      </w:r>
      <w:r>
        <w:rPr>
          <w:rFonts w:hint="eastAsia" w:asciiTheme="minorEastAsia" w:hAnsiTheme="minorEastAsia" w:eastAsiaTheme="minorEastAsia"/>
          <w:color w:val="auto"/>
          <w:highlight w:val="none"/>
        </w:rPr>
        <w:t>澄清的内容可能影响投标文件编制的，采购人、采购代理机构应在投标文件</w:t>
      </w:r>
      <w:r>
        <w:rPr>
          <w:rFonts w:hint="eastAsia" w:asciiTheme="minorEastAsia" w:hAnsiTheme="minorEastAsia" w:eastAsiaTheme="minorEastAsia"/>
          <w:color w:val="auto"/>
          <w:szCs w:val="21"/>
          <w:highlight w:val="none"/>
        </w:rPr>
        <w:t>递交</w:t>
      </w:r>
      <w:r>
        <w:rPr>
          <w:rFonts w:hint="eastAsia" w:asciiTheme="minorEastAsia" w:hAnsiTheme="minorEastAsia" w:eastAsiaTheme="minorEastAsia"/>
          <w:color w:val="auto"/>
          <w:highlight w:val="none"/>
        </w:rPr>
        <w:t>截止时间15日前，在政府采购云平台通知所有获取采购文件的供应商，但不指明澄清问题的来源。不足15日的，应当顺延投标文件</w:t>
      </w:r>
      <w:r>
        <w:rPr>
          <w:rFonts w:hint="eastAsia" w:asciiTheme="minorEastAsia" w:hAnsiTheme="minorEastAsia" w:eastAsiaTheme="minorEastAsia"/>
          <w:color w:val="auto"/>
          <w:szCs w:val="21"/>
          <w:highlight w:val="none"/>
        </w:rPr>
        <w:t>递交</w:t>
      </w:r>
      <w:r>
        <w:rPr>
          <w:rFonts w:hint="eastAsia" w:asciiTheme="minorEastAsia" w:hAnsiTheme="minorEastAsia" w:eastAsiaTheme="minorEastAsia"/>
          <w:color w:val="auto"/>
          <w:highlight w:val="none"/>
        </w:rPr>
        <w:t>截止时间。</w:t>
      </w:r>
    </w:p>
    <w:p w14:paraId="4F91B6CE">
      <w:pPr>
        <w:adjustRightInd w:val="0"/>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2.3.2供应商应在投标文件递交截止时间前随时查看有关该项目采购文件的答疑、补遗内容。否则，由此引起的损失由供应商自负。</w:t>
      </w:r>
    </w:p>
    <w:p w14:paraId="241EE80F">
      <w:pPr>
        <w:adjustRightInd w:val="0"/>
        <w:snapToGrid w:val="0"/>
        <w:spacing w:line="360" w:lineRule="auto"/>
        <w:ind w:firstLine="420" w:firstLineChars="2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2.3.3采购文件、采购文件澄清、采购文件修改文件内容均以网上发布的为准，当采购文件、采购文件澄清、采购文件修改文件内容相互矛盾时，以最后发出的为准</w:t>
      </w:r>
      <w:r>
        <w:rPr>
          <w:rFonts w:asciiTheme="minorEastAsia" w:hAnsiTheme="minorEastAsia" w:eastAsiaTheme="minorEastAsia"/>
          <w:color w:val="auto"/>
          <w:szCs w:val="21"/>
          <w:highlight w:val="none"/>
        </w:rPr>
        <w:t>。</w:t>
      </w:r>
    </w:p>
    <w:p w14:paraId="50B95E84">
      <w:pPr>
        <w:spacing w:line="360" w:lineRule="auto"/>
        <w:jc w:val="center"/>
        <w:outlineLvl w:val="2"/>
        <w:rPr>
          <w:rFonts w:hint="eastAsia" w:asciiTheme="minorEastAsia" w:hAnsiTheme="minorEastAsia" w:eastAsiaTheme="minorEastAsia"/>
          <w:b/>
          <w:bCs/>
          <w:color w:val="auto"/>
          <w:sz w:val="28"/>
          <w:szCs w:val="28"/>
          <w:highlight w:val="none"/>
        </w:rPr>
      </w:pPr>
      <w:bookmarkStart w:id="450" w:name="_Toc83753895"/>
      <w:bookmarkStart w:id="451" w:name="_Toc45791357"/>
      <w:bookmarkStart w:id="452" w:name="_Toc87543821"/>
      <w:bookmarkStart w:id="453" w:name="_Toc37603104"/>
      <w:bookmarkStart w:id="454" w:name="_Toc42267635"/>
      <w:bookmarkStart w:id="455" w:name="_Toc116584003"/>
      <w:bookmarkStart w:id="456" w:name="_Toc87538372"/>
      <w:bookmarkStart w:id="457" w:name="_Toc98865014"/>
      <w:bookmarkStart w:id="458" w:name="_Toc45976903"/>
      <w:bookmarkStart w:id="459" w:name="_Toc42204996"/>
      <w:bookmarkStart w:id="460" w:name="_Toc109809315"/>
      <w:bookmarkStart w:id="461" w:name="_Toc26920"/>
      <w:bookmarkStart w:id="462" w:name="_Toc98033937"/>
      <w:bookmarkStart w:id="463" w:name="_Toc110405137"/>
      <w:bookmarkStart w:id="464" w:name="_Toc84356255"/>
      <w:r>
        <w:rPr>
          <w:rFonts w:hint="eastAsia" w:asciiTheme="minorEastAsia" w:hAnsiTheme="minorEastAsia" w:eastAsiaTheme="minorEastAsia"/>
          <w:b/>
          <w:bCs/>
          <w:color w:val="auto"/>
          <w:sz w:val="28"/>
          <w:szCs w:val="28"/>
          <w:highlight w:val="none"/>
        </w:rPr>
        <w:t>3.投标文件</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726BCA56">
      <w:pPr>
        <w:spacing w:line="360" w:lineRule="auto"/>
        <w:ind w:firstLine="482"/>
        <w:outlineLvl w:val="3"/>
        <w:rPr>
          <w:rFonts w:hint="eastAsia" w:ascii="宋体" w:hAnsi="宋体"/>
          <w:b/>
          <w:bCs/>
          <w:color w:val="auto"/>
          <w:sz w:val="24"/>
          <w:szCs w:val="24"/>
          <w:highlight w:val="none"/>
        </w:rPr>
      </w:pPr>
      <w:bookmarkStart w:id="465" w:name="_Toc83753896"/>
      <w:bookmarkStart w:id="466" w:name="_Toc42204997"/>
      <w:bookmarkStart w:id="467" w:name="_Toc75783535"/>
      <w:bookmarkStart w:id="468" w:name="_Toc98033938"/>
      <w:bookmarkStart w:id="469" w:name="_Toc42267636"/>
      <w:bookmarkStart w:id="470" w:name="_Toc45976904"/>
      <w:bookmarkStart w:id="471" w:name="_Toc53412220"/>
      <w:bookmarkStart w:id="472" w:name="_Toc87538373"/>
      <w:bookmarkStart w:id="473" w:name="_Toc87543822"/>
      <w:bookmarkStart w:id="474" w:name="_Toc110405138"/>
      <w:bookmarkStart w:id="475" w:name="_Toc81330943"/>
      <w:bookmarkStart w:id="476" w:name="_Toc45791358"/>
      <w:bookmarkStart w:id="477" w:name="_Toc98865015"/>
      <w:bookmarkStart w:id="478" w:name="_Toc145"/>
      <w:bookmarkStart w:id="479" w:name="_Toc69678433"/>
      <w:bookmarkStart w:id="480" w:name="_Toc84356256"/>
      <w:bookmarkStart w:id="481" w:name="_Toc116584004"/>
      <w:bookmarkStart w:id="482" w:name="_Toc109809316"/>
      <w:r>
        <w:rPr>
          <w:rFonts w:hint="eastAsia" w:ascii="宋体" w:hAnsi="宋体"/>
          <w:b/>
          <w:bCs/>
          <w:color w:val="auto"/>
          <w:sz w:val="24"/>
          <w:szCs w:val="24"/>
          <w:highlight w:val="none"/>
        </w:rPr>
        <w:t>3.1 投标文件的组成</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14:paraId="2C3E4406">
      <w:pPr>
        <w:pStyle w:val="14"/>
        <w:spacing w:line="360"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见第四章“投标文件格式”部分。</w:t>
      </w:r>
    </w:p>
    <w:p w14:paraId="6BC45A8A">
      <w:pPr>
        <w:spacing w:line="360" w:lineRule="auto"/>
        <w:ind w:firstLine="482"/>
        <w:outlineLvl w:val="3"/>
        <w:rPr>
          <w:rFonts w:hint="eastAsia" w:ascii="宋体" w:hAnsi="宋体"/>
          <w:b/>
          <w:bCs/>
          <w:color w:val="auto"/>
          <w:sz w:val="24"/>
          <w:szCs w:val="24"/>
          <w:highlight w:val="none"/>
        </w:rPr>
      </w:pPr>
      <w:bookmarkStart w:id="483" w:name="_Toc75783536"/>
      <w:bookmarkStart w:id="484" w:name="_Toc53412221"/>
      <w:bookmarkStart w:id="485" w:name="_Toc98033939"/>
      <w:bookmarkStart w:id="486" w:name="_Toc84356257"/>
      <w:bookmarkStart w:id="487" w:name="_Toc45976905"/>
      <w:bookmarkStart w:id="488" w:name="_Toc45791359"/>
      <w:bookmarkStart w:id="489" w:name="_Toc69678434"/>
      <w:bookmarkStart w:id="490" w:name="_Toc110405139"/>
      <w:bookmarkStart w:id="491" w:name="_Toc87538374"/>
      <w:bookmarkStart w:id="492" w:name="_Toc11669"/>
      <w:bookmarkStart w:id="493" w:name="_Toc83753897"/>
      <w:bookmarkStart w:id="494" w:name="_Toc42267637"/>
      <w:bookmarkStart w:id="495" w:name="_Toc98865016"/>
      <w:bookmarkStart w:id="496" w:name="_Toc116584005"/>
      <w:bookmarkStart w:id="497" w:name="_Toc87543823"/>
      <w:bookmarkStart w:id="498" w:name="_Toc81330944"/>
      <w:bookmarkStart w:id="499" w:name="_Toc42204998"/>
      <w:bookmarkStart w:id="500" w:name="_Toc109809317"/>
      <w:r>
        <w:rPr>
          <w:rFonts w:hint="eastAsia" w:ascii="宋体" w:hAnsi="宋体"/>
          <w:b/>
          <w:bCs/>
          <w:color w:val="auto"/>
          <w:sz w:val="24"/>
          <w:szCs w:val="24"/>
          <w:highlight w:val="none"/>
        </w:rPr>
        <w:t>3.2 投标报价</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66D26175">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.2.1</w:t>
      </w:r>
      <w:r>
        <w:rPr>
          <w:rFonts w:hint="eastAsia" w:asciiTheme="minorEastAsia" w:hAnsiTheme="minorEastAsia" w:eastAsiaTheme="minorEastAsia"/>
          <w:color w:val="auto"/>
          <w:szCs w:val="21"/>
          <w:highlight w:val="none"/>
        </w:rPr>
        <w:t>最高限价：见供应商须知前附表。</w:t>
      </w:r>
    </w:p>
    <w:p w14:paraId="2FF1B320">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报价方式：见供应商须知前附表。</w:t>
      </w:r>
    </w:p>
    <w:p w14:paraId="6671A27F">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3.2.</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结算方式：见供应商须知前附表。</w:t>
      </w:r>
    </w:p>
    <w:p w14:paraId="3073D41B">
      <w:pPr>
        <w:spacing w:line="360" w:lineRule="auto"/>
        <w:ind w:firstLine="482"/>
        <w:outlineLvl w:val="3"/>
        <w:rPr>
          <w:rFonts w:hint="eastAsia" w:ascii="宋体" w:hAnsi="宋体"/>
          <w:b/>
          <w:bCs/>
          <w:color w:val="auto"/>
          <w:sz w:val="24"/>
          <w:szCs w:val="24"/>
          <w:highlight w:val="none"/>
        </w:rPr>
      </w:pPr>
      <w:bookmarkStart w:id="501" w:name="_Toc81330945"/>
      <w:bookmarkStart w:id="502" w:name="_Toc84356258"/>
      <w:bookmarkStart w:id="503" w:name="_Toc87538375"/>
      <w:bookmarkStart w:id="504" w:name="_Toc42267638"/>
      <w:bookmarkStart w:id="505" w:name="_Toc98865017"/>
      <w:bookmarkStart w:id="506" w:name="_Toc69678435"/>
      <w:bookmarkStart w:id="507" w:name="_Toc109809318"/>
      <w:bookmarkStart w:id="508" w:name="_Toc87543824"/>
      <w:bookmarkStart w:id="509" w:name="_Toc42204999"/>
      <w:bookmarkStart w:id="510" w:name="_Toc83753898"/>
      <w:bookmarkStart w:id="511" w:name="_Toc75783537"/>
      <w:bookmarkStart w:id="512" w:name="_Toc53412222"/>
      <w:bookmarkStart w:id="513" w:name="_Toc45791360"/>
      <w:bookmarkStart w:id="514" w:name="_Toc98033940"/>
      <w:bookmarkStart w:id="515" w:name="_Toc9599"/>
      <w:bookmarkStart w:id="516" w:name="_Toc116584006"/>
      <w:bookmarkStart w:id="517" w:name="_Toc45976906"/>
      <w:bookmarkStart w:id="518" w:name="_Toc110405140"/>
      <w:r>
        <w:rPr>
          <w:rFonts w:hint="eastAsia" w:ascii="宋体" w:hAnsi="宋体"/>
          <w:b/>
          <w:bCs/>
          <w:color w:val="auto"/>
          <w:sz w:val="24"/>
          <w:szCs w:val="24"/>
          <w:highlight w:val="none"/>
        </w:rPr>
        <w:t>3.3 投标有效期</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669CCDD9">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3.3.1在供应商须知前附表规定的</w:t>
      </w:r>
      <w:r>
        <w:rPr>
          <w:rFonts w:hint="eastAsia" w:asciiTheme="minorEastAsia" w:hAnsiTheme="minorEastAsia" w:eastAsiaTheme="minorEastAsia"/>
          <w:color w:val="auto"/>
          <w:szCs w:val="24"/>
          <w:highlight w:val="none"/>
        </w:rPr>
        <w:t>投标</w:t>
      </w:r>
      <w:r>
        <w:rPr>
          <w:rFonts w:hint="eastAsia" w:asciiTheme="minorEastAsia" w:hAnsiTheme="minorEastAsia" w:eastAsiaTheme="minorEastAsia"/>
          <w:color w:val="auto"/>
          <w:szCs w:val="28"/>
          <w:highlight w:val="none"/>
        </w:rPr>
        <w:t>有效期内，供应商不得要求撤销或修改其投标文件。</w:t>
      </w:r>
    </w:p>
    <w:p w14:paraId="2891E6F5">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8"/>
          <w:highlight w:val="none"/>
        </w:rPr>
        <w:t>3.3.2出现特殊情况需要延长</w:t>
      </w:r>
      <w:r>
        <w:rPr>
          <w:rFonts w:hint="eastAsia" w:asciiTheme="minorEastAsia" w:hAnsiTheme="minorEastAsia" w:eastAsiaTheme="minorEastAsia"/>
          <w:color w:val="auto"/>
          <w:szCs w:val="24"/>
          <w:highlight w:val="none"/>
        </w:rPr>
        <w:t>投标</w:t>
      </w:r>
      <w:r>
        <w:rPr>
          <w:rFonts w:hint="eastAsia" w:asciiTheme="minorEastAsia" w:hAnsiTheme="minorEastAsia" w:eastAsiaTheme="minorEastAsia"/>
          <w:color w:val="auto"/>
          <w:szCs w:val="28"/>
          <w:highlight w:val="none"/>
        </w:rPr>
        <w:t>有效期的，采购人将通知所有供应商延长</w:t>
      </w:r>
      <w:r>
        <w:rPr>
          <w:rFonts w:hint="eastAsia" w:asciiTheme="minorEastAsia" w:hAnsiTheme="minorEastAsia" w:eastAsiaTheme="minorEastAsia"/>
          <w:color w:val="auto"/>
          <w:szCs w:val="24"/>
          <w:highlight w:val="none"/>
        </w:rPr>
        <w:t>投标</w:t>
      </w:r>
      <w:r>
        <w:rPr>
          <w:rFonts w:hint="eastAsia" w:asciiTheme="minorEastAsia" w:hAnsiTheme="minorEastAsia" w:eastAsiaTheme="minorEastAsia"/>
          <w:color w:val="auto"/>
          <w:szCs w:val="28"/>
          <w:highlight w:val="none"/>
        </w:rPr>
        <w:t>有效期。供应商同意延长的，应相应延长其</w:t>
      </w:r>
      <w:r>
        <w:rPr>
          <w:rFonts w:hint="eastAsia" w:asciiTheme="minorEastAsia" w:hAnsiTheme="minorEastAsia" w:eastAsiaTheme="minorEastAsia"/>
          <w:color w:val="auto"/>
          <w:szCs w:val="24"/>
          <w:highlight w:val="none"/>
        </w:rPr>
        <w:t>投标</w:t>
      </w:r>
      <w:r>
        <w:rPr>
          <w:rFonts w:hint="eastAsia" w:asciiTheme="minorEastAsia" w:hAnsiTheme="minorEastAsia" w:eastAsiaTheme="minorEastAsia"/>
          <w:color w:val="auto"/>
          <w:szCs w:val="28"/>
          <w:highlight w:val="none"/>
        </w:rPr>
        <w:t>保证金的有效期，但不得要求或被允许修改或撤销其投标文件；供应商拒绝延长的，其</w:t>
      </w:r>
      <w:r>
        <w:rPr>
          <w:rFonts w:hint="eastAsia" w:asciiTheme="minorEastAsia" w:hAnsiTheme="minorEastAsia" w:eastAsiaTheme="minorEastAsia"/>
          <w:color w:val="auto"/>
          <w:szCs w:val="24"/>
          <w:highlight w:val="none"/>
        </w:rPr>
        <w:t>投标</w:t>
      </w:r>
      <w:r>
        <w:rPr>
          <w:rFonts w:hint="eastAsia" w:asciiTheme="minorEastAsia" w:hAnsiTheme="minorEastAsia" w:eastAsiaTheme="minorEastAsia"/>
          <w:color w:val="auto"/>
          <w:szCs w:val="28"/>
          <w:highlight w:val="none"/>
        </w:rPr>
        <w:t>失效，但供应商有权收回其</w:t>
      </w:r>
      <w:r>
        <w:rPr>
          <w:rFonts w:hint="eastAsia" w:asciiTheme="minorEastAsia" w:hAnsiTheme="minorEastAsia" w:eastAsiaTheme="minorEastAsia"/>
          <w:color w:val="auto"/>
          <w:szCs w:val="24"/>
          <w:highlight w:val="none"/>
        </w:rPr>
        <w:t>投标</w:t>
      </w:r>
      <w:r>
        <w:rPr>
          <w:rFonts w:hint="eastAsia" w:asciiTheme="minorEastAsia" w:hAnsiTheme="minorEastAsia" w:eastAsiaTheme="minorEastAsia"/>
          <w:color w:val="auto"/>
          <w:szCs w:val="28"/>
          <w:highlight w:val="none"/>
        </w:rPr>
        <w:t>保证金。</w:t>
      </w:r>
    </w:p>
    <w:p w14:paraId="005618C7">
      <w:pPr>
        <w:spacing w:line="360" w:lineRule="auto"/>
        <w:ind w:firstLine="482"/>
        <w:outlineLvl w:val="3"/>
        <w:rPr>
          <w:rFonts w:hint="eastAsia" w:ascii="宋体" w:hAnsi="宋体"/>
          <w:b/>
          <w:bCs/>
          <w:color w:val="auto"/>
          <w:sz w:val="24"/>
          <w:szCs w:val="24"/>
          <w:highlight w:val="none"/>
        </w:rPr>
      </w:pPr>
      <w:bookmarkStart w:id="519" w:name="_Toc81330946"/>
      <w:bookmarkStart w:id="520" w:name="_Toc109809319"/>
      <w:bookmarkStart w:id="521" w:name="_Toc30417"/>
      <w:bookmarkStart w:id="522" w:name="_Toc45976907"/>
      <w:bookmarkStart w:id="523" w:name="_Toc87543825"/>
      <w:bookmarkStart w:id="524" w:name="_Toc42267639"/>
      <w:bookmarkStart w:id="525" w:name="_Toc75783538"/>
      <w:bookmarkStart w:id="526" w:name="_Toc87538376"/>
      <w:bookmarkStart w:id="527" w:name="_Toc83753899"/>
      <w:bookmarkStart w:id="528" w:name="_Toc98865018"/>
      <w:bookmarkStart w:id="529" w:name="_Toc42205000"/>
      <w:bookmarkStart w:id="530" w:name="_Toc116584007"/>
      <w:bookmarkStart w:id="531" w:name="_Toc110405141"/>
      <w:bookmarkStart w:id="532" w:name="_Toc45791361"/>
      <w:bookmarkStart w:id="533" w:name="_Toc84356259"/>
      <w:bookmarkStart w:id="534" w:name="_Toc53412223"/>
      <w:bookmarkStart w:id="535" w:name="_Toc98033941"/>
      <w:bookmarkStart w:id="536" w:name="_Toc69678436"/>
      <w:r>
        <w:rPr>
          <w:rFonts w:hint="eastAsia" w:ascii="宋体" w:hAnsi="宋体"/>
          <w:b/>
          <w:bCs/>
          <w:color w:val="auto"/>
          <w:sz w:val="24"/>
          <w:szCs w:val="24"/>
          <w:highlight w:val="none"/>
        </w:rPr>
        <w:t>3.4 投标保证金</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0201409F">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bookmarkStart w:id="537" w:name="_Hlk174450996"/>
      <w:r>
        <w:rPr>
          <w:rFonts w:asciiTheme="minorEastAsia" w:hAnsiTheme="minorEastAsia" w:eastAsiaTheme="minorEastAsia"/>
          <w:color w:val="auto"/>
          <w:szCs w:val="21"/>
          <w:highlight w:val="none"/>
        </w:rPr>
        <w:t>3.4.1</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在递交投标文件的同时，应按</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须知前附表的规定递交投标保证金。</w:t>
      </w:r>
    </w:p>
    <w:p w14:paraId="0518BB54">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3.4.2</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不按本章第3.4.1项要求提交投标保证金的，其投标文件作投标被否决处理。</w:t>
      </w:r>
    </w:p>
    <w:p w14:paraId="20D743C6">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3.4.3投标保证金退还到</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的基本账户。</w:t>
      </w:r>
    </w:p>
    <w:p w14:paraId="7D4FB457">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3.4.4投标保证金不予退还的情形：见</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须知前附表。</w:t>
      </w:r>
      <w:bookmarkEnd w:id="537"/>
    </w:p>
    <w:p w14:paraId="75C67902">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3.4.5未中标的供应商的投标保证金，在中标通知书发出后5个工作日内退还；中标供应商的投标保证金在采购人与其签订合同后5个工作日内退还。</w:t>
      </w:r>
    </w:p>
    <w:p w14:paraId="5A1D2CA6">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3.4.6供应商有下列情形之一的，投标保证金不予退还</w:t>
      </w:r>
      <w:r>
        <w:rPr>
          <w:rFonts w:asciiTheme="minorEastAsia" w:hAnsiTheme="minorEastAsia" w:eastAsiaTheme="minorEastAsia"/>
          <w:color w:val="auto"/>
          <w:szCs w:val="21"/>
          <w:highlight w:val="none"/>
        </w:rPr>
        <w:t>：</w:t>
      </w:r>
    </w:p>
    <w:p w14:paraId="2C46BDF0">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（1）供应商在投标文件递交截止时间后撤回其投标文件的；</w:t>
      </w:r>
    </w:p>
    <w:p w14:paraId="30F16DAA">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（2）供应商在投标文件中提供虚假材料的；</w:t>
      </w:r>
    </w:p>
    <w:p w14:paraId="3908E58E">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（3）除因不可抗力或采购文件认可的情形以外，中标供应商不与采购人签订合同的；</w:t>
      </w:r>
    </w:p>
    <w:p w14:paraId="255B476A">
      <w:pPr>
        <w:adjustRightInd w:val="0"/>
        <w:snapToGrid w:val="0"/>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rPr>
        <w:t>与采购人、其他</w:t>
      </w:r>
      <w:r>
        <w:rPr>
          <w:rFonts w:asciiTheme="minorEastAsia" w:hAnsiTheme="minorEastAsia" w:eastAsiaTheme="minorEastAsia"/>
          <w:color w:val="auto"/>
          <w:szCs w:val="21"/>
          <w:highlight w:val="none"/>
        </w:rPr>
        <w:t>供应商</w:t>
      </w:r>
      <w:r>
        <w:rPr>
          <w:rFonts w:hint="eastAsia" w:asciiTheme="minorEastAsia" w:hAnsiTheme="minorEastAsia" w:eastAsiaTheme="minorEastAsia"/>
          <w:color w:val="auto"/>
          <w:szCs w:val="21"/>
          <w:highlight w:val="none"/>
        </w:rPr>
        <w:t>或者采购代理机构恶意串通的。</w:t>
      </w:r>
    </w:p>
    <w:p w14:paraId="39CF6448">
      <w:pPr>
        <w:spacing w:line="360" w:lineRule="auto"/>
        <w:ind w:firstLine="482"/>
        <w:outlineLvl w:val="3"/>
        <w:rPr>
          <w:rFonts w:hint="eastAsia" w:ascii="宋体" w:hAnsi="宋体"/>
          <w:b/>
          <w:bCs/>
          <w:color w:val="auto"/>
          <w:sz w:val="24"/>
          <w:szCs w:val="24"/>
          <w:highlight w:val="none"/>
        </w:rPr>
      </w:pPr>
      <w:bookmarkStart w:id="538" w:name="_Toc53412224"/>
      <w:bookmarkStart w:id="539" w:name="_Toc69678437"/>
      <w:bookmarkStart w:id="540" w:name="_Toc75783539"/>
      <w:bookmarkStart w:id="541" w:name="_Toc87538377"/>
      <w:bookmarkStart w:id="542" w:name="_Toc84356260"/>
      <w:bookmarkStart w:id="543" w:name="_Toc45791362"/>
      <w:bookmarkStart w:id="544" w:name="_Toc83753900"/>
      <w:bookmarkStart w:id="545" w:name="_Toc98865019"/>
      <w:bookmarkStart w:id="546" w:name="_Toc116584008"/>
      <w:bookmarkStart w:id="547" w:name="_Toc42205001"/>
      <w:bookmarkStart w:id="548" w:name="_Toc30166"/>
      <w:bookmarkStart w:id="549" w:name="_Toc45976908"/>
      <w:bookmarkStart w:id="550" w:name="_Toc81330947"/>
      <w:bookmarkStart w:id="551" w:name="_Toc110405142"/>
      <w:bookmarkStart w:id="552" w:name="_Toc98033942"/>
      <w:bookmarkStart w:id="553" w:name="_Toc109809320"/>
      <w:bookmarkStart w:id="554" w:name="_Toc42267640"/>
      <w:bookmarkStart w:id="555" w:name="_Toc87543826"/>
      <w:r>
        <w:rPr>
          <w:rFonts w:hint="eastAsia" w:ascii="宋体" w:hAnsi="宋体"/>
          <w:b/>
          <w:bCs/>
          <w:color w:val="auto"/>
          <w:sz w:val="24"/>
          <w:szCs w:val="24"/>
          <w:highlight w:val="none"/>
        </w:rPr>
        <w:t>3.5 资格审查资料</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6446EF87">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3.5.1近年财务状况的年份要求：见供应商须知前附表。</w:t>
      </w:r>
    </w:p>
    <w:p w14:paraId="105FF1ED">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3.5.2没有重大违法记录的年份要求：见供应商须知前附表。</w:t>
      </w:r>
    </w:p>
    <w:p w14:paraId="4BD0C971">
      <w:pPr>
        <w:spacing w:line="360" w:lineRule="auto"/>
        <w:ind w:firstLine="420" w:firstLineChars="200"/>
        <w:rPr>
          <w:rFonts w:hint="eastAsia"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3.5.3其他资格审查资料：见第四章“投标文件格式”资格文件部分中的内容。</w:t>
      </w:r>
    </w:p>
    <w:p w14:paraId="23CCE4AC">
      <w:pPr>
        <w:spacing w:line="360" w:lineRule="auto"/>
        <w:ind w:firstLine="482"/>
        <w:outlineLvl w:val="3"/>
        <w:rPr>
          <w:rFonts w:hint="eastAsia" w:ascii="宋体" w:hAnsi="宋体"/>
          <w:b/>
          <w:bCs/>
          <w:color w:val="auto"/>
          <w:sz w:val="24"/>
          <w:szCs w:val="24"/>
          <w:highlight w:val="none"/>
        </w:rPr>
      </w:pPr>
      <w:bookmarkStart w:id="556" w:name="_Toc81330948"/>
      <w:bookmarkStart w:id="557" w:name="_Toc84356261"/>
      <w:bookmarkStart w:id="558" w:name="_Toc45976909"/>
      <w:bookmarkStart w:id="559" w:name="_Toc110405143"/>
      <w:bookmarkStart w:id="560" w:name="_Toc98033943"/>
      <w:bookmarkStart w:id="561" w:name="_Toc45791363"/>
      <w:bookmarkStart w:id="562" w:name="_Toc87538378"/>
      <w:bookmarkStart w:id="563" w:name="_Toc42267641"/>
      <w:bookmarkStart w:id="564" w:name="_Toc83753901"/>
      <w:bookmarkStart w:id="565" w:name="_Toc116584009"/>
      <w:bookmarkStart w:id="566" w:name="_Toc42205002"/>
      <w:bookmarkStart w:id="567" w:name="_Toc98865020"/>
      <w:bookmarkStart w:id="568" w:name="_Toc69678438"/>
      <w:bookmarkStart w:id="569" w:name="_Toc53412225"/>
      <w:bookmarkStart w:id="570" w:name="_Toc109809321"/>
      <w:bookmarkStart w:id="571" w:name="_Toc75783540"/>
      <w:bookmarkStart w:id="572" w:name="_Toc87543827"/>
      <w:bookmarkStart w:id="573" w:name="_Toc1352"/>
      <w:r>
        <w:rPr>
          <w:rFonts w:hint="eastAsia" w:ascii="宋体" w:hAnsi="宋体"/>
          <w:b/>
          <w:bCs/>
          <w:color w:val="auto"/>
          <w:sz w:val="24"/>
          <w:szCs w:val="24"/>
          <w:highlight w:val="none"/>
        </w:rPr>
        <w:t>3.6 备选投标方案</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066D4E30">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除供应商须知前附表另有规定外，供应商不得</w:t>
      </w:r>
      <w:r>
        <w:rPr>
          <w:rFonts w:hint="eastAsia" w:asciiTheme="minorEastAsia" w:hAnsiTheme="minorEastAsia" w:eastAsiaTheme="minorEastAsia"/>
          <w:color w:val="auto"/>
          <w:szCs w:val="28"/>
          <w:highlight w:val="none"/>
        </w:rPr>
        <w:t>递交</w:t>
      </w:r>
      <w:r>
        <w:rPr>
          <w:rFonts w:hint="eastAsia" w:asciiTheme="minorEastAsia" w:hAnsiTheme="minorEastAsia" w:eastAsiaTheme="minorEastAsia"/>
          <w:color w:val="auto"/>
          <w:szCs w:val="21"/>
          <w:highlight w:val="none"/>
        </w:rPr>
        <w:t>备选投标方案。允许供应商</w:t>
      </w:r>
      <w:r>
        <w:rPr>
          <w:rFonts w:hint="eastAsia" w:asciiTheme="minorEastAsia" w:hAnsiTheme="minorEastAsia" w:eastAsiaTheme="minorEastAsia"/>
          <w:color w:val="auto"/>
          <w:szCs w:val="28"/>
          <w:highlight w:val="none"/>
        </w:rPr>
        <w:t>递交</w:t>
      </w:r>
      <w:r>
        <w:rPr>
          <w:rFonts w:hint="eastAsia" w:asciiTheme="minorEastAsia" w:hAnsiTheme="minorEastAsia" w:eastAsiaTheme="minorEastAsia"/>
          <w:color w:val="auto"/>
          <w:szCs w:val="21"/>
          <w:highlight w:val="none"/>
        </w:rPr>
        <w:t>备选投标方案的，只有中标人所</w:t>
      </w:r>
      <w:r>
        <w:rPr>
          <w:rFonts w:hint="eastAsia" w:asciiTheme="minorEastAsia" w:hAnsiTheme="minorEastAsia" w:eastAsiaTheme="minorEastAsia"/>
          <w:color w:val="auto"/>
          <w:szCs w:val="28"/>
          <w:highlight w:val="none"/>
        </w:rPr>
        <w:t>递交</w:t>
      </w:r>
      <w:r>
        <w:rPr>
          <w:rFonts w:hint="eastAsia" w:asciiTheme="minorEastAsia" w:hAnsiTheme="minorEastAsia" w:eastAsiaTheme="minorEastAsia"/>
          <w:color w:val="auto"/>
          <w:szCs w:val="21"/>
          <w:highlight w:val="none"/>
        </w:rPr>
        <w:t>的备选投标方案方可予以考虑。评标委员会认为中标人的备选投标方案优于其按照采购文件要求编制的投标方案的，采购人可以接受该备选投标方案。</w:t>
      </w:r>
    </w:p>
    <w:p w14:paraId="2A5D47A7">
      <w:pPr>
        <w:spacing w:line="360" w:lineRule="auto"/>
        <w:ind w:firstLine="482"/>
        <w:outlineLvl w:val="3"/>
        <w:rPr>
          <w:rFonts w:hint="eastAsia" w:ascii="宋体" w:hAnsi="宋体"/>
          <w:b/>
          <w:bCs/>
          <w:color w:val="auto"/>
          <w:sz w:val="24"/>
          <w:szCs w:val="24"/>
          <w:highlight w:val="none"/>
        </w:rPr>
      </w:pPr>
      <w:bookmarkStart w:id="574" w:name="_Toc42205003"/>
      <w:bookmarkStart w:id="575" w:name="_Toc87543828"/>
      <w:bookmarkStart w:id="576" w:name="_Toc42267642"/>
      <w:bookmarkStart w:id="577" w:name="_Toc81330949"/>
      <w:bookmarkStart w:id="578" w:name="_Toc98865021"/>
      <w:bookmarkStart w:id="579" w:name="_Toc110405144"/>
      <w:bookmarkStart w:id="580" w:name="_Toc84356262"/>
      <w:bookmarkStart w:id="581" w:name="_Toc83753902"/>
      <w:bookmarkStart w:id="582" w:name="_Toc45791364"/>
      <w:bookmarkStart w:id="583" w:name="_Toc69678439"/>
      <w:bookmarkStart w:id="584" w:name="_Toc75783541"/>
      <w:bookmarkStart w:id="585" w:name="_Toc87538379"/>
      <w:bookmarkStart w:id="586" w:name="_Toc109809322"/>
      <w:bookmarkStart w:id="587" w:name="_Toc16675"/>
      <w:bookmarkStart w:id="588" w:name="_Toc45976910"/>
      <w:bookmarkStart w:id="589" w:name="_Toc53412226"/>
      <w:bookmarkStart w:id="590" w:name="_Toc98033944"/>
      <w:bookmarkStart w:id="591" w:name="_Toc116584010"/>
      <w:r>
        <w:rPr>
          <w:rFonts w:hint="eastAsia" w:ascii="宋体" w:hAnsi="宋体"/>
          <w:b/>
          <w:bCs/>
          <w:color w:val="auto"/>
          <w:sz w:val="24"/>
          <w:szCs w:val="24"/>
          <w:highlight w:val="none"/>
        </w:rPr>
        <w:t>3.7 投标文件的编制</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57929EB1">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3.7.1投标文件的</w:t>
      </w:r>
      <w:r>
        <w:rPr>
          <w:rFonts w:asciiTheme="minorEastAsia" w:hAnsiTheme="minorEastAsia" w:eastAsiaTheme="minorEastAsia"/>
          <w:color w:val="auto"/>
          <w:szCs w:val="21"/>
          <w:highlight w:val="none"/>
        </w:rPr>
        <w:t>格式：见供应商须知前附表。</w:t>
      </w:r>
    </w:p>
    <w:p w14:paraId="2EDEE204">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3.7.2投标文件应当对采购文件中有关采购内容、交货期、投标有效期、质量要求、等实质性内容作出响应。</w:t>
      </w:r>
    </w:p>
    <w:p w14:paraId="379174A4">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3.7.3投标文件的签署：</w:t>
      </w:r>
      <w:r>
        <w:rPr>
          <w:rFonts w:hint="eastAsia" w:asciiTheme="minorEastAsia" w:hAnsiTheme="minorEastAsia" w:eastAsiaTheme="minorEastAsia"/>
          <w:color w:val="auto"/>
          <w:highlight w:val="none"/>
        </w:rPr>
        <w:t>见供应商须知前附表。</w:t>
      </w:r>
    </w:p>
    <w:p w14:paraId="62349277">
      <w:pPr>
        <w:spacing w:line="360" w:lineRule="auto"/>
        <w:jc w:val="center"/>
        <w:outlineLvl w:val="2"/>
        <w:rPr>
          <w:rFonts w:hint="eastAsia" w:asciiTheme="minorEastAsia" w:hAnsiTheme="minorEastAsia" w:eastAsiaTheme="minorEastAsia"/>
          <w:b/>
          <w:bCs/>
          <w:color w:val="auto"/>
          <w:sz w:val="28"/>
          <w:szCs w:val="28"/>
          <w:highlight w:val="none"/>
        </w:rPr>
      </w:pPr>
      <w:bookmarkStart w:id="592" w:name="_Toc84356263"/>
      <w:bookmarkStart w:id="593" w:name="_Toc381796410"/>
      <w:bookmarkStart w:id="594" w:name="_Toc42205004"/>
      <w:bookmarkStart w:id="595" w:name="_Toc292983020"/>
      <w:bookmarkStart w:id="596" w:name="_Toc37603105"/>
      <w:bookmarkStart w:id="597" w:name="_Toc42267643"/>
      <w:bookmarkStart w:id="598" w:name="_Toc109809323"/>
      <w:bookmarkStart w:id="599" w:name="_Toc45976911"/>
      <w:bookmarkStart w:id="600" w:name="_Toc83753903"/>
      <w:bookmarkStart w:id="601" w:name="_Toc24563"/>
      <w:bookmarkStart w:id="602" w:name="_Toc98033945"/>
      <w:bookmarkStart w:id="603" w:name="_Toc110405145"/>
      <w:bookmarkStart w:id="604" w:name="_Toc98865022"/>
      <w:bookmarkStart w:id="605" w:name="_Toc87543829"/>
      <w:bookmarkStart w:id="606" w:name="_Toc45791365"/>
      <w:bookmarkStart w:id="607" w:name="_Toc87538380"/>
      <w:bookmarkStart w:id="608" w:name="_Toc116584011"/>
      <w:r>
        <w:rPr>
          <w:rFonts w:hint="eastAsia" w:asciiTheme="minorEastAsia" w:hAnsiTheme="minorEastAsia" w:eastAsiaTheme="minorEastAsia"/>
          <w:b/>
          <w:bCs/>
          <w:color w:val="auto"/>
          <w:sz w:val="28"/>
          <w:szCs w:val="28"/>
          <w:highlight w:val="none"/>
        </w:rPr>
        <w:t>4.投标文件的</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Pr>
          <w:rFonts w:hint="eastAsia" w:asciiTheme="minorEastAsia" w:hAnsiTheme="minorEastAsia" w:eastAsiaTheme="minorEastAsia"/>
          <w:b/>
          <w:bCs/>
          <w:color w:val="auto"/>
          <w:sz w:val="28"/>
          <w:szCs w:val="28"/>
          <w:highlight w:val="none"/>
        </w:rPr>
        <w:t>递交</w:t>
      </w:r>
      <w:bookmarkEnd w:id="608"/>
    </w:p>
    <w:p w14:paraId="15E3C5BC">
      <w:pPr>
        <w:spacing w:line="360" w:lineRule="auto"/>
        <w:ind w:firstLine="482"/>
        <w:outlineLvl w:val="3"/>
        <w:rPr>
          <w:rFonts w:hint="eastAsia" w:ascii="宋体" w:hAnsi="宋体"/>
          <w:b/>
          <w:bCs/>
          <w:color w:val="auto"/>
          <w:sz w:val="24"/>
          <w:szCs w:val="24"/>
          <w:highlight w:val="none"/>
        </w:rPr>
      </w:pPr>
      <w:bookmarkStart w:id="609" w:name="_Toc42205005"/>
      <w:bookmarkStart w:id="610" w:name="_Toc69678441"/>
      <w:bookmarkStart w:id="611" w:name="_Toc116584012"/>
      <w:bookmarkStart w:id="612" w:name="_Toc87538381"/>
      <w:bookmarkStart w:id="613" w:name="_Toc81330951"/>
      <w:bookmarkStart w:id="614" w:name="_Toc110405146"/>
      <w:bookmarkStart w:id="615" w:name="_Toc45791366"/>
      <w:bookmarkStart w:id="616" w:name="_Toc53412228"/>
      <w:bookmarkStart w:id="617" w:name="_Toc45976912"/>
      <w:bookmarkStart w:id="618" w:name="_Toc98033946"/>
      <w:bookmarkStart w:id="619" w:name="_Toc84356264"/>
      <w:bookmarkStart w:id="620" w:name="_Toc109809324"/>
      <w:bookmarkStart w:id="621" w:name="_Toc83753904"/>
      <w:bookmarkStart w:id="622" w:name="_Toc87543830"/>
      <w:bookmarkStart w:id="623" w:name="_Toc98865023"/>
      <w:bookmarkStart w:id="624" w:name="_Toc42267644"/>
      <w:bookmarkStart w:id="625" w:name="_Toc75783543"/>
      <w:bookmarkStart w:id="626" w:name="_Toc6542"/>
      <w:r>
        <w:rPr>
          <w:rFonts w:hint="eastAsia" w:ascii="宋体" w:hAnsi="宋体"/>
          <w:b/>
          <w:bCs/>
          <w:color w:val="auto"/>
          <w:sz w:val="24"/>
          <w:szCs w:val="24"/>
          <w:highlight w:val="none"/>
        </w:rPr>
        <w:t>4.1投标文件的</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Pr>
          <w:rFonts w:hint="eastAsia" w:ascii="宋体" w:hAnsi="宋体"/>
          <w:b/>
          <w:bCs/>
          <w:color w:val="auto"/>
          <w:sz w:val="24"/>
          <w:szCs w:val="24"/>
          <w:highlight w:val="none"/>
        </w:rPr>
        <w:t>加密</w:t>
      </w:r>
    </w:p>
    <w:p w14:paraId="5E25835A">
      <w:pPr>
        <w:spacing w:line="360" w:lineRule="auto"/>
        <w:ind w:firstLine="420" w:firstLineChars="200"/>
        <w:jc w:val="left"/>
        <w:rPr>
          <w:rFonts w:hint="eastAsia" w:asciiTheme="minorEastAsia" w:hAnsiTheme="minorEastAsia" w:eastAsiaTheme="minorEastAsia"/>
          <w:color w:val="auto"/>
          <w:szCs w:val="28"/>
          <w:highlight w:val="none"/>
        </w:rPr>
      </w:pPr>
      <w:bookmarkStart w:id="627" w:name="_Toc45791367"/>
      <w:bookmarkStart w:id="628" w:name="_Toc75783544"/>
      <w:bookmarkStart w:id="629" w:name="_Toc69678442"/>
      <w:bookmarkStart w:id="630" w:name="_Toc45976913"/>
      <w:bookmarkStart w:id="631" w:name="_Toc83753905"/>
      <w:bookmarkStart w:id="632" w:name="_Toc53412229"/>
      <w:bookmarkStart w:id="633" w:name="_Toc42205006"/>
      <w:bookmarkStart w:id="634" w:name="_Toc98865024"/>
      <w:bookmarkStart w:id="635" w:name="_Toc87538382"/>
      <w:bookmarkStart w:id="636" w:name="_Toc110405147"/>
      <w:bookmarkStart w:id="637" w:name="_Toc109809325"/>
      <w:bookmarkStart w:id="638" w:name="_Toc84356265"/>
      <w:bookmarkStart w:id="639" w:name="_Toc81330952"/>
      <w:bookmarkStart w:id="640" w:name="_Toc98033947"/>
      <w:bookmarkStart w:id="641" w:name="_Toc42267645"/>
      <w:bookmarkStart w:id="642" w:name="_Toc87543831"/>
      <w:bookmarkStart w:id="643" w:name="_Toc17162"/>
      <w:r>
        <w:rPr>
          <w:rFonts w:hint="eastAsia" w:asciiTheme="minorEastAsia" w:hAnsiTheme="minorEastAsia" w:eastAsiaTheme="minorEastAsia"/>
          <w:color w:val="auto"/>
          <w:szCs w:val="28"/>
          <w:highlight w:val="none"/>
        </w:rPr>
        <w:t>4.1.1投标文件的加密：见供应商须知前附表。</w:t>
      </w:r>
    </w:p>
    <w:p w14:paraId="602D0D87">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4.1.2未按本章第4.1.1项要求加密的投标文件，采购人不予受理。</w:t>
      </w:r>
    </w:p>
    <w:p w14:paraId="3B6CDB38">
      <w:pPr>
        <w:spacing w:line="360" w:lineRule="auto"/>
        <w:ind w:firstLine="482"/>
        <w:outlineLvl w:val="3"/>
        <w:rPr>
          <w:rFonts w:hint="eastAsia" w:ascii="宋体" w:hAnsi="宋体"/>
          <w:b/>
          <w:bCs/>
          <w:color w:val="auto"/>
          <w:sz w:val="24"/>
          <w:szCs w:val="24"/>
          <w:highlight w:val="none"/>
        </w:rPr>
      </w:pPr>
      <w:bookmarkStart w:id="644" w:name="_Toc116584013"/>
      <w:r>
        <w:rPr>
          <w:rFonts w:hint="eastAsia" w:ascii="宋体" w:hAnsi="宋体"/>
          <w:b/>
          <w:bCs/>
          <w:color w:val="auto"/>
          <w:sz w:val="24"/>
          <w:szCs w:val="24"/>
          <w:highlight w:val="none"/>
        </w:rPr>
        <w:t>4.2 投标文件的</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Pr>
          <w:rFonts w:hint="eastAsia" w:ascii="宋体" w:hAnsi="宋体"/>
          <w:b/>
          <w:bCs/>
          <w:color w:val="auto"/>
          <w:sz w:val="24"/>
          <w:szCs w:val="24"/>
          <w:highlight w:val="none"/>
        </w:rPr>
        <w:t>递交</w:t>
      </w:r>
      <w:bookmarkEnd w:id="644"/>
    </w:p>
    <w:p w14:paraId="5A22D1C1">
      <w:pPr>
        <w:spacing w:line="360" w:lineRule="auto"/>
        <w:ind w:firstLine="420" w:firstLineChars="200"/>
        <w:jc w:val="left"/>
        <w:rPr>
          <w:rFonts w:hint="eastAsia" w:asciiTheme="minorEastAsia" w:hAnsiTheme="minorEastAsia" w:eastAsiaTheme="minorEastAsia"/>
          <w:color w:val="auto"/>
          <w:szCs w:val="28"/>
          <w:highlight w:val="none"/>
        </w:rPr>
      </w:pPr>
      <w:bookmarkStart w:id="645" w:name="_Toc98865025"/>
      <w:bookmarkStart w:id="646" w:name="_Toc98033948"/>
      <w:bookmarkStart w:id="647" w:name="_Toc109809326"/>
      <w:bookmarkStart w:id="648" w:name="_Toc87538383"/>
      <w:bookmarkStart w:id="649" w:name="_Toc83753906"/>
      <w:bookmarkStart w:id="650" w:name="_Toc110405148"/>
      <w:bookmarkStart w:id="651" w:name="_Toc53412230"/>
      <w:bookmarkStart w:id="652" w:name="_Toc45976914"/>
      <w:bookmarkStart w:id="653" w:name="_Toc42205007"/>
      <w:bookmarkStart w:id="654" w:name="_Toc14942"/>
      <w:bookmarkStart w:id="655" w:name="_Toc69678443"/>
      <w:bookmarkStart w:id="656" w:name="_Toc84356266"/>
      <w:bookmarkStart w:id="657" w:name="_Toc75783545"/>
      <w:bookmarkStart w:id="658" w:name="_Toc45791368"/>
      <w:bookmarkStart w:id="659" w:name="_Toc81330953"/>
      <w:bookmarkStart w:id="660" w:name="_Toc42267646"/>
      <w:bookmarkStart w:id="661" w:name="_Toc87543832"/>
      <w:r>
        <w:rPr>
          <w:rFonts w:hint="eastAsia" w:asciiTheme="minorEastAsia" w:hAnsiTheme="minorEastAsia" w:eastAsiaTheme="minorEastAsia"/>
          <w:color w:val="auto"/>
          <w:szCs w:val="28"/>
          <w:highlight w:val="none"/>
        </w:rPr>
        <w:t>4.2.</w:t>
      </w:r>
      <w:r>
        <w:rPr>
          <w:rFonts w:asciiTheme="minorEastAsia" w:hAnsiTheme="minorEastAsia" w:eastAsiaTheme="minorEastAsia"/>
          <w:color w:val="auto"/>
          <w:szCs w:val="28"/>
          <w:highlight w:val="none"/>
        </w:rPr>
        <w:t>1</w:t>
      </w:r>
      <w:r>
        <w:rPr>
          <w:rFonts w:hint="eastAsia" w:asciiTheme="minorEastAsia" w:hAnsiTheme="minorEastAsia" w:eastAsiaTheme="minorEastAsia"/>
          <w:color w:val="auto"/>
          <w:szCs w:val="28"/>
          <w:highlight w:val="none"/>
        </w:rPr>
        <w:t>投标文件的递交：见供应商须知前附表。</w:t>
      </w:r>
    </w:p>
    <w:p w14:paraId="04D5ADDC">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4.2.</w:t>
      </w:r>
      <w:r>
        <w:rPr>
          <w:rFonts w:asciiTheme="minorEastAsia" w:hAnsiTheme="minorEastAsia" w:eastAsiaTheme="minorEastAsia"/>
          <w:color w:val="auto"/>
          <w:szCs w:val="28"/>
          <w:highlight w:val="none"/>
        </w:rPr>
        <w:t>2</w:t>
      </w:r>
      <w:r>
        <w:rPr>
          <w:rFonts w:hint="eastAsia" w:asciiTheme="minorEastAsia" w:hAnsiTheme="minorEastAsia" w:eastAsiaTheme="minorEastAsia"/>
          <w:color w:val="auto"/>
          <w:szCs w:val="28"/>
          <w:highlight w:val="none"/>
        </w:rPr>
        <w:t>除供应商须知前附表另有规定外，供应商所递交的投标文件不予退还。</w:t>
      </w:r>
    </w:p>
    <w:p w14:paraId="147B951C">
      <w:pPr>
        <w:spacing w:line="360" w:lineRule="auto"/>
        <w:ind w:firstLine="482"/>
        <w:outlineLvl w:val="3"/>
        <w:rPr>
          <w:rFonts w:hint="eastAsia" w:ascii="宋体" w:hAnsi="宋体"/>
          <w:b/>
          <w:bCs/>
          <w:color w:val="auto"/>
          <w:sz w:val="24"/>
          <w:szCs w:val="24"/>
          <w:highlight w:val="none"/>
        </w:rPr>
      </w:pPr>
      <w:bookmarkStart w:id="662" w:name="_Toc116584014"/>
      <w:r>
        <w:rPr>
          <w:rFonts w:hint="eastAsia" w:ascii="宋体" w:hAnsi="宋体"/>
          <w:b/>
          <w:bCs/>
          <w:color w:val="auto"/>
          <w:sz w:val="24"/>
          <w:szCs w:val="24"/>
          <w:highlight w:val="none"/>
        </w:rPr>
        <w:t>4.3投标文件修改和撤回</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641411E3">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4.3.1在本章第2.2.2项规定的</w:t>
      </w:r>
      <w:r>
        <w:rPr>
          <w:rFonts w:hint="eastAsia" w:asciiTheme="minorEastAsia" w:hAnsiTheme="minorEastAsia" w:eastAsiaTheme="minorEastAsia"/>
          <w:color w:val="auto"/>
          <w:szCs w:val="21"/>
          <w:highlight w:val="none"/>
        </w:rPr>
        <w:t>投标文件递交截止时间</w:t>
      </w:r>
      <w:r>
        <w:rPr>
          <w:rFonts w:hint="eastAsia" w:asciiTheme="minorEastAsia" w:hAnsiTheme="minorEastAsia" w:eastAsiaTheme="minorEastAsia"/>
          <w:color w:val="auto"/>
          <w:szCs w:val="28"/>
          <w:highlight w:val="none"/>
        </w:rPr>
        <w:t>前，供应商可以修改或撤回已在网上递交的投标文件，无需通知采购人和采购代理机构。</w:t>
      </w:r>
    </w:p>
    <w:p w14:paraId="70FF0C93">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4.3.2修改的投标文件应按照本章第3条、第4条的规定进行编制、密封、标记和递交。</w:t>
      </w:r>
    </w:p>
    <w:p w14:paraId="03925ED0">
      <w:pPr>
        <w:spacing w:line="360" w:lineRule="auto"/>
        <w:jc w:val="center"/>
        <w:outlineLvl w:val="2"/>
        <w:rPr>
          <w:rFonts w:hint="eastAsia" w:asciiTheme="minorEastAsia" w:hAnsiTheme="minorEastAsia" w:eastAsiaTheme="minorEastAsia"/>
          <w:b/>
          <w:bCs/>
          <w:color w:val="auto"/>
          <w:sz w:val="28"/>
          <w:szCs w:val="28"/>
          <w:highlight w:val="none"/>
        </w:rPr>
      </w:pPr>
      <w:bookmarkStart w:id="663" w:name="_Toc109809327"/>
      <w:bookmarkStart w:id="664" w:name="_Toc87543833"/>
      <w:bookmarkStart w:id="665" w:name="_Toc83753907"/>
      <w:bookmarkStart w:id="666" w:name="_Toc87538384"/>
      <w:bookmarkStart w:id="667" w:name="_Toc110405149"/>
      <w:bookmarkStart w:id="668" w:name="_Toc381796411"/>
      <w:bookmarkStart w:id="669" w:name="_Toc42267647"/>
      <w:bookmarkStart w:id="670" w:name="_Toc45976915"/>
      <w:bookmarkStart w:id="671" w:name="_Toc292983021"/>
      <w:bookmarkStart w:id="672" w:name="_Toc116584015"/>
      <w:bookmarkStart w:id="673" w:name="_Toc45791369"/>
      <w:bookmarkStart w:id="674" w:name="_Toc98865026"/>
      <w:bookmarkStart w:id="675" w:name="_Toc42205008"/>
      <w:bookmarkStart w:id="676" w:name="_Toc21759"/>
      <w:bookmarkStart w:id="677" w:name="_Toc37603106"/>
      <w:bookmarkStart w:id="678" w:name="_Toc84356267"/>
      <w:bookmarkStart w:id="679" w:name="_Toc98033949"/>
      <w:r>
        <w:rPr>
          <w:rFonts w:hint="eastAsia" w:asciiTheme="minorEastAsia" w:hAnsiTheme="minorEastAsia" w:eastAsiaTheme="minorEastAsia"/>
          <w:b/>
          <w:bCs/>
          <w:color w:val="auto"/>
          <w:sz w:val="28"/>
          <w:szCs w:val="28"/>
          <w:highlight w:val="none"/>
        </w:rPr>
        <w:t>5.开标</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14:paraId="214C0B56">
      <w:pPr>
        <w:spacing w:line="360" w:lineRule="auto"/>
        <w:ind w:firstLine="482"/>
        <w:outlineLvl w:val="3"/>
        <w:rPr>
          <w:rFonts w:hint="eastAsia" w:ascii="宋体" w:hAnsi="宋体"/>
          <w:b/>
          <w:bCs/>
          <w:color w:val="auto"/>
          <w:sz w:val="24"/>
          <w:szCs w:val="24"/>
          <w:highlight w:val="none"/>
        </w:rPr>
      </w:pPr>
      <w:bookmarkStart w:id="680" w:name="_Toc83753908"/>
      <w:bookmarkStart w:id="681" w:name="_Toc12148"/>
      <w:bookmarkStart w:id="682" w:name="_Toc42267648"/>
      <w:bookmarkStart w:id="683" w:name="_Toc87543834"/>
      <w:bookmarkStart w:id="684" w:name="_Toc81330955"/>
      <w:bookmarkStart w:id="685" w:name="_Toc75783547"/>
      <w:bookmarkStart w:id="686" w:name="_Toc42205009"/>
      <w:bookmarkStart w:id="687" w:name="_Toc98033950"/>
      <w:bookmarkStart w:id="688" w:name="_Toc110405150"/>
      <w:bookmarkStart w:id="689" w:name="_Toc87538385"/>
      <w:bookmarkStart w:id="690" w:name="_Toc84356268"/>
      <w:bookmarkStart w:id="691" w:name="_Toc109809328"/>
      <w:bookmarkStart w:id="692" w:name="_Toc69678445"/>
      <w:bookmarkStart w:id="693" w:name="_Toc45791370"/>
      <w:bookmarkStart w:id="694" w:name="_Toc45976916"/>
      <w:bookmarkStart w:id="695" w:name="_Toc98865027"/>
      <w:bookmarkStart w:id="696" w:name="_Toc53412232"/>
      <w:bookmarkStart w:id="697" w:name="_Toc116584016"/>
      <w:r>
        <w:rPr>
          <w:rFonts w:hint="eastAsia" w:ascii="宋体" w:hAnsi="宋体"/>
          <w:b/>
          <w:bCs/>
          <w:color w:val="auto"/>
          <w:sz w:val="24"/>
          <w:szCs w:val="24"/>
          <w:highlight w:val="none"/>
        </w:rPr>
        <w:t>5.1</w:t>
      </w:r>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r>
        <w:rPr>
          <w:rFonts w:hint="eastAsia" w:ascii="宋体" w:hAnsi="宋体"/>
          <w:b/>
          <w:bCs/>
          <w:color w:val="auto"/>
          <w:sz w:val="24"/>
          <w:szCs w:val="24"/>
          <w:highlight w:val="none"/>
        </w:rPr>
        <w:t>开标时间和地点</w:t>
      </w:r>
      <w:bookmarkEnd w:id="697"/>
    </w:p>
    <w:p w14:paraId="7D5B9770">
      <w:pPr>
        <w:spacing w:line="360" w:lineRule="auto"/>
        <w:ind w:firstLine="420" w:firstLineChars="200"/>
        <w:jc w:val="left"/>
        <w:rPr>
          <w:rFonts w:hint="eastAsia" w:asciiTheme="minorEastAsia" w:hAnsiTheme="minorEastAsia" w:eastAsiaTheme="minorEastAsia"/>
          <w:color w:val="auto"/>
          <w:szCs w:val="28"/>
          <w:highlight w:val="none"/>
        </w:rPr>
      </w:pPr>
      <w:bookmarkStart w:id="698" w:name="_Toc98865028"/>
      <w:bookmarkStart w:id="699" w:name="_Toc23677"/>
      <w:bookmarkStart w:id="700" w:name="_Toc98033951"/>
      <w:bookmarkStart w:id="701" w:name="_Toc87543835"/>
      <w:bookmarkStart w:id="702" w:name="_Toc53412233"/>
      <w:bookmarkStart w:id="703" w:name="_Toc45791371"/>
      <w:bookmarkStart w:id="704" w:name="_Toc110405151"/>
      <w:bookmarkStart w:id="705" w:name="_Toc75783548"/>
      <w:bookmarkStart w:id="706" w:name="_Toc87538386"/>
      <w:bookmarkStart w:id="707" w:name="_Toc83753909"/>
      <w:bookmarkStart w:id="708" w:name="_Toc42267649"/>
      <w:bookmarkStart w:id="709" w:name="_Toc81330956"/>
      <w:bookmarkStart w:id="710" w:name="_Toc45976917"/>
      <w:bookmarkStart w:id="711" w:name="_Toc42205010"/>
      <w:bookmarkStart w:id="712" w:name="_Toc84356269"/>
      <w:bookmarkStart w:id="713" w:name="_Toc109809329"/>
      <w:bookmarkStart w:id="714" w:name="_Toc69678446"/>
      <w:r>
        <w:rPr>
          <w:rFonts w:hint="eastAsia" w:asciiTheme="minorEastAsia" w:hAnsiTheme="minorEastAsia" w:eastAsiaTheme="minorEastAsia"/>
          <w:color w:val="auto"/>
          <w:szCs w:val="28"/>
          <w:highlight w:val="none"/>
        </w:rPr>
        <w:t>见供应商须知前附表。</w:t>
      </w:r>
    </w:p>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14:paraId="3DCDA28B">
      <w:pPr>
        <w:spacing w:line="360" w:lineRule="auto"/>
        <w:ind w:firstLine="482"/>
        <w:outlineLvl w:val="3"/>
        <w:rPr>
          <w:rFonts w:hint="eastAsia" w:ascii="宋体" w:hAnsi="宋体"/>
          <w:b/>
          <w:bCs/>
          <w:color w:val="auto"/>
          <w:sz w:val="24"/>
          <w:szCs w:val="24"/>
          <w:highlight w:val="none"/>
        </w:rPr>
      </w:pPr>
      <w:bookmarkStart w:id="715" w:name="_Toc98865029"/>
      <w:bookmarkStart w:id="716" w:name="_Toc45791372"/>
      <w:bookmarkStart w:id="717" w:name="_Toc81330957"/>
      <w:bookmarkStart w:id="718" w:name="_Toc42267650"/>
      <w:bookmarkStart w:id="719" w:name="_Toc69678447"/>
      <w:bookmarkStart w:id="720" w:name="_Toc87538387"/>
      <w:bookmarkStart w:id="721" w:name="_Toc109809330"/>
      <w:bookmarkStart w:id="722" w:name="_Toc83753910"/>
      <w:bookmarkStart w:id="723" w:name="_Toc116584017"/>
      <w:bookmarkStart w:id="724" w:name="_Toc42205011"/>
      <w:bookmarkStart w:id="725" w:name="_Toc110405152"/>
      <w:bookmarkStart w:id="726" w:name="_Toc75783549"/>
      <w:bookmarkStart w:id="727" w:name="_Toc84356270"/>
      <w:bookmarkStart w:id="728" w:name="_Toc98033952"/>
      <w:bookmarkStart w:id="729" w:name="_Toc87543836"/>
      <w:bookmarkStart w:id="730" w:name="_Toc45976918"/>
      <w:bookmarkStart w:id="731" w:name="_Toc53412234"/>
      <w:bookmarkStart w:id="732" w:name="_Toc11738"/>
      <w:r>
        <w:rPr>
          <w:rFonts w:hint="eastAsia" w:ascii="宋体" w:hAnsi="宋体"/>
          <w:b/>
          <w:bCs/>
          <w:color w:val="auto"/>
          <w:sz w:val="24"/>
          <w:szCs w:val="24"/>
          <w:highlight w:val="none"/>
        </w:rPr>
        <w:t>5.2</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Start w:id="733" w:name="_Toc116584018"/>
      <w:bookmarkStart w:id="734" w:name="_Toc45791373"/>
      <w:bookmarkStart w:id="735" w:name="_Toc18249"/>
      <w:bookmarkStart w:id="736" w:name="_Toc109809331"/>
      <w:bookmarkStart w:id="737" w:name="_Toc75783550"/>
      <w:bookmarkStart w:id="738" w:name="_Toc69678448"/>
      <w:bookmarkStart w:id="739" w:name="_Toc87543837"/>
      <w:bookmarkStart w:id="740" w:name="_Toc53412235"/>
      <w:bookmarkStart w:id="741" w:name="_Toc84356271"/>
      <w:bookmarkStart w:id="742" w:name="_Toc42205012"/>
      <w:bookmarkStart w:id="743" w:name="_Toc42267651"/>
      <w:bookmarkStart w:id="744" w:name="_Toc45976919"/>
      <w:bookmarkStart w:id="745" w:name="_Toc87538388"/>
      <w:bookmarkStart w:id="746" w:name="_Toc110405153"/>
      <w:bookmarkStart w:id="747" w:name="_Toc81330958"/>
      <w:bookmarkStart w:id="748" w:name="_Toc98033953"/>
      <w:bookmarkStart w:id="749" w:name="_Toc98865030"/>
      <w:bookmarkStart w:id="750" w:name="_Toc83753911"/>
      <w:r>
        <w:rPr>
          <w:rFonts w:hint="eastAsia" w:ascii="宋体" w:hAnsi="宋体"/>
          <w:b/>
          <w:bCs/>
          <w:color w:val="auto"/>
          <w:sz w:val="24"/>
          <w:szCs w:val="24"/>
          <w:highlight w:val="none"/>
        </w:rPr>
        <w:t xml:space="preserve"> 开标程序</w:t>
      </w:r>
    </w:p>
    <w:p w14:paraId="14E175E8">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见供应商须知前附表。</w:t>
      </w:r>
    </w:p>
    <w:p w14:paraId="2874FCBB">
      <w:pPr>
        <w:spacing w:line="360" w:lineRule="auto"/>
        <w:ind w:firstLine="482"/>
        <w:outlineLvl w:val="3"/>
        <w:rPr>
          <w:rFonts w:hint="eastAsia" w:ascii="宋体" w:hAnsi="宋体"/>
          <w:b/>
          <w:bCs/>
          <w:color w:val="auto"/>
          <w:sz w:val="24"/>
          <w:szCs w:val="24"/>
          <w:highlight w:val="none"/>
        </w:rPr>
      </w:pPr>
      <w:r>
        <w:rPr>
          <w:rFonts w:hint="eastAsia" w:ascii="宋体" w:hAnsi="宋体"/>
          <w:b/>
          <w:bCs/>
          <w:color w:val="auto"/>
          <w:sz w:val="24"/>
          <w:szCs w:val="24"/>
          <w:highlight w:val="none"/>
        </w:rPr>
        <w:t>5.3投标文件的解密方式</w:t>
      </w:r>
      <w:bookmarkEnd w:id="733"/>
    </w:p>
    <w:p w14:paraId="2B10554C">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见供应商须知前附表。</w:t>
      </w:r>
    </w:p>
    <w:p w14:paraId="2CA50367">
      <w:pPr>
        <w:spacing w:line="360" w:lineRule="auto"/>
        <w:ind w:firstLine="482"/>
        <w:outlineLvl w:val="3"/>
        <w:rPr>
          <w:rFonts w:hint="eastAsia" w:ascii="宋体" w:hAnsi="宋体"/>
          <w:b/>
          <w:bCs/>
          <w:color w:val="auto"/>
          <w:sz w:val="24"/>
          <w:szCs w:val="24"/>
          <w:highlight w:val="none"/>
        </w:rPr>
      </w:pPr>
      <w:bookmarkStart w:id="751" w:name="_Toc116584019"/>
      <w:r>
        <w:rPr>
          <w:rFonts w:hint="eastAsia" w:ascii="宋体" w:hAnsi="宋体"/>
          <w:b/>
          <w:bCs/>
          <w:color w:val="auto"/>
          <w:sz w:val="24"/>
          <w:szCs w:val="24"/>
          <w:highlight w:val="none"/>
        </w:rPr>
        <w:t>5.4投标文件有下列情形之一的，采购人不予受理：</w:t>
      </w:r>
      <w:bookmarkEnd w:id="751"/>
    </w:p>
    <w:p w14:paraId="51804223">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5.4.1在2.2.2项规定的</w:t>
      </w:r>
      <w:r>
        <w:rPr>
          <w:rFonts w:hint="eastAsia" w:asciiTheme="minorEastAsia" w:hAnsiTheme="minorEastAsia" w:eastAsiaTheme="minorEastAsia"/>
          <w:color w:val="auto"/>
          <w:szCs w:val="21"/>
          <w:highlight w:val="none"/>
        </w:rPr>
        <w:t>投标文件递交截止时间</w:t>
      </w:r>
      <w:r>
        <w:rPr>
          <w:rFonts w:hint="eastAsia" w:asciiTheme="minorEastAsia" w:hAnsiTheme="minorEastAsia" w:eastAsiaTheme="minorEastAsia"/>
          <w:color w:val="auto"/>
          <w:szCs w:val="28"/>
          <w:highlight w:val="none"/>
        </w:rPr>
        <w:t>以后上传或未成功上传投标文件的。</w:t>
      </w:r>
    </w:p>
    <w:p w14:paraId="407609A3">
      <w:pPr>
        <w:spacing w:line="360" w:lineRule="auto"/>
        <w:ind w:firstLine="420" w:firstLineChars="200"/>
        <w:jc w:val="left"/>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8"/>
          <w:highlight w:val="none"/>
        </w:rPr>
        <w:t>5.4.2供应商递交的电子投标文件格式不符合3.7.1项要求或无法读取导入的。</w:t>
      </w:r>
    </w:p>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14:paraId="0B5C92A7">
      <w:pPr>
        <w:spacing w:line="360" w:lineRule="auto"/>
        <w:jc w:val="center"/>
        <w:outlineLvl w:val="2"/>
        <w:rPr>
          <w:rFonts w:hint="eastAsia" w:asciiTheme="minorEastAsia" w:hAnsiTheme="minorEastAsia" w:eastAsiaTheme="minorEastAsia"/>
          <w:b/>
          <w:bCs/>
          <w:color w:val="auto"/>
          <w:sz w:val="28"/>
          <w:szCs w:val="28"/>
          <w:highlight w:val="none"/>
        </w:rPr>
      </w:pPr>
      <w:bookmarkStart w:id="752" w:name="_Toc98033954"/>
      <w:bookmarkStart w:id="753" w:name="_Toc83753912"/>
      <w:bookmarkStart w:id="754" w:name="_Toc98865031"/>
      <w:bookmarkStart w:id="755" w:name="_Toc110405154"/>
      <w:bookmarkStart w:id="756" w:name="_Toc42267652"/>
      <w:bookmarkStart w:id="757" w:name="_Toc109809332"/>
      <w:bookmarkStart w:id="758" w:name="_Toc87543838"/>
      <w:bookmarkStart w:id="759" w:name="_Toc42205013"/>
      <w:bookmarkStart w:id="760" w:name="_Toc84356272"/>
      <w:bookmarkStart w:id="761" w:name="_Toc19868"/>
      <w:bookmarkStart w:id="762" w:name="_Toc87538389"/>
      <w:bookmarkStart w:id="763" w:name="_Toc45791374"/>
      <w:bookmarkStart w:id="764" w:name="_Toc45976920"/>
      <w:bookmarkStart w:id="765" w:name="_Toc116584021"/>
      <w:r>
        <w:rPr>
          <w:rFonts w:hint="eastAsia" w:asciiTheme="minorEastAsia" w:hAnsiTheme="minorEastAsia" w:eastAsiaTheme="minorEastAsia"/>
          <w:b/>
          <w:bCs/>
          <w:color w:val="auto"/>
          <w:sz w:val="28"/>
          <w:szCs w:val="28"/>
          <w:highlight w:val="none"/>
        </w:rPr>
        <w:t>6.评审</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7972BB60">
      <w:pPr>
        <w:spacing w:line="360" w:lineRule="auto"/>
        <w:ind w:firstLine="482"/>
        <w:outlineLvl w:val="3"/>
        <w:rPr>
          <w:rFonts w:hint="eastAsia" w:ascii="宋体" w:hAnsi="宋体"/>
          <w:b/>
          <w:bCs/>
          <w:color w:val="auto"/>
          <w:sz w:val="24"/>
          <w:szCs w:val="24"/>
          <w:highlight w:val="none"/>
        </w:rPr>
      </w:pPr>
      <w:bookmarkStart w:id="766" w:name="_Toc116584022"/>
      <w:bookmarkStart w:id="767" w:name="_Toc45791375"/>
      <w:bookmarkStart w:id="768" w:name="_Toc53412237"/>
      <w:bookmarkStart w:id="769" w:name="_Toc81330960"/>
      <w:bookmarkStart w:id="770" w:name="_Toc83753913"/>
      <w:bookmarkStart w:id="771" w:name="_Toc98865032"/>
      <w:bookmarkStart w:id="772" w:name="_Toc98033955"/>
      <w:bookmarkStart w:id="773" w:name="_Toc110405155"/>
      <w:bookmarkStart w:id="774" w:name="_Toc42205014"/>
      <w:bookmarkStart w:id="775" w:name="_Toc109809333"/>
      <w:bookmarkStart w:id="776" w:name="_Toc4399"/>
      <w:bookmarkStart w:id="777" w:name="_Toc84356273"/>
      <w:bookmarkStart w:id="778" w:name="_Toc45976921"/>
      <w:bookmarkStart w:id="779" w:name="_Toc87543839"/>
      <w:bookmarkStart w:id="780" w:name="_Toc87538390"/>
      <w:bookmarkStart w:id="781" w:name="_Toc69678450"/>
      <w:bookmarkStart w:id="782" w:name="_Toc75783552"/>
      <w:bookmarkStart w:id="783" w:name="_Toc42267653"/>
      <w:r>
        <w:rPr>
          <w:rFonts w:hint="eastAsia" w:ascii="宋体" w:hAnsi="宋体"/>
          <w:b/>
          <w:bCs/>
          <w:color w:val="auto"/>
          <w:sz w:val="24"/>
          <w:szCs w:val="24"/>
          <w:highlight w:val="none"/>
        </w:rPr>
        <w:t>6.1 评标委员会</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418B403F">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8"/>
          <w:highlight w:val="none"/>
        </w:rPr>
        <w:t>6.1.1本项目的评审工作由采购人依法组建的评标委员会负责。评标委员会</w:t>
      </w:r>
      <w:r>
        <w:rPr>
          <w:rFonts w:asciiTheme="minorEastAsia" w:hAnsiTheme="minorEastAsia" w:eastAsiaTheme="minorEastAsia"/>
          <w:color w:val="auto"/>
          <w:szCs w:val="21"/>
          <w:highlight w:val="none"/>
        </w:rPr>
        <w:t>由</w:t>
      </w:r>
      <w:r>
        <w:rPr>
          <w:rFonts w:hint="eastAsia" w:asciiTheme="minorEastAsia" w:hAnsiTheme="minorEastAsia" w:eastAsiaTheme="minorEastAsia"/>
          <w:color w:val="auto"/>
          <w:szCs w:val="28"/>
          <w:highlight w:val="none"/>
        </w:rPr>
        <w:t>采购人代表及</w:t>
      </w:r>
      <w:r>
        <w:rPr>
          <w:rFonts w:asciiTheme="minorEastAsia" w:hAnsiTheme="minorEastAsia" w:eastAsiaTheme="minorEastAsia"/>
          <w:color w:val="auto"/>
          <w:szCs w:val="21"/>
          <w:highlight w:val="none"/>
        </w:rPr>
        <w:t>有关技术、经济等方面的</w:t>
      </w:r>
      <w:r>
        <w:rPr>
          <w:rFonts w:hint="eastAsia" w:asciiTheme="minorEastAsia" w:hAnsiTheme="minorEastAsia" w:eastAsiaTheme="minorEastAsia"/>
          <w:color w:val="auto"/>
          <w:szCs w:val="21"/>
          <w:highlight w:val="none"/>
        </w:rPr>
        <w:t>人员</w:t>
      </w:r>
      <w:r>
        <w:rPr>
          <w:rFonts w:asciiTheme="minorEastAsia" w:hAnsiTheme="minorEastAsia" w:eastAsiaTheme="minorEastAsia"/>
          <w:color w:val="auto"/>
          <w:szCs w:val="21"/>
          <w:highlight w:val="none"/>
        </w:rPr>
        <w:t>组成。</w:t>
      </w:r>
      <w:r>
        <w:rPr>
          <w:rFonts w:hint="eastAsia" w:asciiTheme="minorEastAsia" w:hAnsiTheme="minorEastAsia" w:eastAsiaTheme="minorEastAsia"/>
          <w:color w:val="auto"/>
          <w:szCs w:val="28"/>
          <w:highlight w:val="none"/>
        </w:rPr>
        <w:t>评标委员会</w:t>
      </w:r>
      <w:r>
        <w:rPr>
          <w:rFonts w:asciiTheme="minorEastAsia" w:hAnsiTheme="minorEastAsia" w:eastAsiaTheme="minorEastAsia"/>
          <w:color w:val="auto"/>
          <w:szCs w:val="21"/>
          <w:highlight w:val="none"/>
        </w:rPr>
        <w:t>成员人数以及技术、经济等方面</w:t>
      </w:r>
      <w:r>
        <w:rPr>
          <w:rFonts w:hint="eastAsia" w:asciiTheme="minorEastAsia" w:hAnsiTheme="minorEastAsia" w:eastAsiaTheme="minorEastAsia"/>
          <w:color w:val="auto"/>
          <w:szCs w:val="21"/>
          <w:highlight w:val="none"/>
        </w:rPr>
        <w:t>人员</w:t>
      </w:r>
      <w:r>
        <w:rPr>
          <w:rFonts w:asciiTheme="minorEastAsia" w:hAnsiTheme="minorEastAsia" w:eastAsiaTheme="minorEastAsia"/>
          <w:color w:val="auto"/>
          <w:szCs w:val="21"/>
          <w:highlight w:val="none"/>
        </w:rPr>
        <w:t>的确定方式见供应商须知前附表。</w:t>
      </w:r>
    </w:p>
    <w:p w14:paraId="162C79CB">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6.1.2</w:t>
      </w:r>
      <w:r>
        <w:rPr>
          <w:rFonts w:hint="eastAsia" w:asciiTheme="minorEastAsia" w:hAnsiTheme="minorEastAsia" w:eastAsiaTheme="minorEastAsia"/>
          <w:color w:val="auto"/>
          <w:szCs w:val="28"/>
          <w:highlight w:val="none"/>
        </w:rPr>
        <w:t>评标委员会</w:t>
      </w:r>
      <w:r>
        <w:rPr>
          <w:rFonts w:asciiTheme="minorEastAsia" w:hAnsiTheme="minorEastAsia" w:eastAsiaTheme="minorEastAsia"/>
          <w:color w:val="auto"/>
          <w:szCs w:val="21"/>
          <w:highlight w:val="none"/>
        </w:rPr>
        <w:t>成员有下列情形之一的，应当回避：</w:t>
      </w:r>
    </w:p>
    <w:p w14:paraId="43493078">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（1）采购人或供应商的主要负责人的近亲属；</w:t>
      </w:r>
    </w:p>
    <w:p w14:paraId="69D54F9F">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（2）项目主管部门或者行政监督部门的人员；</w:t>
      </w:r>
    </w:p>
    <w:p w14:paraId="375C7369">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（3）与供应商有经济利益关系，可能影响对投标公正评审的；</w:t>
      </w:r>
    </w:p>
    <w:p w14:paraId="70C44527">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（4）曾因在招标、评</w:t>
      </w:r>
      <w:r>
        <w:rPr>
          <w:rFonts w:hint="eastAsia" w:asciiTheme="minorEastAsia" w:hAnsiTheme="minorEastAsia" w:eastAsiaTheme="minorEastAsia"/>
          <w:color w:val="auto"/>
          <w:szCs w:val="21"/>
          <w:highlight w:val="none"/>
        </w:rPr>
        <w:t>标</w:t>
      </w:r>
      <w:r>
        <w:rPr>
          <w:rFonts w:asciiTheme="minorEastAsia" w:hAnsiTheme="minorEastAsia" w:eastAsiaTheme="minorEastAsia"/>
          <w:color w:val="auto"/>
          <w:szCs w:val="21"/>
          <w:highlight w:val="none"/>
        </w:rPr>
        <w:t>以及其他与招标</w:t>
      </w:r>
      <w:r>
        <w:rPr>
          <w:rFonts w:hint="eastAsia" w:asciiTheme="minorEastAsia" w:hAnsiTheme="minorEastAsia" w:eastAsiaTheme="minorEastAsia"/>
          <w:color w:val="auto"/>
          <w:szCs w:val="21"/>
          <w:highlight w:val="none"/>
        </w:rPr>
        <w:t>投标</w:t>
      </w:r>
      <w:r>
        <w:rPr>
          <w:rFonts w:asciiTheme="minorEastAsia" w:hAnsiTheme="minorEastAsia" w:eastAsiaTheme="minorEastAsia"/>
          <w:color w:val="auto"/>
          <w:szCs w:val="21"/>
          <w:highlight w:val="none"/>
        </w:rPr>
        <w:t>有关活动中从事违法行为而受过行政处罚或刑事处罚的。</w:t>
      </w:r>
    </w:p>
    <w:p w14:paraId="349DEA58">
      <w:pPr>
        <w:spacing w:line="360" w:lineRule="auto"/>
        <w:ind w:firstLine="482"/>
        <w:outlineLvl w:val="3"/>
        <w:rPr>
          <w:rFonts w:hint="eastAsia" w:ascii="宋体" w:hAnsi="宋体"/>
          <w:b/>
          <w:bCs/>
          <w:color w:val="auto"/>
          <w:sz w:val="24"/>
          <w:szCs w:val="24"/>
          <w:highlight w:val="none"/>
        </w:rPr>
      </w:pPr>
      <w:bookmarkStart w:id="784" w:name="_Toc75783553"/>
      <w:bookmarkStart w:id="785" w:name="_Toc116584023"/>
      <w:bookmarkStart w:id="786" w:name="_Toc42205015"/>
      <w:bookmarkStart w:id="787" w:name="_Toc110405156"/>
      <w:bookmarkStart w:id="788" w:name="_Toc109809334"/>
      <w:bookmarkStart w:id="789" w:name="_Toc53412238"/>
      <w:bookmarkStart w:id="790" w:name="_Toc98033956"/>
      <w:bookmarkStart w:id="791" w:name="_Toc45791376"/>
      <w:bookmarkStart w:id="792" w:name="_Toc42267654"/>
      <w:bookmarkStart w:id="793" w:name="_Toc83753914"/>
      <w:bookmarkStart w:id="794" w:name="_Toc81330961"/>
      <w:bookmarkStart w:id="795" w:name="_Toc87538391"/>
      <w:bookmarkStart w:id="796" w:name="_Toc87543840"/>
      <w:bookmarkStart w:id="797" w:name="_Toc84356274"/>
      <w:bookmarkStart w:id="798" w:name="_Toc6014"/>
      <w:bookmarkStart w:id="799" w:name="_Toc98865033"/>
      <w:bookmarkStart w:id="800" w:name="_Toc45976922"/>
      <w:bookmarkStart w:id="801" w:name="_Toc69678451"/>
      <w:r>
        <w:rPr>
          <w:rFonts w:hint="eastAsia" w:ascii="宋体" w:hAnsi="宋体"/>
          <w:b/>
          <w:bCs/>
          <w:color w:val="auto"/>
          <w:sz w:val="24"/>
          <w:szCs w:val="24"/>
          <w:highlight w:val="none"/>
        </w:rPr>
        <w:t>6.2 评审原则</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14:paraId="29341181">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评审活动应遵循公平、公正、科学和择优的原则。</w:t>
      </w:r>
    </w:p>
    <w:p w14:paraId="4D904C0B">
      <w:pPr>
        <w:spacing w:line="360" w:lineRule="auto"/>
        <w:ind w:firstLine="482"/>
        <w:outlineLvl w:val="3"/>
        <w:rPr>
          <w:rFonts w:hint="eastAsia" w:ascii="宋体" w:hAnsi="宋体"/>
          <w:b/>
          <w:bCs/>
          <w:color w:val="auto"/>
          <w:sz w:val="24"/>
          <w:szCs w:val="24"/>
          <w:highlight w:val="none"/>
        </w:rPr>
      </w:pPr>
      <w:bookmarkStart w:id="802" w:name="_Toc42205016"/>
      <w:bookmarkStart w:id="803" w:name="_Toc116584024"/>
      <w:bookmarkStart w:id="804" w:name="_Toc87543841"/>
      <w:bookmarkStart w:id="805" w:name="_Toc45976923"/>
      <w:bookmarkStart w:id="806" w:name="_Toc42267655"/>
      <w:bookmarkStart w:id="807" w:name="_Toc109809335"/>
      <w:bookmarkStart w:id="808" w:name="_Toc81330962"/>
      <w:bookmarkStart w:id="809" w:name="_Toc69678452"/>
      <w:bookmarkStart w:id="810" w:name="_Toc98865034"/>
      <w:bookmarkStart w:id="811" w:name="_Toc21353"/>
      <w:bookmarkStart w:id="812" w:name="_Toc45791377"/>
      <w:bookmarkStart w:id="813" w:name="_Toc110405157"/>
      <w:bookmarkStart w:id="814" w:name="_Toc87538392"/>
      <w:bookmarkStart w:id="815" w:name="_Toc84356275"/>
      <w:bookmarkStart w:id="816" w:name="_Toc75783554"/>
      <w:bookmarkStart w:id="817" w:name="_Toc53412239"/>
      <w:bookmarkStart w:id="818" w:name="_Toc98033957"/>
      <w:bookmarkStart w:id="819" w:name="_Toc83753915"/>
      <w:r>
        <w:rPr>
          <w:rFonts w:hint="eastAsia" w:ascii="宋体" w:hAnsi="宋体"/>
          <w:b/>
          <w:bCs/>
          <w:color w:val="auto"/>
          <w:sz w:val="24"/>
          <w:szCs w:val="24"/>
          <w:highlight w:val="none"/>
        </w:rPr>
        <w:t>6.3 评审</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33C21518">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评标委员会按照第七章“评标办法”规定的方法、评审因素、标准和程序对投标文件进行评审，第七章“评标办法”没有规定的方法、评审因素和标准，不得作为评审依据。</w:t>
      </w:r>
    </w:p>
    <w:p w14:paraId="37AFFE0E">
      <w:pPr>
        <w:spacing w:line="360" w:lineRule="auto"/>
        <w:jc w:val="center"/>
        <w:outlineLvl w:val="2"/>
        <w:rPr>
          <w:rFonts w:hint="eastAsia" w:asciiTheme="minorEastAsia" w:hAnsiTheme="minorEastAsia" w:eastAsiaTheme="minorEastAsia"/>
          <w:b/>
          <w:bCs/>
          <w:color w:val="auto"/>
          <w:sz w:val="28"/>
          <w:szCs w:val="28"/>
          <w:highlight w:val="none"/>
        </w:rPr>
      </w:pPr>
      <w:bookmarkStart w:id="820" w:name="_Toc381796412"/>
      <w:bookmarkStart w:id="821" w:name="_Toc42205017"/>
      <w:bookmarkStart w:id="822" w:name="_Toc45976924"/>
      <w:bookmarkStart w:id="823" w:name="_Toc292983022"/>
      <w:bookmarkStart w:id="824" w:name="_Toc11599"/>
      <w:bookmarkStart w:id="825" w:name="_Toc45791378"/>
      <w:bookmarkStart w:id="826" w:name="_Toc98865035"/>
      <w:bookmarkStart w:id="827" w:name="_Toc83753916"/>
      <w:bookmarkStart w:id="828" w:name="_Toc109809336"/>
      <w:bookmarkStart w:id="829" w:name="_Toc42267656"/>
      <w:bookmarkStart w:id="830" w:name="_Toc84356276"/>
      <w:bookmarkStart w:id="831" w:name="_Toc116584025"/>
      <w:bookmarkStart w:id="832" w:name="_Toc37603107"/>
      <w:bookmarkStart w:id="833" w:name="_Toc110405158"/>
      <w:bookmarkStart w:id="834" w:name="_Toc87543842"/>
      <w:bookmarkStart w:id="835" w:name="_Toc87538393"/>
      <w:bookmarkStart w:id="836" w:name="_Toc98033958"/>
      <w:r>
        <w:rPr>
          <w:rFonts w:hint="eastAsia" w:asciiTheme="minorEastAsia" w:hAnsiTheme="minorEastAsia" w:eastAsiaTheme="minorEastAsia"/>
          <w:b/>
          <w:bCs/>
          <w:color w:val="auto"/>
          <w:sz w:val="28"/>
          <w:szCs w:val="28"/>
          <w:highlight w:val="none"/>
        </w:rPr>
        <w:t>7.合同授予</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14:paraId="75B22BBC">
      <w:pPr>
        <w:spacing w:line="360" w:lineRule="auto"/>
        <w:ind w:firstLine="482"/>
        <w:outlineLvl w:val="3"/>
        <w:rPr>
          <w:rFonts w:hint="eastAsia" w:ascii="宋体" w:hAnsi="宋体"/>
          <w:b/>
          <w:bCs/>
          <w:color w:val="auto"/>
          <w:sz w:val="24"/>
          <w:szCs w:val="24"/>
          <w:highlight w:val="none"/>
        </w:rPr>
      </w:pPr>
      <w:bookmarkStart w:id="837" w:name="_Toc79967649"/>
      <w:bookmarkStart w:id="838" w:name="_Toc45452769"/>
      <w:bookmarkStart w:id="839" w:name="_Toc70503243"/>
      <w:bookmarkStart w:id="840" w:name="_Toc18460"/>
      <w:bookmarkStart w:id="841" w:name="_Toc79968010"/>
      <w:bookmarkStart w:id="842" w:name="_Toc42267657"/>
      <w:bookmarkStart w:id="843" w:name="_Toc116584026"/>
      <w:bookmarkStart w:id="844" w:name="_Toc52091975"/>
      <w:bookmarkStart w:id="845" w:name="_Toc98033959"/>
      <w:bookmarkStart w:id="846" w:name="_Toc110405159"/>
      <w:bookmarkStart w:id="847" w:name="_Toc87543843"/>
      <w:bookmarkStart w:id="848" w:name="_Toc98865036"/>
      <w:bookmarkStart w:id="849" w:name="_Toc50559278"/>
      <w:bookmarkStart w:id="850" w:name="_Toc42205018"/>
      <w:bookmarkStart w:id="851" w:name="_Toc48639300"/>
      <w:bookmarkStart w:id="852" w:name="_Toc109809337"/>
      <w:bookmarkStart w:id="853" w:name="_Toc45900551"/>
      <w:bookmarkStart w:id="854" w:name="_Toc124133181"/>
      <w:bookmarkStart w:id="855" w:name="_Toc45452773"/>
      <w:bookmarkStart w:id="856" w:name="_Toc81660839"/>
      <w:bookmarkStart w:id="857" w:name="_Toc81661145"/>
      <w:bookmarkStart w:id="858" w:name="_Toc45900555"/>
      <w:bookmarkStart w:id="859" w:name="_Toc50559282"/>
      <w:bookmarkStart w:id="860" w:name="_Toc81660933"/>
      <w:bookmarkStart w:id="861" w:name="_Toc45976929"/>
      <w:bookmarkStart w:id="862" w:name="_Toc87538397"/>
      <w:bookmarkStart w:id="863" w:name="_Toc83753920"/>
      <w:bookmarkStart w:id="864" w:name="_Toc45791383"/>
      <w:bookmarkStart w:id="865" w:name="_Toc84356280"/>
      <w:bookmarkStart w:id="866" w:name="_Toc42205022"/>
      <w:bookmarkStart w:id="867" w:name="_Toc42267661"/>
      <w:r>
        <w:rPr>
          <w:rFonts w:hint="eastAsia" w:ascii="宋体" w:hAnsi="宋体"/>
          <w:b/>
          <w:bCs/>
          <w:color w:val="auto"/>
          <w:sz w:val="24"/>
          <w:szCs w:val="24"/>
          <w:highlight w:val="none"/>
        </w:rPr>
        <w:t>7.1定标方式</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4F44C488">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除供应商须知前附表规定评标委员会直接确定中标人外，采购人依据评标委员会推荐的中标候选人顺序确定中标人，评标委员会推荐的中标候选人的人数见供应商须知前附表。</w:t>
      </w:r>
    </w:p>
    <w:bookmarkEnd w:id="854"/>
    <w:p w14:paraId="1C346B5A">
      <w:pPr>
        <w:spacing w:line="360" w:lineRule="auto"/>
        <w:ind w:firstLine="482"/>
        <w:outlineLvl w:val="3"/>
        <w:rPr>
          <w:rFonts w:hint="eastAsia" w:ascii="宋体" w:hAnsi="宋体"/>
          <w:b/>
          <w:bCs/>
          <w:color w:val="auto"/>
          <w:sz w:val="24"/>
          <w:szCs w:val="24"/>
          <w:highlight w:val="none"/>
        </w:rPr>
      </w:pPr>
      <w:bookmarkStart w:id="868" w:name="_Toc42205019"/>
      <w:bookmarkStart w:id="869" w:name="_Toc48639301"/>
      <w:bookmarkStart w:id="870" w:name="_Toc45900552"/>
      <w:bookmarkStart w:id="871" w:name="_Toc70503244"/>
      <w:bookmarkStart w:id="872" w:name="_Toc42267658"/>
      <w:bookmarkStart w:id="873" w:name="_Toc52091976"/>
      <w:bookmarkStart w:id="874" w:name="_Toc50559279"/>
      <w:bookmarkStart w:id="875" w:name="_Toc45452770"/>
      <w:bookmarkStart w:id="876" w:name="_Toc79968011"/>
      <w:bookmarkStart w:id="877" w:name="_Toc79967650"/>
      <w:bookmarkStart w:id="878" w:name="_Toc110405160"/>
      <w:bookmarkStart w:id="879" w:name="_Toc87543844"/>
      <w:bookmarkStart w:id="880" w:name="_Toc109809338"/>
      <w:bookmarkStart w:id="881" w:name="_Toc98865037"/>
      <w:bookmarkStart w:id="882" w:name="_Toc98033960"/>
      <w:bookmarkStart w:id="883" w:name="_Toc116584027"/>
      <w:bookmarkStart w:id="884" w:name="_Toc18918"/>
      <w:r>
        <w:rPr>
          <w:rFonts w:hint="eastAsia" w:ascii="宋体" w:hAnsi="宋体"/>
          <w:b/>
          <w:bCs/>
          <w:color w:val="auto"/>
          <w:sz w:val="24"/>
          <w:szCs w:val="24"/>
          <w:highlight w:val="none"/>
        </w:rPr>
        <w:t>7.2</w:t>
      </w:r>
      <w:bookmarkEnd w:id="868"/>
      <w:bookmarkEnd w:id="869"/>
      <w:bookmarkEnd w:id="870"/>
      <w:bookmarkEnd w:id="871"/>
      <w:bookmarkEnd w:id="872"/>
      <w:bookmarkEnd w:id="873"/>
      <w:bookmarkEnd w:id="874"/>
      <w:bookmarkEnd w:id="875"/>
      <w:r>
        <w:rPr>
          <w:rFonts w:hint="eastAsia" w:ascii="宋体" w:hAnsi="宋体"/>
          <w:b/>
          <w:bCs/>
          <w:color w:val="auto"/>
          <w:sz w:val="24"/>
          <w:szCs w:val="24"/>
          <w:highlight w:val="none"/>
        </w:rPr>
        <w:t>中标结果</w:t>
      </w:r>
      <w:bookmarkEnd w:id="876"/>
      <w:bookmarkEnd w:id="877"/>
      <w:bookmarkEnd w:id="878"/>
      <w:bookmarkEnd w:id="879"/>
      <w:bookmarkEnd w:id="880"/>
      <w:bookmarkEnd w:id="881"/>
      <w:bookmarkEnd w:id="882"/>
      <w:bookmarkEnd w:id="883"/>
      <w:bookmarkEnd w:id="884"/>
    </w:p>
    <w:p w14:paraId="22071C49">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7.2.1采购代理机构应当在评审结束后2个工作日内将评审报告送采购人确认。</w:t>
      </w:r>
    </w:p>
    <w:p w14:paraId="05D4E607">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7.2.2采购人应当在收到评审报告后5个工作日内，按照评审报告中推荐的中标候选人顺序确定中标人。</w:t>
      </w:r>
    </w:p>
    <w:p w14:paraId="53895549">
      <w:pPr>
        <w:adjustRightInd w:val="0"/>
        <w:snapToGrid w:val="0"/>
        <w:spacing w:line="360" w:lineRule="auto"/>
        <w:ind w:firstLine="420" w:firstLineChars="200"/>
        <w:rPr>
          <w:rFonts w:hint="eastAsia" w:asciiTheme="minorEastAsia" w:hAnsiTheme="minorEastAsia" w:eastAsiaTheme="minorEastAsia"/>
          <w:color w:val="auto"/>
          <w:szCs w:val="28"/>
          <w:highlight w:val="none"/>
        </w:rPr>
      </w:pPr>
      <w:r>
        <w:rPr>
          <w:rFonts w:hint="eastAsia" w:asciiTheme="minorEastAsia" w:hAnsiTheme="minorEastAsia" w:eastAsiaTheme="minorEastAsia"/>
          <w:color w:val="auto"/>
          <w:szCs w:val="21"/>
          <w:highlight w:val="none"/>
        </w:rPr>
        <w:t>7.2.3采购代理机构应当自中标人确定之日起2个工作日内，</w:t>
      </w:r>
      <w:r>
        <w:rPr>
          <w:rFonts w:hint="eastAsia" w:cs="宋体" w:asciiTheme="minorEastAsia" w:hAnsiTheme="minorEastAsia" w:eastAsiaTheme="minorEastAsia"/>
          <w:snapToGrid w:val="0"/>
          <w:color w:val="auto"/>
          <w:kern w:val="0"/>
          <w:szCs w:val="21"/>
          <w:highlight w:val="none"/>
        </w:rPr>
        <w:t>在省级以上财政部门指定的政府采购信息发布媒体上公告中标结果，同时向中标人发出中标通知书</w:t>
      </w:r>
      <w:r>
        <w:rPr>
          <w:rFonts w:hint="eastAsia" w:asciiTheme="minorEastAsia" w:hAnsiTheme="minorEastAsia" w:eastAsiaTheme="minorEastAsia"/>
          <w:color w:val="auto"/>
          <w:szCs w:val="21"/>
          <w:highlight w:val="none"/>
        </w:rPr>
        <w:t>。</w:t>
      </w:r>
    </w:p>
    <w:p w14:paraId="5699BAF1">
      <w:pPr>
        <w:spacing w:line="360" w:lineRule="auto"/>
        <w:ind w:firstLine="482"/>
        <w:outlineLvl w:val="3"/>
        <w:rPr>
          <w:rFonts w:hint="eastAsia" w:ascii="宋体" w:hAnsi="宋体"/>
          <w:b/>
          <w:bCs/>
          <w:color w:val="auto"/>
          <w:sz w:val="24"/>
          <w:szCs w:val="24"/>
          <w:highlight w:val="none"/>
        </w:rPr>
      </w:pPr>
      <w:bookmarkStart w:id="885" w:name="_Toc79968012"/>
      <w:bookmarkStart w:id="886" w:name="_Toc98865038"/>
      <w:bookmarkStart w:id="887" w:name="_Toc109809339"/>
      <w:bookmarkStart w:id="888" w:name="_Toc48639302"/>
      <w:bookmarkStart w:id="889" w:name="_Toc116584028"/>
      <w:bookmarkStart w:id="890" w:name="_Toc10977"/>
      <w:bookmarkStart w:id="891" w:name="_Toc98033961"/>
      <w:bookmarkStart w:id="892" w:name="_Toc42205020"/>
      <w:bookmarkStart w:id="893" w:name="_Toc87543845"/>
      <w:bookmarkStart w:id="894" w:name="_Toc45900553"/>
      <w:bookmarkStart w:id="895" w:name="_Toc79967651"/>
      <w:bookmarkStart w:id="896" w:name="_Toc70503245"/>
      <w:bookmarkStart w:id="897" w:name="_Toc42267659"/>
      <w:bookmarkStart w:id="898" w:name="_Toc45452771"/>
      <w:bookmarkStart w:id="899" w:name="_Toc52091977"/>
      <w:bookmarkStart w:id="900" w:name="_Toc50559280"/>
      <w:bookmarkStart w:id="901" w:name="_Toc110405161"/>
      <w:r>
        <w:rPr>
          <w:rFonts w:hint="eastAsia" w:ascii="宋体" w:hAnsi="宋体"/>
          <w:b/>
          <w:bCs/>
          <w:color w:val="auto"/>
          <w:sz w:val="24"/>
          <w:szCs w:val="24"/>
          <w:highlight w:val="none"/>
        </w:rPr>
        <w:t>7.3履约担保</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62A59F31">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7.3.1中标人与采购人签订合同前应当按照供应商须知前附表规定的金额、担保形式向采购人递交履约担保。</w:t>
      </w:r>
    </w:p>
    <w:p w14:paraId="06D90D5F">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7.3.2中标人不能按照供应商须知前附表要求递交履约担保的，视为放弃中标资格，其投标保证金不予退还，并且采购人上报政府采购监督管理部门。</w:t>
      </w:r>
    </w:p>
    <w:p w14:paraId="4FE29E92">
      <w:pPr>
        <w:spacing w:line="360" w:lineRule="auto"/>
        <w:ind w:firstLine="482"/>
        <w:outlineLvl w:val="3"/>
        <w:rPr>
          <w:rFonts w:hint="eastAsia" w:ascii="宋体" w:hAnsi="宋体"/>
          <w:b/>
          <w:bCs/>
          <w:color w:val="auto"/>
          <w:sz w:val="24"/>
          <w:szCs w:val="24"/>
          <w:highlight w:val="none"/>
        </w:rPr>
      </w:pPr>
      <w:bookmarkStart w:id="902" w:name="_Toc42205021"/>
      <w:bookmarkStart w:id="903" w:name="_Toc70503246"/>
      <w:bookmarkStart w:id="904" w:name="_Toc116584029"/>
      <w:bookmarkStart w:id="905" w:name="_Toc79967652"/>
      <w:bookmarkStart w:id="906" w:name="_Toc109809340"/>
      <w:bookmarkStart w:id="907" w:name="_Toc48639303"/>
      <w:bookmarkStart w:id="908" w:name="_Toc52091978"/>
      <w:bookmarkStart w:id="909" w:name="_Toc50559281"/>
      <w:bookmarkStart w:id="910" w:name="_Toc87543846"/>
      <w:bookmarkStart w:id="911" w:name="_Toc110405162"/>
      <w:bookmarkStart w:id="912" w:name="_Toc124133182"/>
      <w:bookmarkStart w:id="913" w:name="_Toc42267660"/>
      <w:bookmarkStart w:id="914" w:name="_Toc98033962"/>
      <w:bookmarkStart w:id="915" w:name="_Toc98865039"/>
      <w:bookmarkStart w:id="916" w:name="_Toc45900554"/>
      <w:bookmarkStart w:id="917" w:name="_Toc32278"/>
      <w:bookmarkStart w:id="918" w:name="_Toc45452772"/>
      <w:bookmarkStart w:id="919" w:name="_Toc79968013"/>
      <w:r>
        <w:rPr>
          <w:rFonts w:hint="eastAsia" w:ascii="宋体" w:hAnsi="宋体"/>
          <w:b/>
          <w:bCs/>
          <w:color w:val="auto"/>
          <w:sz w:val="24"/>
          <w:szCs w:val="24"/>
          <w:highlight w:val="none"/>
        </w:rPr>
        <w:t>7.4签订合同</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14:paraId="43EA358F">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7.4.1采购人和中标人应当自中标通知书发出之日起30天内，根据采购文件和中标人的投标文件订立书面合同。中标供应商无正当理由拒签合同的，采购人取消其中标资格，其投标保证金不予退还（递交保证保险或担保保函的，应缴纳同等金额的罚金）；给采购人造成的损失超过投标保证金数额的，中标供应商还应当对超过部分予以赔偿。</w:t>
      </w:r>
    </w:p>
    <w:p w14:paraId="0B1585B8">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7.4.2 发出中标通知书后，采购人无正当理由拒签合同的，采购人向中标供应商退还投标保证金；给中标供应商造成损失的，还应当赔偿损失。</w:t>
      </w:r>
    </w:p>
    <w:bookmarkEnd w:id="855"/>
    <w:bookmarkEnd w:id="856"/>
    <w:bookmarkEnd w:id="857"/>
    <w:bookmarkEnd w:id="858"/>
    <w:bookmarkEnd w:id="859"/>
    <w:bookmarkEnd w:id="860"/>
    <w:p w14:paraId="53B7A45B">
      <w:pPr>
        <w:spacing w:line="360" w:lineRule="auto"/>
        <w:jc w:val="center"/>
        <w:outlineLvl w:val="2"/>
        <w:rPr>
          <w:rFonts w:hint="eastAsia" w:asciiTheme="minorEastAsia" w:hAnsiTheme="minorEastAsia" w:eastAsiaTheme="minorEastAsia"/>
          <w:b/>
          <w:bCs/>
          <w:color w:val="auto"/>
          <w:sz w:val="28"/>
          <w:szCs w:val="28"/>
          <w:highlight w:val="none"/>
        </w:rPr>
      </w:pPr>
      <w:bookmarkStart w:id="920" w:name="_Toc98865040"/>
      <w:bookmarkStart w:id="921" w:name="_Toc109809341"/>
      <w:bookmarkStart w:id="922" w:name="_Toc98033963"/>
      <w:bookmarkStart w:id="923" w:name="_Toc116584030"/>
      <w:bookmarkStart w:id="924" w:name="_Toc26229"/>
      <w:bookmarkStart w:id="925" w:name="_Toc87543847"/>
      <w:bookmarkStart w:id="926" w:name="_Toc110405163"/>
      <w:r>
        <w:rPr>
          <w:rFonts w:hint="eastAsia" w:asciiTheme="minorEastAsia" w:hAnsiTheme="minorEastAsia" w:eastAsiaTheme="minorEastAsia"/>
          <w:b/>
          <w:bCs/>
          <w:color w:val="auto"/>
          <w:sz w:val="28"/>
          <w:szCs w:val="28"/>
          <w:highlight w:val="none"/>
        </w:rPr>
        <w:t>8.重新</w:t>
      </w:r>
      <w:bookmarkEnd w:id="861"/>
      <w:bookmarkEnd w:id="862"/>
      <w:bookmarkEnd w:id="863"/>
      <w:bookmarkEnd w:id="864"/>
      <w:bookmarkEnd w:id="865"/>
      <w:bookmarkEnd w:id="866"/>
      <w:bookmarkEnd w:id="867"/>
      <w:bookmarkEnd w:id="920"/>
      <w:bookmarkEnd w:id="921"/>
      <w:bookmarkEnd w:id="922"/>
      <w:bookmarkEnd w:id="923"/>
      <w:bookmarkEnd w:id="924"/>
      <w:bookmarkEnd w:id="925"/>
      <w:bookmarkEnd w:id="926"/>
      <w:r>
        <w:rPr>
          <w:rFonts w:hint="eastAsia" w:asciiTheme="minorEastAsia" w:hAnsiTheme="minorEastAsia" w:eastAsiaTheme="minorEastAsia"/>
          <w:b/>
          <w:bCs/>
          <w:color w:val="auto"/>
          <w:sz w:val="28"/>
          <w:szCs w:val="28"/>
          <w:highlight w:val="none"/>
        </w:rPr>
        <w:t>招标和不再招标</w:t>
      </w:r>
    </w:p>
    <w:p w14:paraId="47291FF5">
      <w:pPr>
        <w:spacing w:line="360" w:lineRule="auto"/>
        <w:ind w:firstLine="482"/>
        <w:outlineLvl w:val="3"/>
        <w:rPr>
          <w:rFonts w:hint="eastAsia" w:ascii="宋体" w:hAnsi="宋体"/>
          <w:b/>
          <w:bCs/>
          <w:color w:val="auto"/>
          <w:sz w:val="24"/>
          <w:szCs w:val="24"/>
          <w:highlight w:val="none"/>
        </w:rPr>
      </w:pPr>
      <w:bookmarkStart w:id="927" w:name="_Toc31249"/>
      <w:bookmarkStart w:id="928" w:name="_Toc116584031"/>
      <w:bookmarkStart w:id="929" w:name="_Toc109809342"/>
      <w:bookmarkStart w:id="930" w:name="_Toc87543848"/>
      <w:bookmarkStart w:id="931" w:name="_Toc110405164"/>
      <w:bookmarkStart w:id="932" w:name="_Toc98865041"/>
      <w:bookmarkStart w:id="933" w:name="_Toc98033964"/>
      <w:r>
        <w:rPr>
          <w:rFonts w:hint="eastAsia" w:ascii="宋体" w:hAnsi="宋体"/>
          <w:b/>
          <w:bCs/>
          <w:color w:val="auto"/>
          <w:sz w:val="24"/>
          <w:szCs w:val="24"/>
          <w:highlight w:val="none"/>
        </w:rPr>
        <w:t>8</w:t>
      </w:r>
      <w:r>
        <w:rPr>
          <w:rFonts w:ascii="宋体" w:hAnsi="宋体"/>
          <w:b/>
          <w:bCs/>
          <w:color w:val="auto"/>
          <w:sz w:val="24"/>
          <w:szCs w:val="24"/>
          <w:highlight w:val="none"/>
        </w:rPr>
        <w:t xml:space="preserve">.1 </w:t>
      </w:r>
      <w:r>
        <w:rPr>
          <w:rFonts w:hint="eastAsia" w:ascii="宋体" w:hAnsi="宋体"/>
          <w:b/>
          <w:bCs/>
          <w:color w:val="auto"/>
          <w:sz w:val="24"/>
          <w:szCs w:val="24"/>
          <w:highlight w:val="none"/>
        </w:rPr>
        <w:t>重新招标</w:t>
      </w:r>
    </w:p>
    <w:p w14:paraId="0FBBDF3C">
      <w:pPr>
        <w:adjustRightInd w:val="0"/>
        <w:snapToGrid w:val="0"/>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有下列情形之一的，采购人将重新招标：</w:t>
      </w:r>
      <w:bookmarkEnd w:id="927"/>
      <w:bookmarkEnd w:id="928"/>
      <w:bookmarkEnd w:id="929"/>
      <w:bookmarkEnd w:id="930"/>
      <w:bookmarkEnd w:id="931"/>
      <w:bookmarkEnd w:id="932"/>
      <w:bookmarkEnd w:id="933"/>
    </w:p>
    <w:p w14:paraId="356FC37C">
      <w:pPr>
        <w:adjustRightInd w:val="0"/>
        <w:snapToGrid w:val="0"/>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r>
        <w:rPr>
          <w:rFonts w:asciiTheme="minorEastAsia" w:hAnsiTheme="minorEastAsia" w:eastAsiaTheme="minorEastAsia"/>
          <w:color w:val="auto"/>
          <w:highlight w:val="none"/>
        </w:rPr>
        <w:t>投标文件</w:t>
      </w:r>
      <w:r>
        <w:rPr>
          <w:rFonts w:hint="eastAsia" w:asciiTheme="minorEastAsia" w:hAnsiTheme="minorEastAsia" w:eastAsiaTheme="minorEastAsia"/>
          <w:color w:val="auto"/>
          <w:highlight w:val="none"/>
        </w:rPr>
        <w:t>递交</w:t>
      </w:r>
      <w:r>
        <w:rPr>
          <w:rFonts w:asciiTheme="minorEastAsia" w:hAnsiTheme="minorEastAsia" w:eastAsiaTheme="minorEastAsia"/>
          <w:color w:val="auto"/>
          <w:highlight w:val="none"/>
        </w:rPr>
        <w:t>截止时间止，递交投标文件的供应商少于3个的</w:t>
      </w:r>
      <w:r>
        <w:rPr>
          <w:rFonts w:hint="eastAsia" w:asciiTheme="minorEastAsia" w:hAnsiTheme="minorEastAsia" w:eastAsiaTheme="minorEastAsia"/>
          <w:color w:val="auto"/>
          <w:highlight w:val="none"/>
        </w:rPr>
        <w:t>；</w:t>
      </w:r>
    </w:p>
    <w:p w14:paraId="1BAB38DA">
      <w:pPr>
        <w:adjustRightInd w:val="0"/>
        <w:snapToGrid w:val="0"/>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（2）经评标委员会评审后否决所有投标的。</w:t>
      </w:r>
    </w:p>
    <w:p w14:paraId="12B0BDA4">
      <w:pPr>
        <w:spacing w:line="360" w:lineRule="auto"/>
        <w:ind w:firstLine="482"/>
        <w:rPr>
          <w:rFonts w:hint="eastAsia" w:ascii="宋体" w:hAnsi="宋体"/>
          <w:b/>
          <w:bCs/>
          <w:color w:val="auto"/>
          <w:sz w:val="24"/>
          <w:szCs w:val="24"/>
          <w:highlight w:val="none"/>
        </w:rPr>
      </w:pPr>
      <w:r>
        <w:rPr>
          <w:rFonts w:hint="eastAsia" w:ascii="宋体" w:hAnsi="宋体"/>
          <w:b/>
          <w:bCs/>
          <w:color w:val="auto"/>
          <w:sz w:val="24"/>
          <w:szCs w:val="24"/>
          <w:highlight w:val="none"/>
        </w:rPr>
        <w:t>8.2 不再招标</w:t>
      </w:r>
    </w:p>
    <w:p w14:paraId="21680A22">
      <w:pPr>
        <w:adjustRightInd w:val="0"/>
        <w:snapToGrid w:val="0"/>
        <w:spacing w:line="360" w:lineRule="auto"/>
        <w:ind w:firstLine="420" w:firstLineChars="2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重新招标后投标人仍少于3个或者所有投标文件被否决的，属于必须审批或核准的项目，经原审批或核准部门批准后不再进行招标。</w:t>
      </w:r>
    </w:p>
    <w:p w14:paraId="2F596DC1">
      <w:pPr>
        <w:spacing w:line="360" w:lineRule="auto"/>
        <w:jc w:val="center"/>
        <w:outlineLvl w:val="2"/>
        <w:rPr>
          <w:rFonts w:hint="eastAsia" w:asciiTheme="minorEastAsia" w:hAnsiTheme="minorEastAsia" w:eastAsiaTheme="minorEastAsia"/>
          <w:b/>
          <w:bCs/>
          <w:color w:val="auto"/>
          <w:sz w:val="28"/>
          <w:szCs w:val="28"/>
          <w:highlight w:val="none"/>
        </w:rPr>
      </w:pPr>
      <w:bookmarkStart w:id="934" w:name="_Toc45791384"/>
      <w:bookmarkStart w:id="935" w:name="_Toc110405165"/>
      <w:bookmarkStart w:id="936" w:name="_Toc42205023"/>
      <w:bookmarkStart w:id="937" w:name="_Toc84356281"/>
      <w:bookmarkStart w:id="938" w:name="_Toc83753921"/>
      <w:bookmarkStart w:id="939" w:name="_Toc16641"/>
      <w:bookmarkStart w:id="940" w:name="_Toc98033965"/>
      <w:bookmarkStart w:id="941" w:name="_Toc87543849"/>
      <w:bookmarkStart w:id="942" w:name="_Toc45976930"/>
      <w:bookmarkStart w:id="943" w:name="_Toc98865042"/>
      <w:bookmarkStart w:id="944" w:name="_Toc87538398"/>
      <w:bookmarkStart w:id="945" w:name="_Toc109809343"/>
      <w:bookmarkStart w:id="946" w:name="_Toc42267662"/>
      <w:bookmarkStart w:id="947" w:name="_Toc116584032"/>
      <w:r>
        <w:rPr>
          <w:rFonts w:hint="eastAsia" w:asciiTheme="minorEastAsia" w:hAnsiTheme="minorEastAsia" w:eastAsiaTheme="minorEastAsia"/>
          <w:b/>
          <w:bCs/>
          <w:color w:val="auto"/>
          <w:sz w:val="28"/>
          <w:szCs w:val="28"/>
          <w:highlight w:val="none"/>
        </w:rPr>
        <w:t>9.纪律和监督</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14D44FD2">
      <w:pPr>
        <w:spacing w:line="360" w:lineRule="auto"/>
        <w:ind w:firstLine="482"/>
        <w:outlineLvl w:val="3"/>
        <w:rPr>
          <w:rFonts w:hint="eastAsia" w:ascii="宋体" w:hAnsi="宋体"/>
          <w:b/>
          <w:bCs/>
          <w:color w:val="auto"/>
          <w:sz w:val="24"/>
          <w:szCs w:val="24"/>
          <w:highlight w:val="none"/>
        </w:rPr>
      </w:pPr>
      <w:bookmarkStart w:id="948" w:name="_Toc83753922"/>
      <w:bookmarkStart w:id="949" w:name="_Toc110405166"/>
      <w:bookmarkStart w:id="950" w:name="_Toc53412247"/>
      <w:bookmarkStart w:id="951" w:name="_Toc98033966"/>
      <w:bookmarkStart w:id="952" w:name="_Toc84356282"/>
      <w:bookmarkStart w:id="953" w:name="_Toc87543850"/>
      <w:bookmarkStart w:id="954" w:name="_Toc69678460"/>
      <w:bookmarkStart w:id="955" w:name="_Toc87538399"/>
      <w:bookmarkStart w:id="956" w:name="_Toc28437"/>
      <w:bookmarkStart w:id="957" w:name="_Toc42205024"/>
      <w:bookmarkStart w:id="958" w:name="_Toc45791385"/>
      <w:bookmarkStart w:id="959" w:name="_Toc75783562"/>
      <w:bookmarkStart w:id="960" w:name="_Toc81330970"/>
      <w:bookmarkStart w:id="961" w:name="_Toc45976931"/>
      <w:bookmarkStart w:id="962" w:name="_Toc116584033"/>
      <w:bookmarkStart w:id="963" w:name="_Toc98865043"/>
      <w:bookmarkStart w:id="964" w:name="_Toc109809344"/>
      <w:bookmarkStart w:id="965" w:name="_Toc42267663"/>
      <w:r>
        <w:rPr>
          <w:rFonts w:hint="eastAsia" w:ascii="宋体" w:hAnsi="宋体"/>
          <w:b/>
          <w:bCs/>
          <w:color w:val="auto"/>
          <w:sz w:val="24"/>
          <w:szCs w:val="24"/>
          <w:highlight w:val="none"/>
        </w:rPr>
        <w:t>9.1 对采购人的纪律要求</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3006E270">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采购人不得泄漏采购活动中应当保密的情况和资料，不得与供应商串通损害国家利益、社会公共利益或者他人合法权益。</w:t>
      </w:r>
    </w:p>
    <w:p w14:paraId="1329B08B">
      <w:pPr>
        <w:spacing w:line="360" w:lineRule="auto"/>
        <w:ind w:firstLine="482"/>
        <w:outlineLvl w:val="3"/>
        <w:rPr>
          <w:rFonts w:hint="eastAsia" w:ascii="宋体" w:hAnsi="宋体"/>
          <w:b/>
          <w:bCs/>
          <w:color w:val="auto"/>
          <w:sz w:val="24"/>
          <w:szCs w:val="24"/>
          <w:highlight w:val="none"/>
        </w:rPr>
      </w:pPr>
      <w:bookmarkStart w:id="966" w:name="_Toc69678461"/>
      <w:bookmarkStart w:id="967" w:name="_Toc45791386"/>
      <w:bookmarkStart w:id="968" w:name="_Toc109809345"/>
      <w:bookmarkStart w:id="969" w:name="_Toc81330971"/>
      <w:bookmarkStart w:id="970" w:name="_Toc83753923"/>
      <w:bookmarkStart w:id="971" w:name="_Toc53412248"/>
      <w:bookmarkStart w:id="972" w:name="_Toc75783563"/>
      <w:bookmarkStart w:id="973" w:name="_Toc45976932"/>
      <w:bookmarkStart w:id="974" w:name="_Toc42267664"/>
      <w:bookmarkStart w:id="975" w:name="_Toc116584034"/>
      <w:bookmarkStart w:id="976" w:name="_Toc98865044"/>
      <w:bookmarkStart w:id="977" w:name="_Toc87538400"/>
      <w:bookmarkStart w:id="978" w:name="_Toc110405167"/>
      <w:bookmarkStart w:id="979" w:name="_Toc42205025"/>
      <w:bookmarkStart w:id="980" w:name="_Toc84356283"/>
      <w:bookmarkStart w:id="981" w:name="_Toc928"/>
      <w:bookmarkStart w:id="982" w:name="_Toc87543851"/>
      <w:bookmarkStart w:id="983" w:name="_Toc98033967"/>
      <w:r>
        <w:rPr>
          <w:rFonts w:hint="eastAsia" w:ascii="宋体" w:hAnsi="宋体"/>
          <w:b/>
          <w:bCs/>
          <w:color w:val="auto"/>
          <w:sz w:val="24"/>
          <w:szCs w:val="24"/>
          <w:highlight w:val="none"/>
        </w:rPr>
        <w:t>9.2 对供应商的纪律要求</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14:paraId="41666D68">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供应商不得相互串通投标或者与采购人串通投标，不得向采购人或者评标委员会成员行贿谋取中标，不得以他人名义投标或者以其他方式弄虚作假骗取中标；供应商不得以任何方式干扰、影响评审工作。</w:t>
      </w:r>
    </w:p>
    <w:p w14:paraId="11800F5E">
      <w:pPr>
        <w:spacing w:line="360" w:lineRule="auto"/>
        <w:ind w:firstLine="482"/>
        <w:outlineLvl w:val="3"/>
        <w:rPr>
          <w:rFonts w:hint="eastAsia" w:ascii="宋体" w:hAnsi="宋体"/>
          <w:b/>
          <w:bCs/>
          <w:color w:val="auto"/>
          <w:sz w:val="24"/>
          <w:szCs w:val="24"/>
          <w:highlight w:val="none"/>
        </w:rPr>
      </w:pPr>
      <w:bookmarkStart w:id="984" w:name="_Toc87538401"/>
      <w:bookmarkStart w:id="985" w:name="_Toc98033968"/>
      <w:bookmarkStart w:id="986" w:name="_Toc87543852"/>
      <w:bookmarkStart w:id="987" w:name="_Toc110405168"/>
      <w:bookmarkStart w:id="988" w:name="_Toc84356284"/>
      <w:bookmarkStart w:id="989" w:name="_Toc69678462"/>
      <w:bookmarkStart w:id="990" w:name="_Toc81330972"/>
      <w:bookmarkStart w:id="991" w:name="_Toc75783564"/>
      <w:bookmarkStart w:id="992" w:name="_Toc42205026"/>
      <w:bookmarkStart w:id="993" w:name="_Toc83753924"/>
      <w:bookmarkStart w:id="994" w:name="_Toc116584035"/>
      <w:bookmarkStart w:id="995" w:name="_Toc42267665"/>
      <w:bookmarkStart w:id="996" w:name="_Toc45791387"/>
      <w:bookmarkStart w:id="997" w:name="_Toc98865045"/>
      <w:bookmarkStart w:id="998" w:name="_Toc45976933"/>
      <w:bookmarkStart w:id="999" w:name="_Toc53412249"/>
      <w:bookmarkStart w:id="1000" w:name="_Toc109809346"/>
      <w:bookmarkStart w:id="1001" w:name="_Toc13146"/>
      <w:r>
        <w:rPr>
          <w:rFonts w:hint="eastAsia" w:ascii="宋体" w:hAnsi="宋体"/>
          <w:b/>
          <w:bCs/>
          <w:color w:val="auto"/>
          <w:sz w:val="24"/>
          <w:szCs w:val="24"/>
          <w:highlight w:val="none"/>
        </w:rPr>
        <w:t>9.3 对评标委员会成员的纪律要求</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14:paraId="78DA41CB">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成员不得收受他人的财物或者其他好处，不得向他人透漏对投标文件的评审和比较、中标候选人的推荐情况以及评审有关的其他情况。在评审活动中，评标委员会成员不得擅离职守，影响评审程序正常进行，不得使用第七章“评标办法”没有规定的评审因素和标准进行评审。</w:t>
      </w:r>
    </w:p>
    <w:p w14:paraId="681AEEDF">
      <w:pPr>
        <w:spacing w:line="360" w:lineRule="auto"/>
        <w:ind w:firstLine="482"/>
        <w:outlineLvl w:val="3"/>
        <w:rPr>
          <w:rFonts w:hint="eastAsia" w:ascii="宋体" w:hAnsi="宋体"/>
          <w:b/>
          <w:bCs/>
          <w:color w:val="auto"/>
          <w:sz w:val="24"/>
          <w:szCs w:val="24"/>
          <w:highlight w:val="none"/>
        </w:rPr>
      </w:pPr>
      <w:bookmarkStart w:id="1002" w:name="_Toc16136"/>
      <w:bookmarkStart w:id="1003" w:name="_Toc84356285"/>
      <w:bookmarkStart w:id="1004" w:name="_Toc87538402"/>
      <w:bookmarkStart w:id="1005" w:name="_Toc98865046"/>
      <w:bookmarkStart w:id="1006" w:name="_Toc98033969"/>
      <w:bookmarkStart w:id="1007" w:name="_Toc53412250"/>
      <w:bookmarkStart w:id="1008" w:name="_Toc81330973"/>
      <w:bookmarkStart w:id="1009" w:name="_Toc69678463"/>
      <w:bookmarkStart w:id="1010" w:name="_Toc42205027"/>
      <w:bookmarkStart w:id="1011" w:name="_Toc87543853"/>
      <w:bookmarkStart w:id="1012" w:name="_Toc45791388"/>
      <w:bookmarkStart w:id="1013" w:name="_Toc45976934"/>
      <w:bookmarkStart w:id="1014" w:name="_Toc110405169"/>
      <w:bookmarkStart w:id="1015" w:name="_Toc83753925"/>
      <w:bookmarkStart w:id="1016" w:name="_Toc116584036"/>
      <w:bookmarkStart w:id="1017" w:name="_Toc109809347"/>
      <w:bookmarkStart w:id="1018" w:name="_Toc75783565"/>
      <w:bookmarkStart w:id="1019" w:name="_Toc42267666"/>
      <w:r>
        <w:rPr>
          <w:rFonts w:hint="eastAsia" w:ascii="宋体" w:hAnsi="宋体"/>
          <w:b/>
          <w:bCs/>
          <w:color w:val="auto"/>
          <w:sz w:val="24"/>
          <w:szCs w:val="24"/>
          <w:highlight w:val="none"/>
        </w:rPr>
        <w:t>9.4 对与评审活动有关的工作人员的纪律要求</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6C4AD107">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与评审活动有关的工作人员不得收受他人的财物或者其他好处，不得向他人透漏对投标文件的评审和比较、中标候选人的推荐情况以及评审有关的其他情况。在评审活动中，与评审活动有关的工作人员不得擅离职守，影响评审程序正常进行。</w:t>
      </w:r>
    </w:p>
    <w:p w14:paraId="0D41E897">
      <w:pPr>
        <w:spacing w:line="360" w:lineRule="auto"/>
        <w:ind w:firstLine="482"/>
        <w:outlineLvl w:val="3"/>
        <w:rPr>
          <w:rFonts w:hint="eastAsia" w:ascii="宋体" w:hAnsi="宋体"/>
          <w:b/>
          <w:bCs/>
          <w:color w:val="auto"/>
          <w:sz w:val="24"/>
          <w:szCs w:val="24"/>
          <w:highlight w:val="none"/>
        </w:rPr>
      </w:pPr>
      <w:bookmarkStart w:id="1020" w:name="_Toc116584037"/>
      <w:r>
        <w:rPr>
          <w:rFonts w:hint="eastAsia" w:ascii="宋体" w:hAnsi="宋体"/>
          <w:b/>
          <w:bCs/>
          <w:color w:val="auto"/>
          <w:sz w:val="24"/>
          <w:szCs w:val="24"/>
          <w:highlight w:val="none"/>
        </w:rPr>
        <w:t>9</w:t>
      </w:r>
      <w:r>
        <w:rPr>
          <w:rFonts w:ascii="宋体" w:hAnsi="宋体"/>
          <w:b/>
          <w:bCs/>
          <w:color w:val="auto"/>
          <w:sz w:val="24"/>
          <w:szCs w:val="24"/>
          <w:highlight w:val="none"/>
        </w:rPr>
        <w:t>.5</w:t>
      </w:r>
      <w:r>
        <w:rPr>
          <w:rFonts w:hint="eastAsia" w:ascii="宋体" w:hAnsi="宋体"/>
          <w:b/>
          <w:bCs/>
          <w:color w:val="auto"/>
          <w:sz w:val="24"/>
          <w:szCs w:val="24"/>
          <w:highlight w:val="none"/>
        </w:rPr>
        <w:t xml:space="preserve"> 质疑</w:t>
      </w:r>
      <w:bookmarkEnd w:id="1020"/>
    </w:p>
    <w:p w14:paraId="3484A3D3">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9.5.1</w:t>
      </w:r>
      <w:r>
        <w:rPr>
          <w:rFonts w:hint="eastAsia" w:asciiTheme="minorEastAsia" w:hAnsiTheme="minorEastAsia" w:eastAsiaTheme="minorEastAsia"/>
          <w:color w:val="auto"/>
          <w:szCs w:val="21"/>
          <w:highlight w:val="none"/>
        </w:rPr>
        <w:t>供应商认为采购文件、采购过程和中标结果使自己的权益受到损害的，应当在知道或者应知其权益受到损害之日起7个工作日内，登录政府采购云平台向采购人或采购代理机构在线提起质疑。质疑内容不得含有虚假、恶意成分。当事人对自己提出的主张，有责任提供证据，提出质疑时应同时递交相关证据材料和注明事实的确切来源。</w:t>
      </w:r>
    </w:p>
    <w:p w14:paraId="5F8DAD9E">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9.5.2</w:t>
      </w:r>
      <w:r>
        <w:rPr>
          <w:rFonts w:hint="eastAsia" w:asciiTheme="minorEastAsia" w:hAnsiTheme="minorEastAsia" w:eastAsiaTheme="minorEastAsia"/>
          <w:color w:val="auto"/>
          <w:szCs w:val="21"/>
          <w:highlight w:val="none"/>
        </w:rPr>
        <w:t>供应商应知其权益受到损害之日，是指：</w:t>
      </w:r>
    </w:p>
    <w:p w14:paraId="594A69AD">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（1）对可以质疑的采购活动提出质疑的，为供应商获取采购文件之日；</w:t>
      </w:r>
    </w:p>
    <w:p w14:paraId="16C5058A">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（2）对采购过程提出质疑的，为各采购程序环节结束之日；</w:t>
      </w:r>
    </w:p>
    <w:p w14:paraId="1F7243FF">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（3）对中标结果提出质疑的，为中标结果公告期限届满之日。</w:t>
      </w:r>
    </w:p>
    <w:p w14:paraId="7DA73E56">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3采购人、采购代理机构应在收到供应商的质疑后7个工作日内作出答复，但答复的内容不涉及商业秘密。</w:t>
      </w:r>
    </w:p>
    <w:p w14:paraId="140F6BFF">
      <w:pPr>
        <w:adjustRightInd w:val="0"/>
        <w:snapToGrid w:val="0"/>
        <w:spacing w:line="360" w:lineRule="auto"/>
        <w:ind w:firstLine="420" w:firstLineChars="200"/>
        <w:rPr>
          <w:rFonts w:hint="eastAsia" w:cs="宋体"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9.5.</w:t>
      </w:r>
      <w:r>
        <w:rPr>
          <w:rFonts w:hint="eastAsia" w:asciiTheme="minorEastAsia" w:hAnsiTheme="minorEastAsia" w:eastAsiaTheme="minorEastAsia"/>
          <w:color w:val="auto"/>
          <w:szCs w:val="21"/>
          <w:highlight w:val="none"/>
        </w:rPr>
        <w:t>4参与政府采购活动的供应商对评审过程或者结果提出质疑的，采购人或采购代理机构可以组织原评标委员会协助处理质疑事项，并依据评标委员会出具的意见进行答复。质疑答复导致中标结果改变的，采购人或采购代理机构应当将相关情况报财政部门备案。</w:t>
      </w:r>
    </w:p>
    <w:p w14:paraId="2EAEC7C4">
      <w:pPr>
        <w:spacing w:line="360" w:lineRule="auto"/>
        <w:ind w:firstLine="482"/>
        <w:outlineLvl w:val="3"/>
        <w:rPr>
          <w:rFonts w:hint="eastAsia" w:ascii="宋体" w:hAnsi="宋体"/>
          <w:b/>
          <w:bCs/>
          <w:color w:val="auto"/>
          <w:sz w:val="24"/>
          <w:szCs w:val="24"/>
          <w:highlight w:val="none"/>
        </w:rPr>
      </w:pPr>
      <w:bookmarkStart w:id="1021" w:name="_Toc116584038"/>
      <w:r>
        <w:rPr>
          <w:rFonts w:ascii="宋体" w:hAnsi="宋体"/>
          <w:b/>
          <w:bCs/>
          <w:color w:val="auto"/>
          <w:sz w:val="24"/>
          <w:szCs w:val="24"/>
          <w:highlight w:val="none"/>
        </w:rPr>
        <w:t>9.6</w:t>
      </w:r>
      <w:r>
        <w:rPr>
          <w:rFonts w:hint="eastAsia" w:ascii="宋体" w:hAnsi="宋体"/>
          <w:b/>
          <w:bCs/>
          <w:color w:val="auto"/>
          <w:sz w:val="24"/>
          <w:szCs w:val="24"/>
          <w:highlight w:val="none"/>
        </w:rPr>
        <w:t xml:space="preserve"> 投诉</w:t>
      </w:r>
      <w:bookmarkEnd w:id="1021"/>
    </w:p>
    <w:p w14:paraId="0232718A">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投诉首先须经过质疑程序。质疑人对采购人、采购代理机构的答复不满意或者采购人、采购代理机构未在规定的时间内做出答复的，可以在答复期满后1</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个工作日内书面向财政部门提起投诉。</w:t>
      </w:r>
    </w:p>
    <w:p w14:paraId="643A6B9C">
      <w:pPr>
        <w:spacing w:line="360" w:lineRule="auto"/>
        <w:jc w:val="center"/>
        <w:outlineLvl w:val="2"/>
        <w:rPr>
          <w:rFonts w:hint="eastAsia" w:asciiTheme="minorEastAsia" w:hAnsiTheme="minorEastAsia" w:eastAsiaTheme="minorEastAsia"/>
          <w:b/>
          <w:bCs/>
          <w:color w:val="auto"/>
          <w:sz w:val="28"/>
          <w:szCs w:val="28"/>
          <w:highlight w:val="none"/>
        </w:rPr>
      </w:pPr>
      <w:bookmarkStart w:id="1022" w:name="_Toc98865048"/>
      <w:bookmarkStart w:id="1023" w:name="_Toc87543855"/>
      <w:bookmarkStart w:id="1024" w:name="_Toc42267668"/>
      <w:bookmarkStart w:id="1025" w:name="_Toc45791390"/>
      <w:bookmarkStart w:id="1026" w:name="_Toc110405172"/>
      <w:bookmarkStart w:id="1027" w:name="_Toc116584039"/>
      <w:bookmarkStart w:id="1028" w:name="_Toc18346"/>
      <w:bookmarkStart w:id="1029" w:name="_Toc109809349"/>
      <w:bookmarkStart w:id="1030" w:name="_Toc83753927"/>
      <w:bookmarkStart w:id="1031" w:name="_Toc45976936"/>
      <w:bookmarkStart w:id="1032" w:name="_Toc42205029"/>
      <w:bookmarkStart w:id="1033" w:name="_Toc98033971"/>
      <w:bookmarkStart w:id="1034" w:name="_Toc87538404"/>
      <w:bookmarkStart w:id="1035" w:name="_Toc84356287"/>
      <w:r>
        <w:rPr>
          <w:rFonts w:hint="eastAsia" w:asciiTheme="minorEastAsia" w:hAnsiTheme="minorEastAsia" w:eastAsiaTheme="minorEastAsia"/>
          <w:b/>
          <w:bCs/>
          <w:color w:val="auto"/>
          <w:sz w:val="28"/>
          <w:szCs w:val="28"/>
          <w:highlight w:val="none"/>
        </w:rPr>
        <w:t>10.需要补充的其他内容</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14:paraId="303F2D85">
      <w:pPr>
        <w:adjustRightInd w:val="0"/>
        <w:snapToGrid w:val="0"/>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需要补充的其他内容：见供应商须知前附表。</w:t>
      </w:r>
      <w:bookmarkStart w:id="1036" w:name="_Toc42205030"/>
      <w:bookmarkStart w:id="1037" w:name="_Toc37603108"/>
      <w:bookmarkStart w:id="1038" w:name="_Toc292983024"/>
      <w:bookmarkStart w:id="1039" w:name="_Toc29357076"/>
      <w:r>
        <w:rPr>
          <w:rFonts w:asciiTheme="minorEastAsia" w:hAnsiTheme="minorEastAsia" w:eastAsiaTheme="minorEastAsia"/>
          <w:color w:val="auto"/>
          <w:szCs w:val="21"/>
          <w:highlight w:val="none"/>
        </w:rPr>
        <w:br w:type="page"/>
      </w:r>
    </w:p>
    <w:p w14:paraId="02C21CBD">
      <w:pPr>
        <w:autoSpaceDE w:val="0"/>
        <w:autoSpaceDN w:val="0"/>
        <w:adjustRightInd w:val="0"/>
        <w:spacing w:line="360" w:lineRule="auto"/>
        <w:jc w:val="left"/>
        <w:rPr>
          <w:rFonts w:hint="eastAsia" w:cs="宋体" w:asciiTheme="minorEastAsia" w:hAnsiTheme="minorEastAsia" w:eastAsiaTheme="minorEastAsia"/>
          <w:b/>
          <w:bCs/>
          <w:color w:val="auto"/>
          <w:kern w:val="0"/>
          <w:sz w:val="24"/>
          <w:szCs w:val="24"/>
          <w:highlight w:val="none"/>
        </w:rPr>
      </w:pPr>
      <w:r>
        <w:rPr>
          <w:rFonts w:hint="eastAsia" w:cs="宋体" w:asciiTheme="minorEastAsia" w:hAnsiTheme="minorEastAsia" w:eastAsiaTheme="minorEastAsia"/>
          <w:b/>
          <w:bCs/>
          <w:color w:val="auto"/>
          <w:kern w:val="0"/>
          <w:sz w:val="24"/>
          <w:szCs w:val="24"/>
          <w:highlight w:val="none"/>
        </w:rPr>
        <w:t>附件：电子投标文件编制要求</w:t>
      </w:r>
    </w:p>
    <w:p w14:paraId="6BD534D5">
      <w:pPr>
        <w:autoSpaceDE w:val="0"/>
        <w:autoSpaceDN w:val="0"/>
        <w:adjustRightInd w:val="0"/>
        <w:spacing w:before="240" w:beforeLines="100" w:line="360" w:lineRule="auto"/>
        <w:jc w:val="center"/>
        <w:rPr>
          <w:rFonts w:hint="eastAsia" w:cs="黑体" w:asciiTheme="minorEastAsia" w:hAnsiTheme="minorEastAsia" w:eastAsiaTheme="minorEastAsia"/>
          <w:color w:val="auto"/>
          <w:kern w:val="0"/>
          <w:sz w:val="32"/>
          <w:szCs w:val="32"/>
          <w:highlight w:val="none"/>
        </w:rPr>
      </w:pPr>
      <w:r>
        <w:rPr>
          <w:rFonts w:hint="eastAsia" w:cs="黑体" w:asciiTheme="minorEastAsia" w:hAnsiTheme="minorEastAsia" w:eastAsiaTheme="minorEastAsia"/>
          <w:color w:val="auto"/>
          <w:kern w:val="0"/>
          <w:sz w:val="32"/>
          <w:szCs w:val="32"/>
          <w:highlight w:val="none"/>
        </w:rPr>
        <w:t>电子投标文件编制要求</w:t>
      </w:r>
    </w:p>
    <w:p w14:paraId="6D58B5BB">
      <w:pPr>
        <w:autoSpaceDE w:val="0"/>
        <w:autoSpaceDN w:val="0"/>
        <w:adjustRightInd w:val="0"/>
        <w:spacing w:line="360" w:lineRule="auto"/>
        <w:ind w:firstLine="420" w:firstLineChars="200"/>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.电子投标文件的制作应使用“政采云投标客户端”，供应商下载“政采云投标客户端”，通过“政采云投标客户端”编制并生成加密的投标文件。</w:t>
      </w:r>
    </w:p>
    <w:p w14:paraId="7F40BC7E">
      <w:pPr>
        <w:autoSpaceDE w:val="0"/>
        <w:autoSpaceDN w:val="0"/>
        <w:adjustRightInd w:val="0"/>
        <w:spacing w:line="360" w:lineRule="auto"/>
        <w:ind w:firstLine="420" w:firstLineChars="200"/>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.“政采云投标客户端”提供数字证书（</w:t>
      </w:r>
      <w:r>
        <w:rPr>
          <w:rFonts w:cs="宋体" w:asciiTheme="minorEastAsia" w:hAnsiTheme="minorEastAsia" w:eastAsiaTheme="minorEastAsia"/>
          <w:color w:val="auto"/>
          <w:kern w:val="0"/>
          <w:szCs w:val="21"/>
          <w:highlight w:val="none"/>
        </w:rPr>
        <w:t>CA</w:t>
      </w:r>
      <w:r>
        <w:rPr>
          <w:rFonts w:hint="eastAsia" w:cs="宋体" w:asciiTheme="minorEastAsia" w:hAnsiTheme="minorEastAsia" w:eastAsiaTheme="minorEastAsia"/>
          <w:color w:val="auto"/>
          <w:kern w:val="0"/>
          <w:szCs w:val="21"/>
          <w:highlight w:val="none"/>
        </w:rPr>
        <w:t>）对投标文件进行加密功能。投标人对网上递交的投标文件应加密。如果供应商使用某个数字证书（</w:t>
      </w:r>
      <w:r>
        <w:rPr>
          <w:rFonts w:cs="宋体" w:asciiTheme="minorEastAsia" w:hAnsiTheme="minorEastAsia" w:eastAsiaTheme="minorEastAsia"/>
          <w:color w:val="auto"/>
          <w:kern w:val="0"/>
          <w:szCs w:val="21"/>
          <w:highlight w:val="none"/>
        </w:rPr>
        <w:t>CA</w:t>
      </w:r>
      <w:r>
        <w:rPr>
          <w:rFonts w:hint="eastAsia" w:cs="宋体" w:asciiTheme="minorEastAsia" w:hAnsiTheme="minorEastAsia" w:eastAsiaTheme="minorEastAsia"/>
          <w:color w:val="auto"/>
          <w:kern w:val="0"/>
          <w:szCs w:val="21"/>
          <w:highlight w:val="none"/>
        </w:rPr>
        <w:t>）对投标文件进行了数字证书（</w:t>
      </w:r>
      <w:r>
        <w:rPr>
          <w:rFonts w:cs="宋体" w:asciiTheme="minorEastAsia" w:hAnsiTheme="minorEastAsia" w:eastAsiaTheme="minorEastAsia"/>
          <w:color w:val="auto"/>
          <w:kern w:val="0"/>
          <w:szCs w:val="21"/>
          <w:highlight w:val="none"/>
        </w:rPr>
        <w:t>CA</w:t>
      </w:r>
      <w:r>
        <w:rPr>
          <w:rFonts w:hint="eastAsia" w:cs="宋体" w:asciiTheme="minorEastAsia" w:hAnsiTheme="minorEastAsia" w:eastAsiaTheme="minorEastAsia"/>
          <w:color w:val="auto"/>
          <w:kern w:val="0"/>
          <w:szCs w:val="21"/>
          <w:highlight w:val="none"/>
        </w:rPr>
        <w:t>）加密，需要在开标时使用该数字证书（</w:t>
      </w:r>
      <w:r>
        <w:rPr>
          <w:rFonts w:cs="宋体" w:asciiTheme="minorEastAsia" w:hAnsiTheme="minorEastAsia" w:eastAsiaTheme="minorEastAsia"/>
          <w:color w:val="auto"/>
          <w:kern w:val="0"/>
          <w:szCs w:val="21"/>
          <w:highlight w:val="none"/>
        </w:rPr>
        <w:t>CA</w:t>
      </w:r>
      <w:r>
        <w:rPr>
          <w:rFonts w:hint="eastAsia" w:cs="宋体" w:asciiTheme="minorEastAsia" w:hAnsiTheme="minorEastAsia" w:eastAsiaTheme="minorEastAsia"/>
          <w:color w:val="auto"/>
          <w:kern w:val="0"/>
          <w:szCs w:val="21"/>
          <w:highlight w:val="none"/>
        </w:rPr>
        <w:t>）进行解密，才能读取或导入投标文件，因供应商原因造成投标文件未解密的，视为撤回其投标文件。</w:t>
      </w:r>
    </w:p>
    <w:p w14:paraId="718C2DD3">
      <w:pPr>
        <w:autoSpaceDE w:val="0"/>
        <w:autoSpaceDN w:val="0"/>
        <w:adjustRightInd w:val="0"/>
        <w:spacing w:line="360" w:lineRule="auto"/>
        <w:ind w:firstLine="420" w:firstLineChars="200"/>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3</w:t>
      </w:r>
      <w:r>
        <w:rPr>
          <w:rFonts w:hint="eastAsia" w:cs="宋体" w:asciiTheme="minorEastAsia" w:hAnsiTheme="minorEastAsia" w:eastAsiaTheme="minorEastAsia"/>
          <w:color w:val="auto"/>
          <w:kern w:val="0"/>
          <w:szCs w:val="21"/>
          <w:highlight w:val="none"/>
        </w:rPr>
        <w:t>.网上递交投标文件应根据采购文件要求，在投标截止时间前将电子投标文件通过政府采购云平台（网址：https：//www.zcygov.cn/）上传至对应的项目，系统自动生成投标回执，以表明上传成功。</w:t>
      </w:r>
    </w:p>
    <w:p w14:paraId="29C6E1D4">
      <w:pPr>
        <w:wordWrap w:val="0"/>
        <w:autoSpaceDE w:val="0"/>
        <w:autoSpaceDN w:val="0"/>
        <w:adjustRightInd w:val="0"/>
        <w:spacing w:line="360" w:lineRule="auto"/>
        <w:ind w:firstLine="420" w:firstLineChars="200"/>
        <w:jc w:val="left"/>
        <w:rPr>
          <w:rFonts w:hint="eastAsia"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kern w:val="0"/>
          <w:szCs w:val="21"/>
          <w:highlight w:val="none"/>
        </w:rPr>
        <w:t>4</w:t>
      </w:r>
      <w:r>
        <w:rPr>
          <w:rFonts w:hint="eastAsia" w:cs="宋体" w:asciiTheme="minorEastAsia" w:hAnsiTheme="minorEastAsia" w:eastAsiaTheme="minorEastAsia"/>
          <w:color w:val="auto"/>
          <w:kern w:val="0"/>
          <w:szCs w:val="21"/>
          <w:highlight w:val="none"/>
        </w:rPr>
        <w:t>.该投标文件制作要求如果与采购文件规定不一致，以此投标文件制作要求为准。“政采云投标客户端”及</w:t>
      </w:r>
      <w:r>
        <w:rPr>
          <w:rFonts w:cs="宋体" w:asciiTheme="minorEastAsia" w:hAnsiTheme="minorEastAsia" w:eastAsiaTheme="minorEastAsia"/>
          <w:color w:val="auto"/>
          <w:kern w:val="0"/>
          <w:szCs w:val="21"/>
          <w:highlight w:val="none"/>
        </w:rPr>
        <w:t xml:space="preserve">CA </w:t>
      </w:r>
      <w:r>
        <w:rPr>
          <w:rFonts w:hint="eastAsia" w:cs="宋体" w:asciiTheme="minorEastAsia" w:hAnsiTheme="minorEastAsia" w:eastAsiaTheme="minorEastAsia"/>
          <w:color w:val="auto"/>
          <w:kern w:val="0"/>
          <w:szCs w:val="21"/>
          <w:highlight w:val="none"/>
        </w:rPr>
        <w:t>驱动下载网址：</w:t>
      </w:r>
      <w:r>
        <w:rPr>
          <w:color w:val="auto"/>
          <w:highlight w:val="none"/>
        </w:rPr>
        <w:fldChar w:fldCharType="begin"/>
      </w:r>
      <w:r>
        <w:rPr>
          <w:color w:val="auto"/>
          <w:highlight w:val="none"/>
        </w:rPr>
        <w:instrText xml:space="preserve"> HYPERLINK "https://customer.zcygov.cn/CA-driver-download?utm=web-ca-front.3ddc8fbb.0.0.91c6cff0db1311ec8cfbc9f613d30204" </w:instrText>
      </w:r>
      <w:r>
        <w:rPr>
          <w:color w:val="auto"/>
          <w:highlight w:val="none"/>
        </w:rPr>
        <w:fldChar w:fldCharType="separate"/>
      </w:r>
      <w:r>
        <w:rPr>
          <w:rStyle w:val="60"/>
          <w:rFonts w:cs="宋体" w:asciiTheme="minorEastAsia" w:hAnsiTheme="minorEastAsia" w:eastAsiaTheme="minorEastAsia"/>
          <w:color w:val="auto"/>
          <w:kern w:val="0"/>
          <w:szCs w:val="21"/>
          <w:highlight w:val="none"/>
          <w:u w:val="none"/>
        </w:rPr>
        <w:t>https</w:t>
      </w:r>
      <w:r>
        <w:rPr>
          <w:rStyle w:val="60"/>
          <w:rFonts w:hint="eastAsia" w:cs="宋体" w:asciiTheme="minorEastAsia" w:hAnsiTheme="minorEastAsia" w:eastAsiaTheme="minorEastAsia"/>
          <w:color w:val="auto"/>
          <w:kern w:val="0"/>
          <w:szCs w:val="21"/>
          <w:highlight w:val="none"/>
          <w:u w:val="none"/>
        </w:rPr>
        <w:t>：</w:t>
      </w:r>
      <w:r>
        <w:rPr>
          <w:rStyle w:val="60"/>
          <w:rFonts w:cs="宋体" w:asciiTheme="minorEastAsia" w:hAnsiTheme="minorEastAsia" w:eastAsiaTheme="minorEastAsia"/>
          <w:color w:val="auto"/>
          <w:kern w:val="0"/>
          <w:szCs w:val="21"/>
          <w:highlight w:val="none"/>
          <w:u w:val="none"/>
        </w:rPr>
        <w:t>//customer.zcygov.cn/CA-driver-download?utm=web-ca-front.3ddc8fbb.0.0.91c6cff0db1311ec8cfbc9f613d30204</w:t>
      </w:r>
      <w:r>
        <w:rPr>
          <w:rStyle w:val="60"/>
          <w:rFonts w:cs="宋体" w:asciiTheme="minorEastAsia" w:hAnsiTheme="minorEastAsia" w:eastAsiaTheme="minorEastAsia"/>
          <w:color w:val="auto"/>
          <w:kern w:val="0"/>
          <w:szCs w:val="21"/>
          <w:highlight w:val="none"/>
          <w:u w:val="none"/>
        </w:rPr>
        <w:fldChar w:fldCharType="end"/>
      </w:r>
      <w:r>
        <w:rPr>
          <w:rFonts w:hint="eastAsia" w:cs="宋体" w:asciiTheme="minorEastAsia" w:hAnsiTheme="minorEastAsia" w:eastAsiaTheme="minorEastAsia"/>
          <w:color w:val="auto"/>
          <w:kern w:val="0"/>
          <w:szCs w:val="21"/>
          <w:highlight w:val="none"/>
        </w:rPr>
        <w:t>。</w:t>
      </w:r>
    </w:p>
    <w:p w14:paraId="4DD24454">
      <w:pPr>
        <w:widowControl/>
        <w:wordWrap w:val="0"/>
        <w:ind w:firstLine="643"/>
        <w:jc w:val="left"/>
        <w:rPr>
          <w:rFonts w:hint="eastAsia" w:asciiTheme="minorEastAsia" w:hAnsiTheme="minorEastAsia" w:eastAsiaTheme="minorEastAsia"/>
          <w:b/>
          <w:bCs/>
          <w:color w:val="auto"/>
          <w:sz w:val="32"/>
          <w:szCs w:val="32"/>
          <w:highlight w:val="none"/>
        </w:rPr>
      </w:pPr>
      <w:r>
        <w:rPr>
          <w:rFonts w:asciiTheme="minorEastAsia" w:hAnsiTheme="minorEastAsia" w:eastAsiaTheme="minorEastAsia"/>
          <w:b/>
          <w:bCs/>
          <w:color w:val="auto"/>
          <w:sz w:val="32"/>
          <w:szCs w:val="32"/>
          <w:highlight w:val="none"/>
        </w:rPr>
        <w:br w:type="page"/>
      </w:r>
    </w:p>
    <w:p w14:paraId="16941AD7">
      <w:pPr>
        <w:pStyle w:val="42"/>
        <w:tabs>
          <w:tab w:val="right" w:leader="dot" w:pos="8948"/>
        </w:tabs>
        <w:spacing w:line="360" w:lineRule="auto"/>
        <w:ind w:left="0"/>
        <w:jc w:val="center"/>
        <w:outlineLvl w:val="0"/>
        <w:rPr>
          <w:rFonts w:hint="eastAsia" w:asciiTheme="minorEastAsia" w:hAnsiTheme="minorEastAsia" w:eastAsiaTheme="minorEastAsia"/>
          <w:b/>
          <w:bCs/>
          <w:color w:val="auto"/>
          <w:sz w:val="32"/>
          <w:szCs w:val="32"/>
          <w:highlight w:val="none"/>
        </w:rPr>
      </w:pPr>
      <w:bookmarkStart w:id="1040" w:name="_Toc180143779"/>
      <w:bookmarkStart w:id="1041" w:name="_Toc132362637"/>
      <w:bookmarkStart w:id="1042" w:name="_Toc27840"/>
      <w:bookmarkStart w:id="1043" w:name="_Toc30390"/>
      <w:bookmarkStart w:id="1044" w:name="_Hlk106380765"/>
      <w:r>
        <w:rPr>
          <w:rFonts w:hint="eastAsia" w:asciiTheme="minorEastAsia" w:hAnsiTheme="minorEastAsia" w:eastAsiaTheme="minorEastAsia"/>
          <w:b/>
          <w:bCs/>
          <w:color w:val="auto"/>
          <w:sz w:val="32"/>
          <w:szCs w:val="32"/>
          <w:highlight w:val="none"/>
        </w:rPr>
        <w:t>第三章 合同</w:t>
      </w:r>
      <w:bookmarkStart w:id="1045" w:name="_Toc229583213"/>
      <w:r>
        <w:rPr>
          <w:rFonts w:hint="eastAsia" w:asciiTheme="minorEastAsia" w:hAnsiTheme="minorEastAsia" w:eastAsiaTheme="minorEastAsia"/>
          <w:b/>
          <w:bCs/>
          <w:color w:val="auto"/>
          <w:sz w:val="32"/>
          <w:szCs w:val="32"/>
          <w:highlight w:val="none"/>
        </w:rPr>
        <w:t>条款及格式</w:t>
      </w:r>
      <w:bookmarkEnd w:id="1040"/>
      <w:bookmarkEnd w:id="1041"/>
      <w:bookmarkEnd w:id="1042"/>
    </w:p>
    <w:p w14:paraId="4AD67928">
      <w:pPr>
        <w:widowControl/>
        <w:spacing w:line="360" w:lineRule="auto"/>
        <w:jc w:val="center"/>
        <w:rPr>
          <w:rFonts w:hint="eastAsia" w:ascii="宋体" w:hAnsi="宋体" w:cs="宋体"/>
          <w:b/>
          <w:bCs/>
          <w:color w:val="auto"/>
          <w:kern w:val="0"/>
          <w:sz w:val="24"/>
          <w:szCs w:val="24"/>
          <w:highlight w:val="none"/>
        </w:rPr>
      </w:pPr>
      <w:r>
        <w:rPr>
          <w:rFonts w:ascii="宋体" w:hAnsi="宋体" w:cs="宋体"/>
          <w:b/>
          <w:bCs/>
          <w:color w:val="auto"/>
          <w:kern w:val="0"/>
          <w:sz w:val="24"/>
          <w:szCs w:val="24"/>
          <w:highlight w:val="none"/>
        </w:rPr>
        <w:t>（合同以最终签订</w:t>
      </w:r>
      <w:r>
        <w:rPr>
          <w:rFonts w:hint="eastAsia" w:ascii="宋体" w:hAnsi="宋体" w:cs="宋体"/>
          <w:b/>
          <w:bCs/>
          <w:color w:val="auto"/>
          <w:kern w:val="0"/>
          <w:sz w:val="24"/>
          <w:szCs w:val="24"/>
          <w:highlight w:val="none"/>
        </w:rPr>
        <w:t>的</w:t>
      </w:r>
      <w:r>
        <w:rPr>
          <w:rFonts w:ascii="宋体" w:hAnsi="宋体" w:cs="宋体"/>
          <w:b/>
          <w:bCs/>
          <w:color w:val="auto"/>
          <w:kern w:val="0"/>
          <w:sz w:val="24"/>
          <w:szCs w:val="24"/>
          <w:highlight w:val="none"/>
        </w:rPr>
        <w:t>版本为准）</w:t>
      </w:r>
    </w:p>
    <w:bookmarkEnd w:id="1043"/>
    <w:bookmarkEnd w:id="1044"/>
    <w:bookmarkEnd w:id="1045"/>
    <w:p w14:paraId="20F2BF36">
      <w:pPr>
        <w:ind w:right="1470"/>
        <w:jc w:val="center"/>
        <w:rPr>
          <w:b/>
          <w:bCs/>
          <w:color w:val="auto"/>
          <w:sz w:val="48"/>
          <w:szCs w:val="56"/>
          <w:highlight w:val="none"/>
        </w:rPr>
      </w:pPr>
    </w:p>
    <w:p w14:paraId="1B9E3FA1">
      <w:pPr>
        <w:ind w:right="1470"/>
        <w:jc w:val="center"/>
        <w:rPr>
          <w:b/>
          <w:bCs/>
          <w:color w:val="auto"/>
          <w:sz w:val="48"/>
          <w:szCs w:val="56"/>
          <w:highlight w:val="none"/>
        </w:rPr>
      </w:pPr>
    </w:p>
    <w:p w14:paraId="20FBC221">
      <w:pPr>
        <w:ind w:right="1470"/>
        <w:jc w:val="center"/>
        <w:rPr>
          <w:b/>
          <w:bCs/>
          <w:color w:val="auto"/>
          <w:sz w:val="48"/>
          <w:szCs w:val="56"/>
          <w:highlight w:val="none"/>
        </w:rPr>
      </w:pPr>
    </w:p>
    <w:p w14:paraId="75534021">
      <w:pPr>
        <w:ind w:right="1470"/>
        <w:jc w:val="center"/>
        <w:rPr>
          <w:b/>
          <w:bCs/>
          <w:color w:val="auto"/>
          <w:sz w:val="48"/>
          <w:szCs w:val="56"/>
          <w:highlight w:val="none"/>
        </w:rPr>
      </w:pPr>
    </w:p>
    <w:p w14:paraId="15D03185">
      <w:pPr>
        <w:ind w:right="1470"/>
        <w:jc w:val="center"/>
        <w:rPr>
          <w:b/>
          <w:bCs/>
          <w:color w:val="auto"/>
          <w:sz w:val="48"/>
          <w:szCs w:val="56"/>
          <w:highlight w:val="none"/>
        </w:rPr>
      </w:pPr>
    </w:p>
    <w:p w14:paraId="6F0874C9">
      <w:pPr>
        <w:jc w:val="center"/>
        <w:rPr>
          <w:b/>
          <w:bCs/>
          <w:color w:val="auto"/>
          <w:sz w:val="48"/>
          <w:szCs w:val="56"/>
          <w:highlight w:val="none"/>
        </w:rPr>
      </w:pPr>
      <w:r>
        <w:rPr>
          <w:b/>
          <w:bCs/>
          <w:color w:val="auto"/>
          <w:sz w:val="48"/>
          <w:szCs w:val="56"/>
          <w:highlight w:val="none"/>
        </w:rPr>
        <w:t>政府采购合同</w:t>
      </w:r>
    </w:p>
    <w:p w14:paraId="32752913">
      <w:pPr>
        <w:pStyle w:val="21"/>
        <w:rPr>
          <w:rFonts w:hint="eastAsia"/>
          <w:color w:val="auto"/>
          <w:highlight w:val="none"/>
        </w:rPr>
      </w:pPr>
    </w:p>
    <w:p w14:paraId="53B580AA">
      <w:pPr>
        <w:spacing w:line="600" w:lineRule="auto"/>
        <w:ind w:right="1470" w:firstLine="1273" w:firstLineChars="398"/>
        <w:rPr>
          <w:color w:val="auto"/>
          <w:sz w:val="32"/>
          <w:szCs w:val="40"/>
          <w:highlight w:val="none"/>
        </w:rPr>
      </w:pPr>
    </w:p>
    <w:p w14:paraId="7515CD86">
      <w:pPr>
        <w:spacing w:line="600" w:lineRule="auto"/>
        <w:ind w:right="1470" w:firstLine="1273" w:firstLineChars="398"/>
        <w:rPr>
          <w:color w:val="auto"/>
          <w:sz w:val="32"/>
          <w:szCs w:val="40"/>
          <w:highlight w:val="none"/>
        </w:rPr>
      </w:pPr>
    </w:p>
    <w:p w14:paraId="607A90BA">
      <w:pPr>
        <w:spacing w:line="600" w:lineRule="auto"/>
        <w:ind w:right="1470" w:firstLine="1273" w:firstLineChars="398"/>
        <w:rPr>
          <w:color w:val="auto"/>
          <w:sz w:val="32"/>
          <w:szCs w:val="40"/>
          <w:highlight w:val="none"/>
        </w:rPr>
      </w:pPr>
    </w:p>
    <w:p w14:paraId="590F23EF">
      <w:pPr>
        <w:spacing w:line="600" w:lineRule="auto"/>
        <w:ind w:right="1470" w:firstLine="1273" w:firstLineChars="398"/>
        <w:rPr>
          <w:color w:val="auto"/>
          <w:sz w:val="32"/>
          <w:szCs w:val="40"/>
          <w:highlight w:val="none"/>
        </w:rPr>
      </w:pPr>
    </w:p>
    <w:p w14:paraId="34E26509">
      <w:pPr>
        <w:spacing w:line="600" w:lineRule="auto"/>
        <w:ind w:right="1470"/>
        <w:rPr>
          <w:color w:val="auto"/>
          <w:sz w:val="32"/>
          <w:szCs w:val="40"/>
          <w:highlight w:val="none"/>
        </w:rPr>
      </w:pPr>
    </w:p>
    <w:p w14:paraId="6C4AE29C">
      <w:pPr>
        <w:spacing w:line="360" w:lineRule="auto"/>
        <w:ind w:right="1469" w:firstLine="1417" w:firstLineChars="443"/>
        <w:jc w:val="left"/>
        <w:rPr>
          <w:color w:val="auto"/>
          <w:sz w:val="32"/>
          <w:szCs w:val="40"/>
          <w:highlight w:val="none"/>
          <w:u w:val="single"/>
        </w:rPr>
      </w:pPr>
      <w:r>
        <w:rPr>
          <w:color w:val="auto"/>
          <w:sz w:val="32"/>
          <w:szCs w:val="40"/>
          <w:highlight w:val="none"/>
        </w:rPr>
        <w:t>项目名称：</w:t>
      </w:r>
      <w:r>
        <w:rPr>
          <w:rFonts w:hint="eastAsia"/>
          <w:color w:val="auto"/>
          <w:sz w:val="32"/>
          <w:szCs w:val="40"/>
          <w:highlight w:val="none"/>
          <w:u w:val="single"/>
        </w:rPr>
        <w:t xml:space="preserve">                           </w:t>
      </w:r>
    </w:p>
    <w:p w14:paraId="0FE45A6F">
      <w:pPr>
        <w:spacing w:line="360" w:lineRule="auto"/>
        <w:ind w:right="1469" w:firstLine="1417" w:firstLineChars="443"/>
        <w:jc w:val="left"/>
        <w:rPr>
          <w:b/>
          <w:bCs/>
          <w:color w:val="auto"/>
          <w:sz w:val="32"/>
          <w:szCs w:val="40"/>
          <w:highlight w:val="none"/>
        </w:rPr>
      </w:pPr>
      <w:r>
        <w:rPr>
          <w:color w:val="auto"/>
          <w:sz w:val="32"/>
          <w:szCs w:val="40"/>
          <w:highlight w:val="none"/>
        </w:rPr>
        <w:t>合同编号（系统编号）：</w:t>
      </w:r>
      <w:r>
        <w:rPr>
          <w:rFonts w:hint="eastAsia"/>
          <w:color w:val="auto"/>
          <w:sz w:val="32"/>
          <w:szCs w:val="40"/>
          <w:highlight w:val="none"/>
          <w:u w:val="single"/>
        </w:rPr>
        <w:t xml:space="preserve">               </w:t>
      </w:r>
    </w:p>
    <w:p w14:paraId="466E0D32">
      <w:pPr>
        <w:spacing w:line="360" w:lineRule="auto"/>
        <w:ind w:right="1469" w:firstLine="1417" w:firstLineChars="443"/>
        <w:jc w:val="left"/>
        <w:rPr>
          <w:color w:val="auto"/>
          <w:sz w:val="32"/>
          <w:szCs w:val="40"/>
          <w:highlight w:val="none"/>
        </w:rPr>
      </w:pPr>
      <w:r>
        <w:rPr>
          <w:color w:val="auto"/>
          <w:sz w:val="32"/>
          <w:szCs w:val="40"/>
          <w:highlight w:val="none"/>
        </w:rPr>
        <w:t>（自编号：如有）</w:t>
      </w:r>
      <w:r>
        <w:rPr>
          <w:rFonts w:hint="eastAsia"/>
          <w:color w:val="auto"/>
          <w:sz w:val="32"/>
          <w:szCs w:val="40"/>
          <w:highlight w:val="none"/>
          <w:u w:val="single"/>
        </w:rPr>
        <w:t xml:space="preserve">                     </w:t>
      </w:r>
    </w:p>
    <w:p w14:paraId="06FD0BD6">
      <w:pPr>
        <w:spacing w:line="360" w:lineRule="auto"/>
        <w:ind w:right="1469" w:firstLine="1417" w:firstLineChars="443"/>
        <w:jc w:val="left"/>
        <w:rPr>
          <w:color w:val="auto"/>
          <w:sz w:val="32"/>
          <w:szCs w:val="40"/>
          <w:highlight w:val="none"/>
        </w:rPr>
      </w:pPr>
      <w:r>
        <w:rPr>
          <w:color w:val="auto"/>
          <w:sz w:val="32"/>
          <w:szCs w:val="40"/>
          <w:highlight w:val="none"/>
        </w:rPr>
        <w:t>甲方：</w:t>
      </w:r>
      <w:r>
        <w:rPr>
          <w:rFonts w:hint="eastAsia"/>
          <w:color w:val="auto"/>
          <w:sz w:val="32"/>
          <w:szCs w:val="40"/>
          <w:highlight w:val="none"/>
          <w:u w:val="single"/>
        </w:rPr>
        <w:t xml:space="preserve">                               </w:t>
      </w:r>
    </w:p>
    <w:p w14:paraId="34BBCDF6">
      <w:pPr>
        <w:spacing w:line="360" w:lineRule="auto"/>
        <w:ind w:right="1469" w:firstLine="1417" w:firstLineChars="443"/>
        <w:jc w:val="left"/>
        <w:rPr>
          <w:rFonts w:hint="eastAsia" w:ascii="宋体" w:hAnsi="宋体"/>
          <w:color w:val="auto"/>
          <w:sz w:val="36"/>
          <w:highlight w:val="none"/>
        </w:rPr>
      </w:pPr>
      <w:r>
        <w:rPr>
          <w:color w:val="auto"/>
          <w:sz w:val="32"/>
          <w:szCs w:val="40"/>
          <w:highlight w:val="none"/>
        </w:rPr>
        <w:t>乙方：</w:t>
      </w:r>
      <w:r>
        <w:rPr>
          <w:rFonts w:hint="eastAsia"/>
          <w:color w:val="auto"/>
          <w:sz w:val="32"/>
          <w:szCs w:val="40"/>
          <w:highlight w:val="none"/>
          <w:u w:val="single"/>
        </w:rPr>
        <w:t xml:space="preserve">                               </w:t>
      </w:r>
    </w:p>
    <w:p w14:paraId="23D91935">
      <w:pPr>
        <w:spacing w:line="360" w:lineRule="auto"/>
        <w:jc w:val="center"/>
        <w:outlineLvl w:val="1"/>
        <w:rPr>
          <w:rFonts w:hint="eastAsia" w:ascii="宋体" w:hAnsi="宋体"/>
          <w:b/>
          <w:bCs/>
          <w:color w:val="auto"/>
          <w:szCs w:val="21"/>
          <w:highlight w:val="none"/>
        </w:rPr>
      </w:pPr>
      <w:r>
        <w:rPr>
          <w:rFonts w:ascii="宋体" w:hAnsi="宋体"/>
          <w:color w:val="auto"/>
          <w:kern w:val="32"/>
          <w:szCs w:val="21"/>
          <w:highlight w:val="none"/>
        </w:rPr>
        <w:br w:type="page"/>
      </w:r>
      <w:bookmarkStart w:id="1046" w:name="_Toc180143780"/>
      <w:bookmarkStart w:id="1047" w:name="_Toc22209"/>
      <w:r>
        <w:rPr>
          <w:rFonts w:hint="eastAsia" w:asciiTheme="minorEastAsia" w:hAnsiTheme="minorEastAsia" w:eastAsiaTheme="minorEastAsia"/>
          <w:b/>
          <w:color w:val="auto"/>
          <w:sz w:val="30"/>
          <w:szCs w:val="30"/>
          <w:highlight w:val="none"/>
        </w:rPr>
        <w:t>第一节 政府采购合同协议书</w:t>
      </w:r>
      <w:bookmarkEnd w:id="1046"/>
      <w:bookmarkEnd w:id="1047"/>
    </w:p>
    <w:p w14:paraId="5AA8BAA1">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p>
    <w:p w14:paraId="160C8B0E">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乙方（全称）：</w:t>
      </w:r>
      <w:r>
        <w:rPr>
          <w:rFonts w:hint="eastAsia" w:ascii="宋体" w:hAnsi="宋体"/>
          <w:color w:val="auto"/>
          <w:szCs w:val="21"/>
          <w:highlight w:val="none"/>
          <w:u w:val="single"/>
        </w:rPr>
        <w:t xml:space="preserve">                      </w:t>
      </w:r>
    </w:p>
    <w:p w14:paraId="7A3F6662">
      <w:pPr>
        <w:pStyle w:val="22"/>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依据《中华人民共和国民法典》、《中华人民共和国政府采购法》等有关的法律法规，以及本采购项目的采购文件、乙方的《投标文件》及《中标通知书》，甲乙双方同意签订本合同。具体情况及要求如下：     </w:t>
      </w:r>
    </w:p>
    <w:p w14:paraId="6D47B6AF">
      <w:pPr>
        <w:numPr>
          <w:ilvl w:val="0"/>
          <w:numId w:val="2"/>
        </w:numPr>
        <w:adjustRightInd w:val="0"/>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项目信息</w:t>
      </w:r>
    </w:p>
    <w:p w14:paraId="733845CA">
      <w:pPr>
        <w:pStyle w:val="22"/>
        <w:numPr>
          <w:ilvl w:val="0"/>
          <w:numId w:val="3"/>
        </w:numPr>
        <w:adjustRightInd w:val="0"/>
        <w:snapToGrid w:val="0"/>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采购项目名称：</w:t>
      </w:r>
      <w:r>
        <w:rPr>
          <w:rFonts w:hint="eastAsia" w:ascii="宋体" w:hAnsi="宋体"/>
          <w:color w:val="auto"/>
          <w:szCs w:val="21"/>
          <w:highlight w:val="none"/>
          <w:u w:val="single"/>
        </w:rPr>
        <w:t>昆明市第二十四中学理化生实验室升级改造设备采购项目</w:t>
      </w:r>
    </w:p>
    <w:p w14:paraId="50DA5E14">
      <w:pPr>
        <w:pStyle w:val="22"/>
        <w:numPr>
          <w:ilvl w:val="255"/>
          <w:numId w:val="0"/>
        </w:numPr>
        <w:tabs>
          <w:tab w:val="left" w:pos="999"/>
        </w:tabs>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采购项目编号：</w:t>
      </w:r>
      <w:r>
        <w:rPr>
          <w:rFonts w:ascii="宋体" w:hAnsi="宋体"/>
          <w:color w:val="auto"/>
          <w:szCs w:val="21"/>
          <w:highlight w:val="none"/>
          <w:u w:val="single"/>
        </w:rPr>
        <w:t xml:space="preserve">                                   </w:t>
      </w:r>
    </w:p>
    <w:p w14:paraId="6457FD4E">
      <w:pPr>
        <w:pStyle w:val="22"/>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（2）采购计划编号：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1E9D8396">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（3）项目内容：</w:t>
      </w:r>
    </w:p>
    <w:p w14:paraId="1BCDDAB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采购标的及数量（台/套</w:t>
      </w:r>
      <w:r>
        <w:rPr>
          <w:rFonts w:ascii="宋体" w:hAnsi="宋体"/>
          <w:color w:val="auto"/>
          <w:szCs w:val="21"/>
          <w:highlight w:val="none"/>
          <w:lang w:val="en"/>
        </w:rPr>
        <w:t>/</w:t>
      </w:r>
      <w:r>
        <w:rPr>
          <w:rFonts w:hint="eastAsia" w:ascii="宋体" w:hAnsi="宋体"/>
          <w:color w:val="auto"/>
          <w:szCs w:val="21"/>
          <w:highlight w:val="none"/>
          <w:lang w:val="en"/>
        </w:rPr>
        <w:t>个</w:t>
      </w:r>
      <w:r>
        <w:rPr>
          <w:rFonts w:ascii="宋体" w:hAnsi="宋体"/>
          <w:color w:val="auto"/>
          <w:szCs w:val="21"/>
          <w:highlight w:val="none"/>
          <w:lang w:val="en"/>
        </w:rPr>
        <w:t>/</w:t>
      </w:r>
      <w:r>
        <w:rPr>
          <w:rFonts w:hint="eastAsia" w:ascii="宋体" w:hAnsi="宋体"/>
          <w:color w:val="auto"/>
          <w:szCs w:val="21"/>
          <w:highlight w:val="none"/>
          <w:lang w:val="en"/>
        </w:rPr>
        <w:t>架</w:t>
      </w:r>
      <w:r>
        <w:rPr>
          <w:rFonts w:ascii="宋体" w:hAnsi="宋体"/>
          <w:color w:val="auto"/>
          <w:szCs w:val="21"/>
          <w:highlight w:val="none"/>
          <w:lang w:val="en"/>
        </w:rPr>
        <w:t>/</w:t>
      </w:r>
      <w:r>
        <w:rPr>
          <w:rFonts w:hint="eastAsia" w:ascii="宋体" w:hAnsi="宋体"/>
          <w:color w:val="auto"/>
          <w:szCs w:val="21"/>
          <w:highlight w:val="none"/>
          <w:lang w:val="en"/>
        </w:rPr>
        <w:t>组等</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34BCA43">
      <w:pPr>
        <w:numPr>
          <w:ilvl w:val="255"/>
          <w:numId w:val="0"/>
        </w:numPr>
        <w:adjustRightInd w:val="0"/>
        <w:snapToGrid w:val="0"/>
        <w:spacing w:line="360" w:lineRule="auto"/>
        <w:ind w:firstLine="420" w:firstLineChars="200"/>
        <w:rPr>
          <w:rFonts w:hint="eastAsia" w:ascii="宋体" w:hAnsi="宋体" w:cs="宋体"/>
          <w:color w:val="auto"/>
          <w:szCs w:val="21"/>
          <w:highlight w:val="none"/>
          <w:lang w:val="en"/>
        </w:rPr>
      </w:pPr>
      <w:r>
        <w:rPr>
          <w:rFonts w:hint="eastAsia" w:ascii="宋体" w:hAnsi="宋体"/>
          <w:color w:val="auto"/>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lang w:val="en"/>
        </w:rPr>
        <w:t xml:space="preserve">     </w:t>
      </w:r>
      <w:r>
        <w:rPr>
          <w:rFonts w:hint="eastAsia" w:ascii="宋体" w:hAnsi="宋体" w:cs="宋体"/>
          <w:color w:val="auto"/>
          <w:szCs w:val="21"/>
          <w:highlight w:val="none"/>
        </w:rPr>
        <w:t>规格型号：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lang w:val="en"/>
        </w:rPr>
        <w:t xml:space="preserve">   </w:t>
      </w:r>
    </w:p>
    <w:p w14:paraId="4D9B3FE2">
      <w:pPr>
        <w:adjustRightInd w:val="0"/>
        <w:snapToGrid w:val="0"/>
        <w:spacing w:line="360" w:lineRule="auto"/>
        <w:ind w:firstLine="945" w:firstLineChars="450"/>
        <w:rPr>
          <w:rFonts w:hint="eastAsia" w:ascii="宋体" w:hAnsi="宋体"/>
          <w:color w:val="auto"/>
          <w:szCs w:val="21"/>
          <w:highlight w:val="none"/>
          <w:u w:val="single"/>
        </w:rPr>
      </w:pPr>
      <w:r>
        <w:rPr>
          <w:rFonts w:hint="eastAsia" w:ascii="宋体" w:hAnsi="宋体"/>
          <w:color w:val="auto"/>
          <w:szCs w:val="21"/>
          <w:highlight w:val="none"/>
        </w:rPr>
        <w:t>采购标的的技术要求、商务要求具体见附件。</w:t>
      </w:r>
    </w:p>
    <w:p w14:paraId="57EEAF3F">
      <w:pPr>
        <w:pStyle w:val="338"/>
        <w:numPr>
          <w:ilvl w:val="255"/>
          <w:numId w:val="0"/>
        </w:numPr>
        <w:snapToGrid w:val="0"/>
        <w:spacing w:line="360" w:lineRule="auto"/>
        <w:rPr>
          <w:rFonts w:hint="eastAsia" w:ascii="宋体" w:hAnsi="宋体" w:eastAsia="宋体" w:cstheme="minorEastAsia"/>
          <w:color w:val="auto"/>
          <w:sz w:val="21"/>
          <w:highlight w:val="none"/>
        </w:rPr>
      </w:pPr>
      <w:r>
        <w:rPr>
          <w:rFonts w:hint="eastAsia" w:ascii="宋体" w:hAnsi="宋体" w:eastAsia="宋体" w:cstheme="minorEastAsia"/>
          <w:color w:val="auto"/>
          <w:sz w:val="21"/>
          <w:highlight w:val="none"/>
        </w:rPr>
        <w:t xml:space="preserve">         </w:t>
      </w:r>
      <w:r>
        <w:rPr>
          <w:rFonts w:hint="eastAsia" w:ascii="宋体" w:hAnsi="宋体" w:eastAsia="宋体" w:cstheme="minorEastAsia"/>
          <w:color w:val="auto"/>
          <w:sz w:val="21"/>
          <w:highlight w:val="none"/>
        </w:rPr>
        <w:sym w:font="Wingdings" w:char="00A8"/>
      </w:r>
      <w:r>
        <w:rPr>
          <w:rFonts w:hint="eastAsia" w:ascii="宋体" w:hAnsi="宋体" w:eastAsia="宋体" w:cstheme="minorEastAsia"/>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宋体" w:hAnsi="宋体" w:eastAsia="宋体" w:cstheme="minorEastAsia"/>
          <w:color w:val="auto"/>
          <w:sz w:val="21"/>
          <w:highlight w:val="none"/>
        </w:rPr>
        <w:t xml:space="preserve"> 数量：</w:t>
      </w:r>
      <w:r>
        <w:rPr>
          <w:rFonts w:hint="eastAsia" w:ascii="宋体" w:hAnsi="宋体" w:eastAsia="宋体" w:cstheme="minorEastAsia"/>
          <w:color w:val="auto"/>
          <w:sz w:val="21"/>
          <w:highlight w:val="none"/>
          <w:u w:val="single"/>
        </w:rPr>
        <w:t xml:space="preserve"> </w:t>
      </w:r>
      <w:r>
        <w:rPr>
          <w:rFonts w:hint="eastAsia" w:ascii="宋体" w:hAnsi="宋体" w:eastAsia="宋体" w:cs="宋体"/>
          <w:color w:val="auto"/>
          <w:sz w:val="21"/>
          <w:highlight w:val="none"/>
          <w:u w:val="single"/>
        </w:rPr>
        <w:t xml:space="preserve">   </w:t>
      </w:r>
      <w:r>
        <w:rPr>
          <w:rFonts w:hint="eastAsia" w:ascii="宋体" w:hAnsi="宋体" w:eastAsia="宋体" w:cstheme="minorEastAsia"/>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宋体" w:hAnsi="宋体" w:eastAsia="宋体" w:cstheme="minorEastAsia"/>
          <w:color w:val="auto"/>
          <w:sz w:val="21"/>
          <w:highlight w:val="none"/>
        </w:rPr>
        <w:t xml:space="preserve"> </w:t>
      </w:r>
    </w:p>
    <w:p w14:paraId="7AC5DE2C">
      <w:pPr>
        <w:pStyle w:val="338"/>
        <w:numPr>
          <w:ilvl w:val="255"/>
          <w:numId w:val="0"/>
        </w:numPr>
        <w:snapToGrid w:val="0"/>
        <w:spacing w:line="360" w:lineRule="auto"/>
        <w:rPr>
          <w:rFonts w:hint="eastAsia" w:ascii="宋体" w:hAnsi="宋体" w:eastAsia="宋体" w:cstheme="minorEastAsia"/>
          <w:color w:val="auto"/>
          <w:sz w:val="21"/>
          <w:highlight w:val="none"/>
        </w:rPr>
      </w:pPr>
      <w:r>
        <w:rPr>
          <w:rFonts w:hint="eastAsia" w:ascii="宋体" w:hAnsi="宋体" w:eastAsia="宋体" w:cstheme="minorEastAsia"/>
          <w:color w:val="auto"/>
          <w:sz w:val="21"/>
          <w:highlight w:val="none"/>
        </w:rPr>
        <w:t xml:space="preserve">         </w:t>
      </w:r>
      <w:r>
        <w:rPr>
          <w:rFonts w:hint="eastAsia" w:ascii="宋体" w:hAnsi="宋体" w:eastAsia="宋体" w:cstheme="minorEastAsia"/>
          <w:color w:val="auto"/>
          <w:sz w:val="21"/>
          <w:highlight w:val="none"/>
        </w:rPr>
        <w:sym w:font="Wingdings" w:char="00A8"/>
      </w:r>
      <w:r>
        <w:rPr>
          <w:rFonts w:hint="eastAsia" w:ascii="宋体" w:hAnsi="宋体" w:eastAsia="宋体" w:cstheme="minorEastAsia"/>
          <w:color w:val="auto"/>
          <w:sz w:val="21"/>
          <w:highlight w:val="none"/>
        </w:rPr>
        <w:t>否</w:t>
      </w:r>
    </w:p>
    <w:p w14:paraId="13E93978">
      <w:pPr>
        <w:pStyle w:val="338"/>
        <w:numPr>
          <w:ilvl w:val="255"/>
          <w:numId w:val="0"/>
        </w:numPr>
        <w:snapToGrid w:val="0"/>
        <w:spacing w:line="360" w:lineRule="auto"/>
        <w:rPr>
          <w:rFonts w:hint="eastAsia" w:ascii="宋体" w:hAnsi="宋体" w:eastAsia="宋体" w:cstheme="minorEastAsia"/>
          <w:color w:val="auto"/>
          <w:sz w:val="21"/>
          <w:highlight w:val="none"/>
        </w:rPr>
      </w:pPr>
      <w:r>
        <w:rPr>
          <w:rFonts w:hint="eastAsia" w:ascii="宋体" w:hAnsi="宋体" w:eastAsia="宋体" w:cstheme="minorEastAsia"/>
          <w:color w:val="auto"/>
          <w:sz w:val="21"/>
          <w:highlight w:val="none"/>
        </w:rPr>
        <w:t xml:space="preserve">    （</w:t>
      </w:r>
      <w:r>
        <w:rPr>
          <w:rFonts w:ascii="宋体" w:hAnsi="宋体" w:eastAsia="宋体" w:cstheme="minorEastAsia"/>
          <w:color w:val="auto"/>
          <w:sz w:val="21"/>
          <w:highlight w:val="none"/>
          <w:lang w:val="en"/>
        </w:rPr>
        <w:t>4</w:t>
      </w:r>
      <w:r>
        <w:rPr>
          <w:rFonts w:hint="eastAsia" w:ascii="宋体" w:hAnsi="宋体" w:eastAsia="宋体" w:cstheme="minorEastAsia"/>
          <w:color w:val="auto"/>
          <w:sz w:val="21"/>
          <w:highlight w:val="none"/>
        </w:rPr>
        <w:t>）政府采购组织形式：</w:t>
      </w:r>
      <w:r>
        <w:rPr>
          <w:rFonts w:hint="eastAsia" w:ascii="宋体" w:hAnsi="宋体" w:eastAsia="宋体" w:cstheme="minorEastAsia"/>
          <w:color w:val="auto"/>
          <w:sz w:val="21"/>
          <w:highlight w:val="none"/>
        </w:rPr>
        <w:sym w:font="Wingdings" w:char="00A8"/>
      </w:r>
      <w:r>
        <w:rPr>
          <w:rFonts w:hint="eastAsia" w:ascii="宋体" w:hAnsi="宋体" w:eastAsia="宋体" w:cstheme="minorEastAsia"/>
          <w:color w:val="auto"/>
          <w:sz w:val="21"/>
          <w:highlight w:val="none"/>
        </w:rPr>
        <w:t xml:space="preserve">政府集中采购  </w:t>
      </w:r>
      <w:r>
        <w:rPr>
          <w:rFonts w:hint="eastAsia" w:ascii="宋体" w:hAnsi="宋体" w:eastAsia="宋体" w:cstheme="minorEastAsia"/>
          <w:color w:val="auto"/>
          <w:sz w:val="21"/>
          <w:highlight w:val="none"/>
        </w:rPr>
        <w:sym w:font="Wingdings" w:char="00A8"/>
      </w:r>
      <w:r>
        <w:rPr>
          <w:rFonts w:hint="eastAsia" w:ascii="宋体" w:hAnsi="宋体" w:eastAsia="宋体" w:cstheme="minorEastAsia"/>
          <w:color w:val="auto"/>
          <w:sz w:val="21"/>
          <w:highlight w:val="none"/>
        </w:rPr>
        <w:t xml:space="preserve">部门集中采购  </w:t>
      </w:r>
      <w:r>
        <w:rPr>
          <w:rFonts w:hint="eastAsia" w:ascii="宋体" w:hAnsi="宋体"/>
          <w:iCs/>
          <w:color w:val="auto"/>
          <w:sz w:val="21"/>
          <w:highlight w:val="none"/>
        </w:rPr>
        <w:sym w:font="Wingdings 2" w:char="F052"/>
      </w:r>
      <w:r>
        <w:rPr>
          <w:rFonts w:hint="eastAsia" w:ascii="宋体" w:hAnsi="宋体" w:eastAsia="宋体" w:cstheme="minorEastAsia"/>
          <w:color w:val="auto"/>
          <w:sz w:val="21"/>
          <w:highlight w:val="none"/>
        </w:rPr>
        <w:t>分散采购</w:t>
      </w:r>
    </w:p>
    <w:p w14:paraId="754E7141">
      <w:pPr>
        <w:pStyle w:val="338"/>
        <w:numPr>
          <w:ilvl w:val="255"/>
          <w:numId w:val="0"/>
        </w:numPr>
        <w:snapToGrid w:val="0"/>
        <w:spacing w:line="360" w:lineRule="auto"/>
        <w:ind w:firstLine="420"/>
        <w:rPr>
          <w:rFonts w:hint="eastAsia" w:ascii="宋体" w:hAnsi="宋体" w:eastAsia="宋体" w:cstheme="minorEastAsia"/>
          <w:color w:val="auto"/>
          <w:sz w:val="21"/>
          <w:highlight w:val="none"/>
        </w:rPr>
      </w:pPr>
      <w:r>
        <w:rPr>
          <w:rFonts w:hint="eastAsia" w:ascii="宋体" w:hAnsi="宋体" w:eastAsia="宋体" w:cstheme="minorEastAsia"/>
          <w:color w:val="auto"/>
          <w:sz w:val="21"/>
          <w:highlight w:val="none"/>
        </w:rPr>
        <w:t>（</w:t>
      </w:r>
      <w:r>
        <w:rPr>
          <w:rFonts w:ascii="宋体" w:hAnsi="宋体" w:eastAsia="宋体" w:cstheme="minorEastAsia"/>
          <w:color w:val="auto"/>
          <w:sz w:val="21"/>
          <w:highlight w:val="none"/>
          <w:lang w:val="en"/>
        </w:rPr>
        <w:t>5</w:t>
      </w:r>
      <w:r>
        <w:rPr>
          <w:rFonts w:hint="eastAsia" w:ascii="宋体" w:hAnsi="宋体" w:eastAsia="宋体" w:cstheme="minorEastAsia"/>
          <w:color w:val="auto"/>
          <w:sz w:val="21"/>
          <w:highlight w:val="none"/>
        </w:rPr>
        <w:t>）政府采购方式：</w:t>
      </w:r>
      <w:r>
        <w:rPr>
          <w:rFonts w:hint="eastAsia" w:ascii="宋体" w:hAnsi="宋体"/>
          <w:iCs/>
          <w:color w:val="auto"/>
          <w:sz w:val="21"/>
          <w:highlight w:val="none"/>
        </w:rPr>
        <w:sym w:font="Wingdings 2" w:char="F052"/>
      </w:r>
      <w:r>
        <w:rPr>
          <w:rFonts w:hint="eastAsia" w:ascii="宋体" w:hAnsi="宋体" w:eastAsia="宋体" w:cstheme="minorEastAsia"/>
          <w:color w:val="auto"/>
          <w:sz w:val="21"/>
          <w:highlight w:val="none"/>
        </w:rPr>
        <w:t xml:space="preserve">公开招标 </w:t>
      </w:r>
      <w:r>
        <w:rPr>
          <w:rFonts w:hint="eastAsia" w:ascii="宋体" w:hAnsi="宋体" w:eastAsia="宋体" w:cstheme="minorEastAsia"/>
          <w:color w:val="auto"/>
          <w:sz w:val="21"/>
          <w:highlight w:val="none"/>
        </w:rPr>
        <w:sym w:font="Wingdings" w:char="00A8"/>
      </w:r>
      <w:r>
        <w:rPr>
          <w:rFonts w:hint="eastAsia" w:ascii="宋体" w:hAnsi="宋体" w:eastAsia="宋体" w:cstheme="minorEastAsia"/>
          <w:color w:val="auto"/>
          <w:sz w:val="21"/>
          <w:highlight w:val="none"/>
        </w:rPr>
        <w:t xml:space="preserve">邀请招标 </w:t>
      </w:r>
      <w:r>
        <w:rPr>
          <w:rFonts w:hint="eastAsia" w:ascii="宋体" w:hAnsi="宋体" w:eastAsia="宋体" w:cstheme="minorEastAsia"/>
          <w:color w:val="auto"/>
          <w:sz w:val="21"/>
          <w:highlight w:val="none"/>
        </w:rPr>
        <w:sym w:font="Wingdings" w:char="00A8"/>
      </w:r>
      <w:r>
        <w:rPr>
          <w:rFonts w:hint="eastAsia" w:ascii="宋体" w:hAnsi="宋体" w:eastAsia="宋体" w:cstheme="minorEastAsia"/>
          <w:color w:val="auto"/>
          <w:sz w:val="21"/>
          <w:highlight w:val="none"/>
        </w:rPr>
        <w:t xml:space="preserve">竞争性谈判 </w:t>
      </w:r>
      <w:r>
        <w:rPr>
          <w:rFonts w:hint="eastAsia" w:ascii="宋体" w:hAnsi="宋体" w:eastAsia="宋体" w:cstheme="minorEastAsia"/>
          <w:color w:val="auto"/>
          <w:sz w:val="21"/>
          <w:highlight w:val="none"/>
        </w:rPr>
        <w:sym w:font="Wingdings" w:char="00A8"/>
      </w:r>
      <w:r>
        <w:rPr>
          <w:rFonts w:hint="eastAsia" w:ascii="宋体" w:hAnsi="宋体" w:eastAsia="宋体" w:cstheme="minorEastAsia"/>
          <w:color w:val="auto"/>
          <w:sz w:val="21"/>
          <w:highlight w:val="none"/>
        </w:rPr>
        <w:t>竞争性投标</w:t>
      </w:r>
    </w:p>
    <w:p w14:paraId="5D5BC173">
      <w:pPr>
        <w:pStyle w:val="338"/>
        <w:numPr>
          <w:ilvl w:val="255"/>
          <w:numId w:val="0"/>
        </w:numPr>
        <w:snapToGrid w:val="0"/>
        <w:spacing w:line="360" w:lineRule="auto"/>
        <w:ind w:firstLine="42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 xml:space="preserve">                  </w:t>
      </w:r>
      <w:r>
        <w:rPr>
          <w:rFonts w:hint="eastAsia" w:ascii="宋体" w:hAnsi="宋体" w:eastAsia="宋体" w:cstheme="minorEastAsia"/>
          <w:color w:val="auto"/>
          <w:sz w:val="21"/>
          <w:highlight w:val="none"/>
        </w:rPr>
        <w:sym w:font="Wingdings" w:char="00A8"/>
      </w:r>
      <w:r>
        <w:rPr>
          <w:rFonts w:hint="eastAsia" w:ascii="宋体" w:hAnsi="宋体" w:eastAsia="宋体" w:cstheme="minorEastAsia"/>
          <w:color w:val="auto"/>
          <w:sz w:val="21"/>
          <w:highlight w:val="none"/>
        </w:rPr>
        <w:t xml:space="preserve">询价 </w:t>
      </w:r>
      <w:r>
        <w:rPr>
          <w:rFonts w:hint="eastAsia" w:ascii="宋体" w:hAnsi="宋体" w:eastAsia="宋体" w:cstheme="minorEastAsia"/>
          <w:color w:val="auto"/>
          <w:sz w:val="21"/>
          <w:highlight w:val="none"/>
        </w:rPr>
        <w:sym w:font="Wingdings" w:char="00A8"/>
      </w:r>
      <w:r>
        <w:rPr>
          <w:rFonts w:hint="eastAsia" w:ascii="宋体" w:hAnsi="宋体" w:eastAsia="宋体" w:cstheme="minorEastAsia"/>
          <w:color w:val="auto"/>
          <w:sz w:val="21"/>
          <w:highlight w:val="none"/>
        </w:rPr>
        <w:t xml:space="preserve">单一来源 </w:t>
      </w:r>
      <w:r>
        <w:rPr>
          <w:rFonts w:hint="eastAsia" w:ascii="宋体" w:hAnsi="宋体" w:eastAsia="宋体" w:cstheme="minorEastAsia"/>
          <w:color w:val="auto"/>
          <w:sz w:val="21"/>
          <w:highlight w:val="none"/>
        </w:rPr>
        <w:sym w:font="Wingdings" w:char="00A8"/>
      </w:r>
      <w:r>
        <w:rPr>
          <w:rFonts w:hint="eastAsia" w:ascii="宋体" w:hAnsi="宋体" w:eastAsia="宋体" w:cstheme="minorEastAsia"/>
          <w:color w:val="auto"/>
          <w:sz w:val="21"/>
          <w:highlight w:val="none"/>
        </w:rPr>
        <w:t xml:space="preserve">框架协议 </w:t>
      </w:r>
      <w:r>
        <w:rPr>
          <w:rFonts w:hint="eastAsia" w:ascii="宋体" w:hAnsi="宋体" w:eastAsia="宋体" w:cstheme="minorEastAsia"/>
          <w:color w:val="auto"/>
          <w:sz w:val="21"/>
          <w:highlight w:val="none"/>
        </w:rPr>
        <w:sym w:font="Wingdings" w:char="00A8"/>
      </w:r>
      <w:r>
        <w:rPr>
          <w:rFonts w:hint="eastAsia" w:ascii="宋体" w:hAnsi="宋体" w:eastAsia="宋体" w:cstheme="minorEastAsia"/>
          <w:color w:val="auto"/>
          <w:sz w:val="21"/>
          <w:highlight w:val="none"/>
        </w:rPr>
        <w:t>其他：</w:t>
      </w:r>
      <w:r>
        <w:rPr>
          <w:rFonts w:hint="eastAsia" w:ascii="宋体" w:hAnsi="宋体" w:eastAsia="宋体" w:cs="宋体"/>
          <w:color w:val="auto"/>
          <w:sz w:val="21"/>
          <w:highlight w:val="none"/>
          <w:u w:val="single"/>
        </w:rPr>
        <w:t xml:space="preserve">          </w:t>
      </w:r>
    </w:p>
    <w:p w14:paraId="241935EA">
      <w:pPr>
        <w:pStyle w:val="338"/>
        <w:numPr>
          <w:ilvl w:val="255"/>
          <w:numId w:val="0"/>
        </w:numPr>
        <w:snapToGrid w:val="0"/>
        <w:spacing w:line="360" w:lineRule="auto"/>
        <w:ind w:firstLine="420" w:firstLineChars="200"/>
        <w:rPr>
          <w:rFonts w:hint="eastAsia" w:ascii="宋体" w:hAnsi="宋体" w:eastAsia="宋体" w:cs="Times New Roman"/>
          <w:color w:val="auto"/>
          <w:kern w:val="2"/>
          <w:sz w:val="21"/>
          <w:highlight w:val="none"/>
        </w:rPr>
      </w:pPr>
      <w:r>
        <w:rPr>
          <w:rFonts w:hint="eastAsia" w:ascii="宋体" w:hAnsi="宋体" w:eastAsia="宋体"/>
          <w:color w:val="auto"/>
          <w:sz w:val="21"/>
          <w:highlight w:val="none"/>
        </w:rPr>
        <w:t>（</w:t>
      </w:r>
      <w:r>
        <w:rPr>
          <w:rFonts w:ascii="宋体" w:hAnsi="宋体" w:eastAsia="宋体"/>
          <w:color w:val="auto"/>
          <w:sz w:val="21"/>
          <w:highlight w:val="none"/>
          <w:lang w:val="en"/>
        </w:rPr>
        <w:t>6</w:t>
      </w:r>
      <w:r>
        <w:rPr>
          <w:rFonts w:hint="eastAsia" w:ascii="宋体" w:hAnsi="宋体" w:eastAsia="宋体"/>
          <w:color w:val="auto"/>
          <w:sz w:val="21"/>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76362361">
      <w:pPr>
        <w:numPr>
          <w:ilvl w:val="255"/>
          <w:numId w:val="0"/>
        </w:numPr>
        <w:adjustRightInd w:val="0"/>
        <w:snapToGrid w:val="0"/>
        <w:spacing w:line="360" w:lineRule="auto"/>
        <w:rPr>
          <w:rFonts w:hint="eastAsia"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2" w:char="F052"/>
      </w:r>
      <w:r>
        <w:rPr>
          <w:rFonts w:hint="eastAsia" w:ascii="宋体" w:hAnsi="宋体"/>
          <w:iCs/>
          <w:color w:val="auto"/>
          <w:szCs w:val="21"/>
          <w:highlight w:val="none"/>
        </w:rPr>
        <w:t>否</w:t>
      </w:r>
    </w:p>
    <w:p w14:paraId="15F8241F">
      <w:pPr>
        <w:numPr>
          <w:ilvl w:val="255"/>
          <w:numId w:val="0"/>
        </w:numPr>
        <w:adjustRightInd w:val="0"/>
        <w:snapToGrid w:val="0"/>
        <w:spacing w:line="360" w:lineRule="auto"/>
        <w:rPr>
          <w:rFonts w:hint="eastAsia" w:ascii="宋体" w:hAnsi="宋体"/>
          <w:iCs/>
          <w:color w:val="auto"/>
          <w:szCs w:val="21"/>
          <w:highlight w:val="none"/>
        </w:rPr>
      </w:pPr>
      <w:r>
        <w:rPr>
          <w:rFonts w:hint="eastAsia" w:ascii="宋体" w:hAnsi="宋体"/>
          <w:color w:val="auto"/>
          <w:szCs w:val="21"/>
          <w:highlight w:val="none"/>
        </w:rPr>
        <w:t xml:space="preserve">         若本项目不专门面向中小企业采购，是否给予小微企业评审优惠：</w:t>
      </w:r>
      <w:r>
        <w:rPr>
          <w:rFonts w:hint="eastAsia" w:ascii="宋体" w:hAnsi="宋体"/>
          <w:iCs/>
          <w:color w:val="auto"/>
          <w:szCs w:val="21"/>
          <w:highlight w:val="none"/>
        </w:rPr>
        <w:sym w:font="Wingdings 2" w:char="F052"/>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6B8E71AE">
      <w:pPr>
        <w:numPr>
          <w:ilvl w:val="255"/>
          <w:numId w:val="0"/>
        </w:numPr>
        <w:adjustRightInd w:val="0"/>
        <w:snapToGrid w:val="0"/>
        <w:spacing w:line="360" w:lineRule="auto"/>
        <w:rPr>
          <w:rFonts w:hint="eastAsia" w:ascii="宋体" w:hAnsi="宋体"/>
          <w:iCs/>
          <w:color w:val="auto"/>
          <w:szCs w:val="21"/>
          <w:highlight w:val="none"/>
        </w:rPr>
      </w:pPr>
      <w:r>
        <w:rPr>
          <w:rFonts w:hint="eastAsia" w:ascii="宋体" w:hAnsi="宋体"/>
          <w:color w:val="auto"/>
          <w:szCs w:val="21"/>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52AC17CC">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2F19C30E">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2" w:char="F052"/>
      </w:r>
      <w:r>
        <w:rPr>
          <w:rFonts w:hint="eastAsia" w:ascii="宋体" w:hAnsi="宋体"/>
          <w:iCs/>
          <w:color w:val="auto"/>
          <w:szCs w:val="21"/>
          <w:highlight w:val="none"/>
        </w:rPr>
        <w:t>否</w:t>
      </w:r>
    </w:p>
    <w:p w14:paraId="0A5CB0AD">
      <w:pPr>
        <w:adjustRightInd w:val="0"/>
        <w:snapToGrid w:val="0"/>
        <w:spacing w:line="360" w:lineRule="auto"/>
        <w:ind w:firstLine="840" w:firstLineChars="400"/>
        <w:rPr>
          <w:rFonts w:hint="eastAsia"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14:paraId="20F2A65B">
      <w:pPr>
        <w:adjustRightInd w:val="0"/>
        <w:snapToGrid w:val="0"/>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14:paraId="17E4ABCE">
      <w:pPr>
        <w:adjustRightInd w:val="0"/>
        <w:snapToGrid w:val="0"/>
        <w:spacing w:line="360" w:lineRule="auto"/>
        <w:ind w:firstLine="840" w:firstLineChars="400"/>
        <w:rPr>
          <w:rFonts w:hint="eastAsia"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3A9FC0E6">
      <w:pPr>
        <w:adjustRightInd w:val="0"/>
        <w:snapToGrid w:val="0"/>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14:paraId="1DB800D6">
      <w:pPr>
        <w:adjustRightInd w:val="0"/>
        <w:snapToGrid w:val="0"/>
        <w:spacing w:line="360" w:lineRule="auto"/>
        <w:ind w:firstLine="840" w:firstLineChars="400"/>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14:paraId="3704DDF2">
      <w:pPr>
        <w:adjustRightInd w:val="0"/>
        <w:snapToGrid w:val="0"/>
        <w:spacing w:line="360" w:lineRule="auto"/>
        <w:ind w:firstLine="840" w:firstLineChars="400"/>
        <w:rPr>
          <w:rFonts w:hint="eastAsia"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50C35C56">
      <w:pPr>
        <w:numPr>
          <w:ilvl w:val="255"/>
          <w:numId w:val="0"/>
        </w:numPr>
        <w:adjustRightInd w:val="0"/>
        <w:snapToGrid w:val="0"/>
        <w:spacing w:line="360" w:lineRule="auto"/>
        <w:rPr>
          <w:rFonts w:hint="eastAsia"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否</w:t>
      </w:r>
    </w:p>
    <w:p w14:paraId="71BA3DC2">
      <w:pPr>
        <w:pStyle w:val="338"/>
        <w:tabs>
          <w:tab w:val="left" w:pos="1340"/>
        </w:tabs>
        <w:spacing w:line="360" w:lineRule="auto"/>
        <w:ind w:firstLine="42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14:paraId="10E0389C">
      <w:pPr>
        <w:numPr>
          <w:ilvl w:val="255"/>
          <w:numId w:val="0"/>
        </w:num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04E87957">
      <w:pPr>
        <w:numPr>
          <w:ilvl w:val="255"/>
          <w:numId w:val="0"/>
        </w:numPr>
        <w:adjustRightInd w:val="0"/>
        <w:snapToGrid w:val="0"/>
        <w:spacing w:line="360" w:lineRule="auto"/>
        <w:ind w:firstLine="840" w:firstLineChars="400"/>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6583A8B7">
      <w:pPr>
        <w:numPr>
          <w:ilvl w:val="255"/>
          <w:numId w:val="0"/>
        </w:numPr>
        <w:adjustRightInd w:val="0"/>
        <w:snapToGrid w:val="0"/>
        <w:spacing w:line="360" w:lineRule="auto"/>
        <w:ind w:firstLine="840" w:firstLineChars="400"/>
        <w:rPr>
          <w:rFonts w:hint="eastAsia"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06EC5178">
      <w:pPr>
        <w:adjustRightInd w:val="0"/>
        <w:snapToGrid w:val="0"/>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iCs/>
          <w:color w:val="auto"/>
          <w:szCs w:val="21"/>
          <w:highlight w:val="none"/>
        </w:rPr>
        <w:sym w:font="Wingdings 2" w:char="F052"/>
      </w:r>
      <w:r>
        <w:rPr>
          <w:rFonts w:hint="eastAsia" w:ascii="宋体" w:hAnsi="宋体"/>
          <w:color w:val="auto"/>
          <w:szCs w:val="21"/>
          <w:highlight w:val="none"/>
        </w:rPr>
        <w:t>否</w:t>
      </w:r>
    </w:p>
    <w:p w14:paraId="32FE2C08">
      <w:pPr>
        <w:numPr>
          <w:ilvl w:val="255"/>
          <w:numId w:val="0"/>
        </w:numPr>
        <w:tabs>
          <w:tab w:val="left" w:pos="740"/>
        </w:tabs>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14:paraId="5BEBF4AA">
      <w:pPr>
        <w:numPr>
          <w:ilvl w:val="255"/>
          <w:numId w:val="0"/>
        </w:numPr>
        <w:tabs>
          <w:tab w:val="left" w:pos="740"/>
        </w:tabs>
        <w:adjustRightInd w:val="0"/>
        <w:snapToGrid w:val="0"/>
        <w:spacing w:line="360" w:lineRule="auto"/>
        <w:rPr>
          <w:rFonts w:hint="eastAsia"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0615FBB9">
      <w:pPr>
        <w:numPr>
          <w:ilvl w:val="255"/>
          <w:numId w:val="0"/>
        </w:numPr>
        <w:tabs>
          <w:tab w:val="left" w:pos="740"/>
        </w:tabs>
        <w:adjustRightInd w:val="0"/>
        <w:snapToGrid w:val="0"/>
        <w:spacing w:line="360" w:lineRule="auto"/>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14669325">
      <w:pPr>
        <w:numPr>
          <w:ilvl w:val="255"/>
          <w:numId w:val="0"/>
        </w:numPr>
        <w:tabs>
          <w:tab w:val="left" w:pos="740"/>
        </w:tabs>
        <w:adjustRightInd w:val="0"/>
        <w:snapToGrid w:val="0"/>
        <w:spacing w:line="360" w:lineRule="auto"/>
        <w:rPr>
          <w:rFonts w:hint="eastAsia"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3E27A8FD">
      <w:pPr>
        <w:numPr>
          <w:ilvl w:val="255"/>
          <w:numId w:val="0"/>
        </w:numPr>
        <w:tabs>
          <w:tab w:val="left" w:pos="740"/>
        </w:tabs>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是否涉及环境标志产品：</w:t>
      </w:r>
    </w:p>
    <w:p w14:paraId="128AD4BE">
      <w:pPr>
        <w:numPr>
          <w:ilvl w:val="255"/>
          <w:numId w:val="0"/>
        </w:numPr>
        <w:tabs>
          <w:tab w:val="left" w:pos="740"/>
        </w:tabs>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731046E6">
      <w:pPr>
        <w:numPr>
          <w:ilvl w:val="255"/>
          <w:numId w:val="0"/>
        </w:numPr>
        <w:tabs>
          <w:tab w:val="left" w:pos="740"/>
        </w:tabs>
        <w:adjustRightInd w:val="0"/>
        <w:snapToGrid w:val="0"/>
        <w:spacing w:line="360" w:lineRule="auto"/>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527CE981">
      <w:pPr>
        <w:numPr>
          <w:ilvl w:val="255"/>
          <w:numId w:val="0"/>
        </w:numPr>
        <w:tabs>
          <w:tab w:val="left" w:pos="740"/>
        </w:tabs>
        <w:adjustRightInd w:val="0"/>
        <w:snapToGrid w:val="0"/>
        <w:spacing w:line="360" w:lineRule="auto"/>
        <w:rPr>
          <w:rFonts w:hint="eastAsia"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1D16CEC2">
      <w:pPr>
        <w:pStyle w:val="338"/>
        <w:numPr>
          <w:ilvl w:val="255"/>
          <w:numId w:val="0"/>
        </w:numPr>
        <w:snapToGrid w:val="0"/>
        <w:spacing w:line="360" w:lineRule="auto"/>
        <w:rPr>
          <w:rFonts w:hint="eastAsia" w:ascii="宋体" w:hAnsi="宋体" w:eastAsia="宋体" w:cs="Times New Roman"/>
          <w:color w:val="auto"/>
          <w:kern w:val="2"/>
          <w:sz w:val="21"/>
          <w:highlight w:val="none"/>
        </w:rPr>
      </w:pPr>
      <w:r>
        <w:rPr>
          <w:rFonts w:hint="eastAsia" w:ascii="宋体" w:hAnsi="宋体" w:eastAsia="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14:paraId="0F06BA9A">
      <w:pPr>
        <w:pStyle w:val="338"/>
        <w:spacing w:line="360" w:lineRule="auto"/>
        <w:ind w:firstLine="420" w:firstLineChars="0"/>
        <w:rPr>
          <w:rFonts w:hint="eastAsia" w:ascii="宋体" w:hAnsi="宋体" w:eastAsia="宋体"/>
          <w:color w:val="auto"/>
          <w:sz w:val="21"/>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sz w:val="21"/>
          <w:highlight w:val="none"/>
          <w:u w:val="single"/>
        </w:rPr>
        <w:t xml:space="preserve">         </w:t>
      </w:r>
    </w:p>
    <w:p w14:paraId="10315C6C">
      <w:pPr>
        <w:numPr>
          <w:ilvl w:val="255"/>
          <w:numId w:val="0"/>
        </w:numPr>
        <w:tabs>
          <w:tab w:val="left" w:pos="740"/>
        </w:tabs>
        <w:adjustRightInd w:val="0"/>
        <w:snapToGrid w:val="0"/>
        <w:spacing w:line="360" w:lineRule="auto"/>
        <w:rPr>
          <w:rFonts w:hint="eastAsia"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50B350BC">
      <w:pPr>
        <w:pStyle w:val="338"/>
        <w:spacing w:line="360" w:lineRule="auto"/>
        <w:ind w:firstLine="420" w:firstLineChars="0"/>
        <w:rPr>
          <w:rFonts w:hint="eastAsia" w:ascii="宋体" w:hAnsi="宋体" w:eastAsia="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0A2D0A4D">
      <w:pPr>
        <w:numPr>
          <w:ilvl w:val="255"/>
          <w:numId w:val="0"/>
        </w:num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14:paraId="7CF0E2D1">
      <w:pPr>
        <w:numPr>
          <w:ilvl w:val="255"/>
          <w:numId w:val="0"/>
        </w:numPr>
        <w:adjustRightInd w:val="0"/>
        <w:snapToGrid w:val="0"/>
        <w:spacing w:line="360" w:lineRule="auto"/>
        <w:ind w:firstLine="840" w:firstLineChars="400"/>
        <w:rPr>
          <w:rFonts w:hint="eastAsia"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403A6AA1">
      <w:pPr>
        <w:numPr>
          <w:ilvl w:val="0"/>
          <w:numId w:val="2"/>
        </w:numPr>
        <w:adjustRightInd w:val="0"/>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合同金额</w:t>
      </w:r>
    </w:p>
    <w:p w14:paraId="1C19825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14:paraId="19A969D8">
      <w:pPr>
        <w:adjustRightInd w:val="0"/>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134E4615">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14:paraId="3CE35976">
      <w:pPr>
        <w:adjustRightInd w:val="0"/>
        <w:snapToGrid w:val="0"/>
        <w:spacing w:line="360" w:lineRule="auto"/>
        <w:rPr>
          <w:rFonts w:hint="eastAsia"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78EBE8CB">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0D4EA74A">
      <w:pPr>
        <w:numPr>
          <w:ilvl w:val="255"/>
          <w:numId w:val="0"/>
        </w:num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1D7478F5">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185115E4">
      <w:pPr>
        <w:pStyle w:val="339"/>
        <w:spacing w:line="360" w:lineRule="auto"/>
        <w:rPr>
          <w:rFonts w:hint="eastAsia" w:ascii="宋体" w:hAnsi="宋体"/>
          <w:color w:val="auto"/>
          <w:highlight w:val="none"/>
        </w:rPr>
      </w:pPr>
      <w:r>
        <w:rPr>
          <w:rFonts w:hint="eastAsia" w:ascii="宋体" w:hAnsi="宋体"/>
          <w:color w:val="auto"/>
          <w:highlight w:val="none"/>
        </w:rPr>
        <w:t>（3）付款方式（按项目实际勾选填写）：</w:t>
      </w:r>
    </w:p>
    <w:p w14:paraId="79C178DB">
      <w:pPr>
        <w:adjustRightInd w:val="0"/>
        <w:snapToGrid w:val="0"/>
        <w:spacing w:line="360" w:lineRule="auto"/>
        <w:ind w:firstLine="630" w:firstLineChars="300"/>
        <w:rPr>
          <w:rFonts w:hint="eastAsia"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ascii="宋体" w:hAnsi="宋体"/>
          <w:color w:val="auto"/>
          <w:szCs w:val="21"/>
          <w:highlight w:val="none"/>
          <w:u w:val="single"/>
        </w:rPr>
        <w:t xml:space="preserve">     （应明确一次性支付合同款项的条件）                </w:t>
      </w:r>
    </w:p>
    <w:p w14:paraId="0E467022">
      <w:pPr>
        <w:snapToGrid w:val="0"/>
        <w:spacing w:line="360" w:lineRule="auto"/>
        <w:ind w:left="210" w:leftChars="100" w:firstLine="420" w:firstLineChars="200"/>
        <w:rPr>
          <w:rFonts w:hint="eastAsia" w:ascii="宋体" w:hAnsi="宋体"/>
          <w:color w:val="auto"/>
          <w:szCs w:val="21"/>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分期付款：</w:t>
      </w:r>
      <w:r>
        <w:rPr>
          <w:rFonts w:hint="eastAsia" w:ascii="宋体" w:hAnsi="宋体"/>
          <w:color w:val="auto"/>
          <w:szCs w:val="21"/>
          <w:highlight w:val="none"/>
          <w:u w:val="single"/>
        </w:rPr>
        <w:t>（1）交货完成后支付合同金额的60%；（2）项目验收完成后支付剩余尾款。</w:t>
      </w:r>
    </w:p>
    <w:p w14:paraId="3F488485">
      <w:pPr>
        <w:adjustRightInd w:val="0"/>
        <w:snapToGrid w:val="0"/>
        <w:spacing w:line="360" w:lineRule="auto"/>
        <w:ind w:firstLine="630" w:firstLineChars="300"/>
        <w:rPr>
          <w:rFonts w:hint="eastAsia"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5C10B6AF">
      <w:pPr>
        <w:adjustRightInd w:val="0"/>
        <w:snapToGrid w:val="0"/>
        <w:spacing w:line="360" w:lineRule="auto"/>
        <w:ind w:firstLine="630" w:firstLineChars="300"/>
        <w:rPr>
          <w:rFonts w:hint="eastAsia"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083D45A6">
      <w:pPr>
        <w:numPr>
          <w:ilvl w:val="0"/>
          <w:numId w:val="2"/>
        </w:numPr>
        <w:adjustRightInd w:val="0"/>
        <w:snapToGrid w:val="0"/>
        <w:spacing w:line="360" w:lineRule="auto"/>
        <w:ind w:firstLine="422" w:firstLineChars="200"/>
        <w:rPr>
          <w:rFonts w:hint="eastAsia" w:ascii="宋体" w:hAnsi="宋体"/>
          <w:b/>
          <w:color w:val="auto"/>
          <w:szCs w:val="21"/>
          <w:highlight w:val="none"/>
          <w:u w:val="single"/>
        </w:rPr>
      </w:pPr>
      <w:r>
        <w:rPr>
          <w:rFonts w:hint="eastAsia" w:ascii="宋体" w:hAnsi="宋体"/>
          <w:b/>
          <w:color w:val="auto"/>
          <w:szCs w:val="21"/>
          <w:highlight w:val="none"/>
        </w:rPr>
        <w:t>合同履行</w:t>
      </w:r>
    </w:p>
    <w:p w14:paraId="31A59E4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39B54995">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7AD4996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szCs w:val="21"/>
          <w:highlight w:val="none"/>
        </w:rPr>
        <w:t>是否收取履约保证金：</w:t>
      </w:r>
      <w:r>
        <w:rPr>
          <w:rFonts w:hint="eastAsia" w:ascii="宋体" w:hAnsi="宋体"/>
          <w:iCs/>
          <w:color w:val="auto"/>
          <w:highlight w:val="none"/>
        </w:rPr>
        <w:sym w:font="Wingdings 2" w:char="F052"/>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否</w:t>
      </w:r>
    </w:p>
    <w:p w14:paraId="490E71DE">
      <w:pPr>
        <w:pStyle w:val="338"/>
        <w:spacing w:line="360" w:lineRule="auto"/>
        <w:ind w:firstLine="420"/>
        <w:rPr>
          <w:rFonts w:hint="eastAsia" w:ascii="宋体" w:hAnsi="宋体" w:eastAsia="宋体" w:cs="宋体"/>
          <w:color w:val="auto"/>
          <w:sz w:val="21"/>
          <w:highlight w:val="none"/>
        </w:rPr>
      </w:pPr>
      <w:r>
        <w:rPr>
          <w:rFonts w:hint="eastAsia" w:ascii="宋体" w:hAnsi="宋体" w:eastAsia="宋体" w:cs="宋体"/>
          <w:bCs/>
          <w:color w:val="auto"/>
          <w:sz w:val="21"/>
          <w:highlight w:val="none"/>
        </w:rPr>
        <w:t xml:space="preserve">  </w:t>
      </w:r>
      <w:r>
        <w:rPr>
          <w:rFonts w:hint="eastAsia" w:ascii="宋体" w:hAnsi="宋体" w:eastAsia="宋体" w:cs="宋体"/>
          <w:color w:val="auto"/>
          <w:sz w:val="21"/>
          <w:highlight w:val="none"/>
        </w:rPr>
        <w:t xml:space="preserve">  收取履约保证金形式：</w:t>
      </w:r>
      <w:r>
        <w:rPr>
          <w:rFonts w:hint="eastAsia" w:ascii="宋体" w:hAnsi="宋体" w:eastAsia="宋体" w:cs="宋体"/>
          <w:bCs/>
          <w:color w:val="auto"/>
          <w:sz w:val="21"/>
          <w:highlight w:val="none"/>
          <w:u w:val="single"/>
        </w:rPr>
        <w:t xml:space="preserve">                            </w:t>
      </w:r>
    </w:p>
    <w:p w14:paraId="4A331CF3">
      <w:pPr>
        <w:pStyle w:val="338"/>
        <w:spacing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收取履约保证金金额：</w:t>
      </w:r>
      <w:r>
        <w:rPr>
          <w:rFonts w:hint="eastAsia" w:ascii="宋体" w:hAnsi="宋体" w:eastAsia="宋体" w:cs="宋体"/>
          <w:color w:val="auto"/>
          <w:sz w:val="21"/>
          <w:highlight w:val="none"/>
          <w:u w:val="single"/>
        </w:rPr>
        <w:t xml:space="preserve">                            </w:t>
      </w:r>
    </w:p>
    <w:p w14:paraId="25EA852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w:t>
      </w:r>
    </w:p>
    <w:p w14:paraId="3103BC3B">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（4）分期履行要求：</w:t>
      </w:r>
      <w:r>
        <w:rPr>
          <w:rFonts w:hint="eastAsia" w:ascii="宋体" w:hAnsi="宋体" w:cs="宋体"/>
          <w:bCs/>
          <w:color w:val="auto"/>
          <w:szCs w:val="21"/>
          <w:highlight w:val="none"/>
          <w:u w:val="single"/>
        </w:rPr>
        <w:t xml:space="preserve">                                                        </w:t>
      </w:r>
    </w:p>
    <w:p w14:paraId="7758F5B4">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（5）风险处置措施和替代方案：</w:t>
      </w:r>
      <w:r>
        <w:rPr>
          <w:rFonts w:hint="eastAsia" w:ascii="宋体" w:hAnsi="宋体" w:cs="宋体"/>
          <w:color w:val="auto"/>
          <w:szCs w:val="21"/>
          <w:highlight w:val="none"/>
          <w:u w:val="single"/>
        </w:rPr>
        <w:t xml:space="preserve">                                              </w:t>
      </w:r>
    </w:p>
    <w:p w14:paraId="2AD6E52A">
      <w:pPr>
        <w:numPr>
          <w:ilvl w:val="0"/>
          <w:numId w:val="2"/>
        </w:numPr>
        <w:adjustRightInd w:val="0"/>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合同验收</w:t>
      </w:r>
    </w:p>
    <w:p w14:paraId="11224FF5">
      <w:pPr>
        <w:numPr>
          <w:ilvl w:val="0"/>
          <w:numId w:val="4"/>
        </w:num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6C62195B">
      <w:pPr>
        <w:adjustRightInd w:val="0"/>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p>
    <w:p w14:paraId="0A73B079">
      <w:pPr>
        <w:adjustRightInd w:val="0"/>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1345C18A">
      <w:pPr>
        <w:adjustRightInd w:val="0"/>
        <w:snapToGrid w:val="0"/>
        <w:spacing w:line="360" w:lineRule="auto"/>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761E8BB8">
      <w:pPr>
        <w:adjustRightInd w:val="0"/>
        <w:snapToGrid w:val="0"/>
        <w:spacing w:line="360" w:lineRule="auto"/>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0CE301B7">
      <w:pPr>
        <w:adjustRightInd w:val="0"/>
        <w:snapToGrid w:val="0"/>
        <w:spacing w:line="360" w:lineRule="auto"/>
        <w:ind w:firstLine="840" w:firstLineChars="400"/>
        <w:rPr>
          <w:rFonts w:hint="eastAsia"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7BC5844C">
      <w:pPr>
        <w:adjustRightInd w:val="0"/>
        <w:snapToGrid w:val="0"/>
        <w:spacing w:line="360" w:lineRule="auto"/>
        <w:ind w:firstLine="840" w:firstLineChars="400"/>
        <w:rPr>
          <w:rFonts w:hint="eastAsia"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63714800">
      <w:pPr>
        <w:adjustRightInd w:val="0"/>
        <w:snapToGrid w:val="0"/>
        <w:spacing w:line="360" w:lineRule="auto"/>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0BE41387">
      <w:pPr>
        <w:adjustRightInd w:val="0"/>
        <w:snapToGrid w:val="0"/>
        <w:spacing w:line="360" w:lineRule="auto"/>
        <w:ind w:firstLine="840" w:firstLineChars="400"/>
        <w:rPr>
          <w:rFonts w:hint="eastAsia"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47CDC842">
      <w:pPr>
        <w:adjustRightInd w:val="0"/>
        <w:snapToGrid w:val="0"/>
        <w:spacing w:line="360" w:lineRule="auto"/>
        <w:ind w:firstLine="840" w:firstLineChars="400"/>
        <w:rPr>
          <w:rFonts w:hint="eastAsia"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3C8857E1">
      <w:pPr>
        <w:adjustRightInd w:val="0"/>
        <w:snapToGrid w:val="0"/>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（计划于何时验收/供应商提出验收申请之日起   日内组织验收） </w:t>
      </w:r>
    </w:p>
    <w:p w14:paraId="55A02CA7">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（3）履约验收方式：</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一次性验收         </w:t>
      </w:r>
    </w:p>
    <w:p w14:paraId="7CDDDB4E">
      <w:pPr>
        <w:adjustRightInd w:val="0"/>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14:paraId="66333AF7">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（4）履约验收程序：</w:t>
      </w:r>
      <w:r>
        <w:rPr>
          <w:rFonts w:hint="eastAsia" w:ascii="宋体" w:hAnsi="宋体"/>
          <w:bCs/>
          <w:color w:val="auto"/>
          <w:szCs w:val="21"/>
          <w:highlight w:val="none"/>
          <w:u w:val="single"/>
        </w:rPr>
        <w:t xml:space="preserve">                                         </w:t>
      </w:r>
    </w:p>
    <w:p w14:paraId="566A0AD8">
      <w:pPr>
        <w:adjustRightInd w:val="0"/>
        <w:snapToGrid w:val="0"/>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（5）履约验收的内容：</w:t>
      </w:r>
      <w:r>
        <w:rPr>
          <w:rFonts w:hint="eastAsia" w:ascii="宋体" w:hAnsi="宋体"/>
          <w:bCs/>
          <w:color w:val="auto"/>
          <w:szCs w:val="21"/>
          <w:highlight w:val="none"/>
          <w:u w:val="single"/>
        </w:rPr>
        <w:t xml:space="preserve"> （应当包括每一项技术和商务要求的履约情况，特别是落实政府采购扶持中小企业，支持绿色发展和乡村振兴等政策情况）                                      </w:t>
      </w:r>
    </w:p>
    <w:p w14:paraId="3D2ED6A3">
      <w:pPr>
        <w:adjustRightInd w:val="0"/>
        <w:snapToGrid w:val="0"/>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rPr>
        <w:t>（6）履约验收标准：</w:t>
      </w:r>
      <w:r>
        <w:rPr>
          <w:rFonts w:hint="eastAsia" w:ascii="宋体" w:hAnsi="宋体"/>
          <w:bCs/>
          <w:color w:val="auto"/>
          <w:szCs w:val="21"/>
          <w:highlight w:val="none"/>
          <w:u w:val="single"/>
        </w:rPr>
        <w:t xml:space="preserve">                                         </w:t>
      </w:r>
    </w:p>
    <w:p w14:paraId="48ED00B5">
      <w:pPr>
        <w:pStyle w:val="338"/>
        <w:spacing w:line="360" w:lineRule="auto"/>
        <w:ind w:firstLine="420"/>
        <w:rPr>
          <w:rFonts w:hint="eastAsia" w:ascii="宋体" w:hAnsi="宋体" w:eastAsia="宋体" w:cs="宋体"/>
          <w:color w:val="auto"/>
          <w:sz w:val="21"/>
          <w:highlight w:val="none"/>
        </w:rPr>
      </w:pPr>
      <w:r>
        <w:rPr>
          <w:rFonts w:hint="eastAsia" w:ascii="宋体" w:hAnsi="宋体" w:eastAsia="宋体" w:cs="宋体"/>
          <w:bCs/>
          <w:color w:val="auto"/>
          <w:sz w:val="21"/>
          <w:highlight w:val="none"/>
        </w:rPr>
        <w:t>（7）是否以采购活动中供应商提供的样品作为参考：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否</w:t>
      </w:r>
    </w:p>
    <w:p w14:paraId="47410342">
      <w:pPr>
        <w:adjustRightInd w:val="0"/>
        <w:snapToGrid w:val="0"/>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（8）履约验收其他事项：</w:t>
      </w:r>
      <w:r>
        <w:rPr>
          <w:rFonts w:hint="eastAsia" w:ascii="宋体" w:hAnsi="宋体" w:cs="宋体"/>
          <w:bCs/>
          <w:color w:val="auto"/>
          <w:szCs w:val="21"/>
          <w:highlight w:val="none"/>
          <w:u w:val="single"/>
        </w:rPr>
        <w:t xml:space="preserve">      （产权过户登记等）          </w:t>
      </w:r>
    </w:p>
    <w:p w14:paraId="2426DD36">
      <w:pPr>
        <w:numPr>
          <w:ilvl w:val="0"/>
          <w:numId w:val="2"/>
        </w:numPr>
        <w:adjustRightInd w:val="0"/>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组成合同的文件</w:t>
      </w:r>
    </w:p>
    <w:p w14:paraId="0201191E">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7F2D45B9">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（1）政府采购合同协议书及其变更、补充协议</w:t>
      </w:r>
    </w:p>
    <w:p w14:paraId="06D8C266">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（2）政府采购合同专用条款</w:t>
      </w:r>
    </w:p>
    <w:p w14:paraId="44A674BB">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（3）政府采购合同通用条款</w:t>
      </w:r>
    </w:p>
    <w:p w14:paraId="40D9142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（4）中标通知书</w:t>
      </w:r>
    </w:p>
    <w:p w14:paraId="62E81847">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（5）投标文件</w:t>
      </w:r>
    </w:p>
    <w:p w14:paraId="7CF8476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（6）采购文件</w:t>
      </w:r>
    </w:p>
    <w:p w14:paraId="5BD79AD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（7）有关技术文件，图纸</w:t>
      </w:r>
    </w:p>
    <w:p w14:paraId="795D4B3A">
      <w:pPr>
        <w:pStyle w:val="338"/>
        <w:spacing w:line="360" w:lineRule="auto"/>
        <w:ind w:firstLine="420"/>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0B1BF7B2">
      <w:pPr>
        <w:numPr>
          <w:ilvl w:val="0"/>
          <w:numId w:val="2"/>
        </w:numPr>
        <w:adjustRightInd w:val="0"/>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合同生效</w:t>
      </w:r>
    </w:p>
    <w:p w14:paraId="4AFA1273">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w:t>
      </w:r>
      <w:r>
        <w:rPr>
          <w:rFonts w:hint="eastAsia" w:ascii="宋体" w:hAnsi="宋体"/>
          <w:color w:val="auto"/>
          <w:szCs w:val="21"/>
          <w:highlight w:val="none"/>
        </w:rPr>
        <w:t>生效。</w:t>
      </w:r>
    </w:p>
    <w:p w14:paraId="76A294C0">
      <w:pPr>
        <w:numPr>
          <w:ilvl w:val="0"/>
          <w:numId w:val="2"/>
        </w:numPr>
        <w:adjustRightInd w:val="0"/>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合同份数</w:t>
      </w:r>
    </w:p>
    <w:p w14:paraId="563174D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rFonts w:hint="eastAsia" w:ascii="宋体" w:hAnsi="宋体"/>
          <w:color w:val="auto"/>
          <w:szCs w:val="21"/>
          <w:highlight w:val="none"/>
        </w:rPr>
        <w:t>份，均具有同等法律效力。</w:t>
      </w:r>
    </w:p>
    <w:p w14:paraId="425B8BDC">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D113C28">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293D9E14">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附件：具体标的及其技术要求和商务要求、联合协议、分包意向协议等。</w:t>
      </w:r>
    </w:p>
    <w:p w14:paraId="3BE62D0C">
      <w:pPr>
        <w:pStyle w:val="339"/>
        <w:spacing w:line="360" w:lineRule="auto"/>
        <w:rPr>
          <w:rFonts w:hint="eastAsia" w:ascii="宋体" w:hAnsi="宋体"/>
          <w:color w:val="auto"/>
          <w:highlight w:val="none"/>
        </w:rPr>
      </w:pPr>
    </w:p>
    <w:p w14:paraId="085AFFA7">
      <w:pPr>
        <w:spacing w:line="360" w:lineRule="auto"/>
        <w:rPr>
          <w:rFonts w:hint="eastAsia" w:ascii="宋体" w:hAnsi="宋体"/>
          <w:b/>
          <w:bCs/>
          <w:color w:val="auto"/>
          <w:szCs w:val="21"/>
          <w:highlight w:val="none"/>
        </w:rPr>
      </w:pPr>
      <w:r>
        <w:rPr>
          <w:rFonts w:ascii="宋体" w:hAnsi="宋体"/>
          <w:color w:val="auto"/>
          <w:szCs w:val="21"/>
          <w:highlight w:val="none"/>
          <w:lang w:val="en"/>
        </w:rPr>
        <w:t xml:space="preserve">   </w:t>
      </w:r>
    </w:p>
    <w:p w14:paraId="260E586D">
      <w:pPr>
        <w:spacing w:line="360" w:lineRule="auto"/>
        <w:rPr>
          <w:rFonts w:hint="eastAsia" w:ascii="宋体" w:hAnsi="宋体"/>
          <w:color w:val="auto"/>
          <w:szCs w:val="21"/>
          <w:highlight w:val="none"/>
        </w:rPr>
      </w:pPr>
      <w:r>
        <w:rPr>
          <w:rFonts w:hint="eastAsia" w:ascii="宋体" w:hAnsi="宋体"/>
          <w:color w:val="auto"/>
          <w:szCs w:val="21"/>
          <w:highlight w:val="none"/>
        </w:rPr>
        <w:br w:type="page"/>
      </w:r>
    </w:p>
    <w:tbl>
      <w:tblPr>
        <w:tblStyle w:val="53"/>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36"/>
        <w:gridCol w:w="2596"/>
        <w:gridCol w:w="2130"/>
        <w:gridCol w:w="2278"/>
      </w:tblGrid>
      <w:tr w14:paraId="7EF138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2" w:type="pct"/>
            <w:gridSpan w:val="2"/>
            <w:tcBorders>
              <w:bottom w:val="single" w:color="auto" w:sz="2" w:space="0"/>
              <w:right w:val="single" w:color="auto" w:sz="2" w:space="0"/>
            </w:tcBorders>
            <w:vAlign w:val="center"/>
          </w:tcPr>
          <w:p w14:paraId="0F630E44">
            <w:pPr>
              <w:adjustRightInd w:val="0"/>
              <w:snapToGrid w:val="0"/>
              <w:spacing w:before="120" w:beforeLines="50" w:line="360" w:lineRule="auto"/>
              <w:ind w:firstLine="210" w:firstLineChars="100"/>
              <w:rPr>
                <w:rFonts w:hint="eastAsia" w:ascii="宋体" w:hAnsi="宋体"/>
                <w:color w:val="auto"/>
                <w:szCs w:val="21"/>
                <w:highlight w:val="none"/>
              </w:rPr>
            </w:pPr>
            <w:r>
              <w:rPr>
                <w:rFonts w:ascii="宋体" w:hAnsi="宋体"/>
                <w:color w:val="auto"/>
                <w:szCs w:val="21"/>
                <w:highlight w:val="none"/>
              </w:rPr>
              <w:t>甲方</w:t>
            </w:r>
            <w:r>
              <w:rPr>
                <w:rFonts w:hint="eastAsia" w:ascii="宋体" w:hAnsi="宋体"/>
                <w:color w:val="auto"/>
                <w:szCs w:val="21"/>
                <w:highlight w:val="none"/>
              </w:rPr>
              <w:t>（采购人）</w:t>
            </w:r>
          </w:p>
        </w:tc>
        <w:tc>
          <w:tcPr>
            <w:tcW w:w="2438" w:type="pct"/>
            <w:gridSpan w:val="2"/>
            <w:tcBorders>
              <w:left w:val="single" w:color="auto" w:sz="2" w:space="0"/>
              <w:bottom w:val="single" w:color="auto" w:sz="2" w:space="0"/>
            </w:tcBorders>
            <w:vAlign w:val="center"/>
          </w:tcPr>
          <w:p w14:paraId="6626F0D0">
            <w:pPr>
              <w:adjustRightInd w:val="0"/>
              <w:snapToGrid w:val="0"/>
              <w:spacing w:before="120" w:beforeLines="50" w:line="360" w:lineRule="auto"/>
              <w:ind w:firstLine="210" w:firstLineChars="100"/>
              <w:rPr>
                <w:rFonts w:hint="eastAsia" w:ascii="宋体" w:hAnsi="宋体"/>
                <w:color w:val="auto"/>
                <w:szCs w:val="21"/>
                <w:highlight w:val="none"/>
              </w:rPr>
            </w:pPr>
            <w:r>
              <w:rPr>
                <w:rFonts w:ascii="宋体" w:hAnsi="宋体"/>
                <w:color w:val="auto"/>
                <w:szCs w:val="21"/>
                <w:highlight w:val="none"/>
              </w:rPr>
              <w:t>乙方</w:t>
            </w:r>
            <w:r>
              <w:rPr>
                <w:rFonts w:hint="eastAsia" w:ascii="宋体" w:hAnsi="宋体"/>
                <w:color w:val="auto"/>
                <w:szCs w:val="21"/>
                <w:highlight w:val="none"/>
              </w:rPr>
              <w:t>（供应商）</w:t>
            </w:r>
          </w:p>
        </w:tc>
      </w:tr>
      <w:tr w14:paraId="59AB03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126" w:type="pct"/>
            <w:tcBorders>
              <w:top w:val="single" w:color="auto" w:sz="2" w:space="0"/>
              <w:bottom w:val="single" w:color="auto" w:sz="2" w:space="0"/>
              <w:right w:val="single" w:color="auto" w:sz="2" w:space="0"/>
            </w:tcBorders>
            <w:vAlign w:val="center"/>
          </w:tcPr>
          <w:p w14:paraId="07133CA9">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单位名称</w:t>
            </w:r>
            <w:r>
              <w:rPr>
                <w:rFonts w:hint="eastAsia" w:ascii="宋体" w:hAnsi="宋体"/>
                <w:color w:val="auto"/>
                <w:szCs w:val="21"/>
                <w:highlight w:val="none"/>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80AE528">
            <w:pPr>
              <w:adjustRightInd w:val="0"/>
              <w:snapToGrid w:val="0"/>
              <w:spacing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505E721">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单位名称</w:t>
            </w:r>
            <w:r>
              <w:rPr>
                <w:rFonts w:hint="eastAsia" w:ascii="宋体" w:hAnsi="宋体"/>
                <w:color w:val="auto"/>
                <w:szCs w:val="21"/>
                <w:highlight w:val="none"/>
              </w:rPr>
              <w:t>（公章或合同章）</w:t>
            </w:r>
          </w:p>
        </w:tc>
        <w:tc>
          <w:tcPr>
            <w:tcW w:w="1260" w:type="pct"/>
            <w:tcBorders>
              <w:top w:val="single" w:color="auto" w:sz="2" w:space="0"/>
              <w:left w:val="single" w:color="auto" w:sz="2" w:space="0"/>
              <w:bottom w:val="single" w:color="auto" w:sz="2" w:space="0"/>
            </w:tcBorders>
            <w:vAlign w:val="center"/>
          </w:tcPr>
          <w:p w14:paraId="6E80AE48">
            <w:pPr>
              <w:adjustRightInd w:val="0"/>
              <w:snapToGrid w:val="0"/>
              <w:spacing w:line="360" w:lineRule="auto"/>
              <w:jc w:val="center"/>
              <w:rPr>
                <w:rFonts w:hint="eastAsia" w:ascii="宋体" w:hAnsi="宋体"/>
                <w:color w:val="auto"/>
                <w:spacing w:val="20"/>
                <w:szCs w:val="21"/>
                <w:highlight w:val="none"/>
              </w:rPr>
            </w:pPr>
          </w:p>
        </w:tc>
      </w:tr>
      <w:tr w14:paraId="69964A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126" w:type="pct"/>
            <w:vMerge w:val="restart"/>
            <w:tcBorders>
              <w:top w:val="single" w:color="auto" w:sz="2" w:space="0"/>
              <w:right w:val="single" w:color="auto" w:sz="2" w:space="0"/>
            </w:tcBorders>
            <w:vAlign w:val="center"/>
          </w:tcPr>
          <w:p w14:paraId="10AF75CB">
            <w:pPr>
              <w:adjustRightInd w:val="0"/>
              <w:snapToGrid w:val="0"/>
              <w:spacing w:line="360" w:lineRule="auto"/>
              <w:jc w:val="center"/>
              <w:rPr>
                <w:rFonts w:hint="eastAsia" w:ascii="宋体" w:hAnsi="宋体"/>
                <w:color w:val="auto"/>
                <w:szCs w:val="21"/>
                <w:highlight w:val="none"/>
              </w:rPr>
            </w:pPr>
            <w:r>
              <w:rPr>
                <w:rFonts w:ascii="宋体" w:hAnsi="宋体"/>
                <w:color w:val="auto"/>
                <w:szCs w:val="21"/>
                <w:highlight w:val="none"/>
              </w:rPr>
              <w:t>法定代表人</w:t>
            </w:r>
          </w:p>
          <w:p w14:paraId="3646B6A0">
            <w:pPr>
              <w:adjustRightInd w:val="0"/>
              <w:snapToGrid w:val="0"/>
              <w:spacing w:line="360" w:lineRule="auto"/>
              <w:ind w:firstLine="100" w:firstLineChars="48"/>
              <w:jc w:val="center"/>
              <w:rPr>
                <w:rFonts w:hint="eastAsia" w:ascii="宋体" w:hAnsi="宋体"/>
                <w:color w:val="auto"/>
                <w:szCs w:val="21"/>
                <w:highlight w:val="none"/>
              </w:rPr>
            </w:pPr>
            <w:r>
              <w:rPr>
                <w:rFonts w:hint="eastAsia" w:ascii="宋体" w:hAnsi="宋体"/>
                <w:color w:val="auto"/>
                <w:szCs w:val="21"/>
                <w:highlight w:val="none"/>
              </w:rPr>
              <w:t>或其</w:t>
            </w:r>
            <w:r>
              <w:rPr>
                <w:rFonts w:ascii="宋体" w:hAnsi="宋体"/>
                <w:color w:val="auto"/>
                <w:szCs w:val="21"/>
                <w:highlight w:val="none"/>
              </w:rPr>
              <w:t>委托代理人</w:t>
            </w:r>
            <w:r>
              <w:rPr>
                <w:rFonts w:hint="eastAsia" w:ascii="宋体" w:hAnsi="宋体"/>
                <w:color w:val="auto"/>
                <w:szCs w:val="21"/>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51D8F5B6">
            <w:pPr>
              <w:adjustRightInd w:val="0"/>
              <w:snapToGrid w:val="0"/>
              <w:spacing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right w:val="single" w:color="auto" w:sz="2" w:space="0"/>
            </w:tcBorders>
            <w:vAlign w:val="center"/>
          </w:tcPr>
          <w:p w14:paraId="0B571BF1">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法定代表人</w:t>
            </w:r>
          </w:p>
          <w:p w14:paraId="27D79158">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或其</w:t>
            </w:r>
            <w:r>
              <w:rPr>
                <w:rFonts w:ascii="宋体" w:hAnsi="宋体"/>
                <w:color w:val="auto"/>
                <w:szCs w:val="21"/>
                <w:highlight w:val="none"/>
              </w:rPr>
              <w:t>委托代理人</w:t>
            </w:r>
            <w:r>
              <w:rPr>
                <w:rFonts w:hint="eastAsia" w:ascii="宋体" w:hAnsi="宋体"/>
                <w:color w:val="auto"/>
                <w:szCs w:val="21"/>
                <w:highlight w:val="none"/>
              </w:rPr>
              <w:t>（签章）</w:t>
            </w:r>
          </w:p>
        </w:tc>
        <w:tc>
          <w:tcPr>
            <w:tcW w:w="1260" w:type="pct"/>
            <w:tcBorders>
              <w:top w:val="single" w:color="auto" w:sz="2" w:space="0"/>
              <w:left w:val="single" w:color="auto" w:sz="2" w:space="0"/>
              <w:bottom w:val="single" w:color="auto" w:sz="2" w:space="0"/>
            </w:tcBorders>
            <w:vAlign w:val="center"/>
          </w:tcPr>
          <w:p w14:paraId="13EF9791">
            <w:pPr>
              <w:adjustRightInd w:val="0"/>
              <w:snapToGrid w:val="0"/>
              <w:spacing w:line="360" w:lineRule="auto"/>
              <w:jc w:val="center"/>
              <w:rPr>
                <w:rFonts w:hint="eastAsia" w:ascii="宋体" w:hAnsi="宋体"/>
                <w:color w:val="auto"/>
                <w:szCs w:val="21"/>
                <w:highlight w:val="none"/>
              </w:rPr>
            </w:pPr>
          </w:p>
        </w:tc>
      </w:tr>
      <w:tr w14:paraId="538229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vMerge w:val="continue"/>
            <w:tcBorders>
              <w:bottom w:val="single" w:color="auto" w:sz="2" w:space="0"/>
              <w:right w:val="single" w:color="auto" w:sz="2" w:space="0"/>
            </w:tcBorders>
            <w:vAlign w:val="center"/>
          </w:tcPr>
          <w:p w14:paraId="45C06BFF">
            <w:pPr>
              <w:adjustRightInd w:val="0"/>
              <w:snapToGrid w:val="0"/>
              <w:spacing w:line="360" w:lineRule="auto"/>
              <w:jc w:val="center"/>
              <w:rPr>
                <w:rFonts w:hint="eastAsia" w:ascii="宋体" w:hAnsi="宋体"/>
                <w:color w:val="auto"/>
                <w:szCs w:val="21"/>
                <w:highlight w:val="none"/>
              </w:rPr>
            </w:pPr>
          </w:p>
        </w:tc>
        <w:tc>
          <w:tcPr>
            <w:tcW w:w="1436" w:type="pct"/>
            <w:vMerge w:val="continue"/>
            <w:tcBorders>
              <w:left w:val="single" w:color="auto" w:sz="2" w:space="0"/>
              <w:bottom w:val="single" w:color="auto" w:sz="2" w:space="0"/>
              <w:right w:val="single" w:color="auto" w:sz="2" w:space="0"/>
            </w:tcBorders>
            <w:vAlign w:val="center"/>
          </w:tcPr>
          <w:p w14:paraId="01FBE118">
            <w:pPr>
              <w:adjustRightInd w:val="0"/>
              <w:snapToGrid w:val="0"/>
              <w:spacing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6F705D3">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拥有者性别</w:t>
            </w:r>
          </w:p>
        </w:tc>
        <w:tc>
          <w:tcPr>
            <w:tcW w:w="1260" w:type="pct"/>
            <w:tcBorders>
              <w:top w:val="single" w:color="auto" w:sz="2" w:space="0"/>
              <w:left w:val="single" w:color="auto" w:sz="2" w:space="0"/>
              <w:bottom w:val="single" w:color="auto" w:sz="2" w:space="0"/>
            </w:tcBorders>
            <w:vAlign w:val="center"/>
          </w:tcPr>
          <w:p w14:paraId="3DA73AA9">
            <w:pPr>
              <w:adjustRightInd w:val="0"/>
              <w:snapToGrid w:val="0"/>
              <w:spacing w:line="360" w:lineRule="auto"/>
              <w:jc w:val="center"/>
              <w:rPr>
                <w:rFonts w:hint="eastAsia" w:ascii="宋体" w:hAnsi="宋体"/>
                <w:color w:val="auto"/>
                <w:spacing w:val="20"/>
                <w:szCs w:val="21"/>
                <w:highlight w:val="none"/>
              </w:rPr>
            </w:pPr>
          </w:p>
        </w:tc>
      </w:tr>
      <w:tr w14:paraId="53EB333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436DD8C0">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68210F58">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7569BC1">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住  所</w:t>
            </w:r>
          </w:p>
        </w:tc>
        <w:tc>
          <w:tcPr>
            <w:tcW w:w="1260" w:type="pct"/>
            <w:tcBorders>
              <w:top w:val="single" w:color="auto" w:sz="2" w:space="0"/>
              <w:left w:val="single" w:color="auto" w:sz="2" w:space="0"/>
              <w:bottom w:val="single" w:color="auto" w:sz="2" w:space="0"/>
            </w:tcBorders>
            <w:vAlign w:val="center"/>
          </w:tcPr>
          <w:p w14:paraId="30A20D76">
            <w:pPr>
              <w:adjustRightInd w:val="0"/>
              <w:snapToGrid w:val="0"/>
              <w:spacing w:line="360" w:lineRule="auto"/>
              <w:jc w:val="center"/>
              <w:rPr>
                <w:rFonts w:hint="eastAsia" w:ascii="宋体" w:hAnsi="宋体"/>
                <w:color w:val="auto"/>
                <w:spacing w:val="20"/>
                <w:szCs w:val="21"/>
                <w:highlight w:val="none"/>
              </w:rPr>
            </w:pPr>
          </w:p>
        </w:tc>
      </w:tr>
      <w:tr w14:paraId="5D0E10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0119C764">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502F017">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CC17500">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联 系 人</w:t>
            </w:r>
          </w:p>
        </w:tc>
        <w:tc>
          <w:tcPr>
            <w:tcW w:w="1260" w:type="pct"/>
            <w:tcBorders>
              <w:top w:val="single" w:color="auto" w:sz="2" w:space="0"/>
              <w:left w:val="single" w:color="auto" w:sz="2" w:space="0"/>
              <w:bottom w:val="single" w:color="auto" w:sz="2" w:space="0"/>
            </w:tcBorders>
            <w:vAlign w:val="center"/>
          </w:tcPr>
          <w:p w14:paraId="54B273B7">
            <w:pPr>
              <w:adjustRightInd w:val="0"/>
              <w:snapToGrid w:val="0"/>
              <w:spacing w:line="360" w:lineRule="auto"/>
              <w:jc w:val="center"/>
              <w:rPr>
                <w:rFonts w:hint="eastAsia" w:ascii="宋体" w:hAnsi="宋体"/>
                <w:color w:val="auto"/>
                <w:spacing w:val="20"/>
                <w:szCs w:val="21"/>
                <w:highlight w:val="none"/>
              </w:rPr>
            </w:pPr>
          </w:p>
        </w:tc>
      </w:tr>
      <w:tr w14:paraId="365857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7FABCE40">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D146701">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2C09803">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联系电话</w:t>
            </w:r>
          </w:p>
        </w:tc>
        <w:tc>
          <w:tcPr>
            <w:tcW w:w="1260" w:type="pct"/>
            <w:tcBorders>
              <w:top w:val="single" w:color="auto" w:sz="2" w:space="0"/>
              <w:left w:val="single" w:color="auto" w:sz="2" w:space="0"/>
              <w:bottom w:val="single" w:color="auto" w:sz="2" w:space="0"/>
            </w:tcBorders>
            <w:vAlign w:val="center"/>
          </w:tcPr>
          <w:p w14:paraId="01946E4E">
            <w:pPr>
              <w:adjustRightInd w:val="0"/>
              <w:snapToGrid w:val="0"/>
              <w:spacing w:line="360" w:lineRule="auto"/>
              <w:jc w:val="center"/>
              <w:rPr>
                <w:rFonts w:hint="eastAsia" w:ascii="宋体" w:hAnsi="宋体"/>
                <w:color w:val="auto"/>
                <w:spacing w:val="20"/>
                <w:szCs w:val="21"/>
                <w:highlight w:val="none"/>
              </w:rPr>
            </w:pPr>
          </w:p>
        </w:tc>
      </w:tr>
      <w:tr w14:paraId="6B630DC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7615B6C2">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3A11327A">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0CA51DB">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通信地址</w:t>
            </w:r>
          </w:p>
        </w:tc>
        <w:tc>
          <w:tcPr>
            <w:tcW w:w="1260" w:type="pct"/>
            <w:tcBorders>
              <w:top w:val="single" w:color="auto" w:sz="2" w:space="0"/>
              <w:left w:val="single" w:color="auto" w:sz="2" w:space="0"/>
              <w:bottom w:val="single" w:color="auto" w:sz="2" w:space="0"/>
            </w:tcBorders>
            <w:vAlign w:val="center"/>
          </w:tcPr>
          <w:p w14:paraId="2CB308BD">
            <w:pPr>
              <w:adjustRightInd w:val="0"/>
              <w:snapToGrid w:val="0"/>
              <w:spacing w:line="360" w:lineRule="auto"/>
              <w:jc w:val="center"/>
              <w:rPr>
                <w:rFonts w:hint="eastAsia" w:ascii="宋体" w:hAnsi="宋体"/>
                <w:color w:val="auto"/>
                <w:spacing w:val="20"/>
                <w:szCs w:val="21"/>
                <w:highlight w:val="none"/>
              </w:rPr>
            </w:pPr>
          </w:p>
        </w:tc>
      </w:tr>
      <w:tr w14:paraId="063069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52138FCF">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380EB37">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3CC6FDB">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邮政编码</w:t>
            </w:r>
          </w:p>
        </w:tc>
        <w:tc>
          <w:tcPr>
            <w:tcW w:w="1260" w:type="pct"/>
            <w:tcBorders>
              <w:top w:val="single" w:color="auto" w:sz="2" w:space="0"/>
              <w:left w:val="single" w:color="auto" w:sz="2" w:space="0"/>
              <w:bottom w:val="single" w:color="auto" w:sz="2" w:space="0"/>
            </w:tcBorders>
            <w:vAlign w:val="center"/>
          </w:tcPr>
          <w:p w14:paraId="24EBD3FD">
            <w:pPr>
              <w:adjustRightInd w:val="0"/>
              <w:snapToGrid w:val="0"/>
              <w:spacing w:line="360" w:lineRule="auto"/>
              <w:jc w:val="center"/>
              <w:rPr>
                <w:rFonts w:hint="eastAsia" w:ascii="宋体" w:hAnsi="宋体"/>
                <w:color w:val="auto"/>
                <w:spacing w:val="20"/>
                <w:szCs w:val="21"/>
                <w:highlight w:val="none"/>
              </w:rPr>
            </w:pPr>
          </w:p>
        </w:tc>
      </w:tr>
      <w:tr w14:paraId="58AEE8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0A5C7AD9">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18E190D4">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07DDF1F">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电子邮箱</w:t>
            </w:r>
          </w:p>
        </w:tc>
        <w:tc>
          <w:tcPr>
            <w:tcW w:w="1260" w:type="pct"/>
            <w:tcBorders>
              <w:top w:val="single" w:color="auto" w:sz="2" w:space="0"/>
              <w:left w:val="single" w:color="auto" w:sz="2" w:space="0"/>
              <w:bottom w:val="single" w:color="auto" w:sz="2" w:space="0"/>
            </w:tcBorders>
            <w:vAlign w:val="center"/>
          </w:tcPr>
          <w:p w14:paraId="17E57464">
            <w:pPr>
              <w:adjustRightInd w:val="0"/>
              <w:snapToGrid w:val="0"/>
              <w:spacing w:line="360" w:lineRule="auto"/>
              <w:jc w:val="center"/>
              <w:rPr>
                <w:rFonts w:hint="eastAsia" w:ascii="宋体" w:hAnsi="宋体"/>
                <w:color w:val="auto"/>
                <w:spacing w:val="20"/>
                <w:szCs w:val="21"/>
                <w:highlight w:val="none"/>
              </w:rPr>
            </w:pPr>
          </w:p>
        </w:tc>
      </w:tr>
      <w:tr w14:paraId="4E9E809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4925334C">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32DC101">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D520765">
            <w:pPr>
              <w:adjustRightInd w:val="0"/>
              <w:snapToGrid w:val="0"/>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统一社会信用代码</w:t>
            </w:r>
          </w:p>
        </w:tc>
        <w:tc>
          <w:tcPr>
            <w:tcW w:w="1260" w:type="pct"/>
            <w:tcBorders>
              <w:top w:val="single" w:color="auto" w:sz="2" w:space="0"/>
              <w:left w:val="single" w:color="auto" w:sz="2" w:space="0"/>
              <w:bottom w:val="single" w:color="auto" w:sz="2" w:space="0"/>
            </w:tcBorders>
            <w:vAlign w:val="center"/>
          </w:tcPr>
          <w:p w14:paraId="4EF2AB32">
            <w:pPr>
              <w:adjustRightInd w:val="0"/>
              <w:snapToGrid w:val="0"/>
              <w:spacing w:line="360" w:lineRule="auto"/>
              <w:jc w:val="center"/>
              <w:rPr>
                <w:rFonts w:hint="eastAsia" w:ascii="宋体" w:hAnsi="宋体"/>
                <w:color w:val="auto"/>
                <w:spacing w:val="20"/>
                <w:szCs w:val="21"/>
                <w:highlight w:val="none"/>
              </w:rPr>
            </w:pPr>
          </w:p>
        </w:tc>
      </w:tr>
      <w:tr w14:paraId="5C445E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31B8227C">
            <w:pPr>
              <w:adjustRightInd w:val="0"/>
              <w:snapToGrid w:val="0"/>
              <w:spacing w:before="120" w:beforeLines="50" w:line="360" w:lineRule="auto"/>
              <w:jc w:val="center"/>
              <w:rPr>
                <w:rFonts w:hint="eastAsia" w:ascii="宋体" w:hAnsi="宋体"/>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00FABAB">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4397092">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开户名称</w:t>
            </w:r>
          </w:p>
        </w:tc>
        <w:tc>
          <w:tcPr>
            <w:tcW w:w="1260" w:type="pct"/>
            <w:tcBorders>
              <w:top w:val="single" w:color="auto" w:sz="2" w:space="0"/>
              <w:left w:val="single" w:color="auto" w:sz="2" w:space="0"/>
              <w:bottom w:val="single" w:color="auto" w:sz="2" w:space="0"/>
            </w:tcBorders>
            <w:vAlign w:val="center"/>
          </w:tcPr>
          <w:p w14:paraId="5AA08CBF">
            <w:pPr>
              <w:adjustRightInd w:val="0"/>
              <w:snapToGrid w:val="0"/>
              <w:spacing w:line="360" w:lineRule="auto"/>
              <w:jc w:val="center"/>
              <w:rPr>
                <w:rFonts w:hint="eastAsia" w:ascii="宋体" w:hAnsi="宋体"/>
                <w:color w:val="auto"/>
                <w:spacing w:val="20"/>
                <w:szCs w:val="21"/>
                <w:highlight w:val="none"/>
              </w:rPr>
            </w:pPr>
          </w:p>
        </w:tc>
      </w:tr>
      <w:tr w14:paraId="40F661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45F09372">
            <w:pPr>
              <w:adjustRightInd w:val="0"/>
              <w:snapToGrid w:val="0"/>
              <w:spacing w:before="120" w:beforeLines="50" w:line="360" w:lineRule="auto"/>
              <w:jc w:val="center"/>
              <w:rPr>
                <w:rFonts w:hint="eastAsia" w:ascii="宋体" w:hAnsi="宋体"/>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95567A3">
            <w:pPr>
              <w:adjustRightInd w:val="0"/>
              <w:snapToGrid w:val="0"/>
              <w:spacing w:before="120" w:beforeLines="50"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C75AF49">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开户银行</w:t>
            </w:r>
          </w:p>
        </w:tc>
        <w:tc>
          <w:tcPr>
            <w:tcW w:w="1260" w:type="pct"/>
            <w:tcBorders>
              <w:top w:val="single" w:color="auto" w:sz="2" w:space="0"/>
              <w:left w:val="single" w:color="auto" w:sz="2" w:space="0"/>
              <w:bottom w:val="single" w:color="auto" w:sz="2" w:space="0"/>
            </w:tcBorders>
            <w:vAlign w:val="center"/>
          </w:tcPr>
          <w:p w14:paraId="69D2398A">
            <w:pPr>
              <w:adjustRightInd w:val="0"/>
              <w:snapToGrid w:val="0"/>
              <w:spacing w:line="360" w:lineRule="auto"/>
              <w:jc w:val="center"/>
              <w:rPr>
                <w:rFonts w:hint="eastAsia" w:ascii="宋体" w:hAnsi="宋体"/>
                <w:color w:val="auto"/>
                <w:spacing w:val="20"/>
                <w:szCs w:val="21"/>
                <w:highlight w:val="none"/>
              </w:rPr>
            </w:pPr>
          </w:p>
        </w:tc>
      </w:tr>
      <w:tr w14:paraId="6D461C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47170E5F">
            <w:pPr>
              <w:adjustRightInd w:val="0"/>
              <w:snapToGrid w:val="0"/>
              <w:spacing w:line="360" w:lineRule="auto"/>
              <w:jc w:val="center"/>
              <w:rPr>
                <w:rFonts w:hint="eastAsia" w:ascii="宋体" w:hAnsi="宋体"/>
                <w:color w:val="auto"/>
                <w:szCs w:val="21"/>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5A8F2D79">
            <w:pPr>
              <w:adjustRightInd w:val="0"/>
              <w:snapToGrid w:val="0"/>
              <w:spacing w:line="360" w:lineRule="auto"/>
              <w:jc w:val="center"/>
              <w:rPr>
                <w:rFonts w:hint="eastAsia" w:ascii="宋体" w:hAnsi="宋体"/>
                <w:color w:val="auto"/>
                <w:szCs w:val="21"/>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1D0686D">
            <w:pPr>
              <w:adjustRightInd w:val="0"/>
              <w:snapToGrid w:val="0"/>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银行账号</w:t>
            </w:r>
          </w:p>
        </w:tc>
        <w:tc>
          <w:tcPr>
            <w:tcW w:w="1260" w:type="pct"/>
            <w:tcBorders>
              <w:top w:val="single" w:color="auto" w:sz="2" w:space="0"/>
              <w:left w:val="single" w:color="auto" w:sz="2" w:space="0"/>
              <w:bottom w:val="single" w:color="auto" w:sz="2" w:space="0"/>
            </w:tcBorders>
            <w:vAlign w:val="center"/>
          </w:tcPr>
          <w:p w14:paraId="734305E5">
            <w:pPr>
              <w:adjustRightInd w:val="0"/>
              <w:snapToGrid w:val="0"/>
              <w:spacing w:line="360" w:lineRule="auto"/>
              <w:jc w:val="center"/>
              <w:rPr>
                <w:rFonts w:hint="eastAsia" w:ascii="宋体" w:hAnsi="宋体"/>
                <w:color w:val="auto"/>
                <w:spacing w:val="20"/>
                <w:szCs w:val="21"/>
                <w:highlight w:val="none"/>
              </w:rPr>
            </w:pPr>
          </w:p>
        </w:tc>
      </w:tr>
      <w:tr w14:paraId="15A6E7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5000" w:type="pct"/>
            <w:gridSpan w:val="4"/>
            <w:tcBorders>
              <w:top w:val="single" w:color="auto" w:sz="2" w:space="0"/>
            </w:tcBorders>
            <w:vAlign w:val="center"/>
          </w:tcPr>
          <w:p w14:paraId="35BC58C9">
            <w:pPr>
              <w:pStyle w:val="22"/>
              <w:adjustRightInd w:val="0"/>
              <w:snapToGrid w:val="0"/>
              <w:spacing w:before="120" w:beforeLines="50" w:line="360" w:lineRule="auto"/>
              <w:ind w:firstLine="0"/>
              <w:jc w:val="left"/>
              <w:rPr>
                <w:rFonts w:hint="eastAsia" w:ascii="宋体" w:hAnsi="宋体"/>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3F1A091D">
      <w:pPr>
        <w:spacing w:line="360" w:lineRule="auto"/>
        <w:jc w:val="center"/>
        <w:outlineLvl w:val="1"/>
        <w:rPr>
          <w:rFonts w:hint="eastAsia" w:asciiTheme="minorEastAsia" w:hAnsiTheme="minorEastAsia" w:eastAsiaTheme="minorEastAsia"/>
          <w:b/>
          <w:color w:val="auto"/>
          <w:sz w:val="30"/>
          <w:szCs w:val="30"/>
          <w:highlight w:val="none"/>
        </w:rPr>
      </w:pPr>
      <w:r>
        <w:rPr>
          <w:rFonts w:ascii="宋体" w:hAnsi="宋体"/>
          <w:color w:val="auto"/>
          <w:szCs w:val="21"/>
          <w:highlight w:val="none"/>
          <w:u w:val="single"/>
        </w:rPr>
        <w:br w:type="page"/>
      </w:r>
      <w:bookmarkStart w:id="1048" w:name="_Toc27624"/>
      <w:bookmarkStart w:id="1049" w:name="_Toc180143781"/>
      <w:r>
        <w:rPr>
          <w:rFonts w:hint="eastAsia" w:asciiTheme="minorEastAsia" w:hAnsiTheme="minorEastAsia" w:eastAsiaTheme="minorEastAsia"/>
          <w:b/>
          <w:color w:val="auto"/>
          <w:sz w:val="30"/>
          <w:szCs w:val="30"/>
          <w:highlight w:val="none"/>
        </w:rPr>
        <w:t>第二节 政府采购合同通用条款</w:t>
      </w:r>
      <w:bookmarkEnd w:id="1048"/>
      <w:bookmarkEnd w:id="1049"/>
    </w:p>
    <w:p w14:paraId="64DC72BA">
      <w:pPr>
        <w:tabs>
          <w:tab w:val="left" w:pos="8820"/>
          <w:tab w:val="left" w:pos="9345"/>
          <w:tab w:val="left" w:pos="9765"/>
        </w:tabs>
        <w:adjustRightInd w:val="0"/>
        <w:snapToGrid w:val="0"/>
        <w:spacing w:line="360" w:lineRule="auto"/>
        <w:jc w:val="left"/>
        <w:rPr>
          <w:rFonts w:hint="eastAsia" w:ascii="宋体" w:hAnsi="宋体"/>
          <w:b/>
          <w:bCs/>
          <w:color w:val="auto"/>
          <w:szCs w:val="21"/>
          <w:highlight w:val="none"/>
        </w:rPr>
      </w:pPr>
      <w:r>
        <w:rPr>
          <w:rFonts w:hint="eastAsia" w:ascii="宋体" w:hAnsi="宋体"/>
          <w:b/>
          <w:color w:val="auto"/>
          <w:szCs w:val="21"/>
          <w:highlight w:val="none"/>
        </w:rPr>
        <w:t>1.</w:t>
      </w:r>
      <w:r>
        <w:rPr>
          <w:rFonts w:hint="eastAsia" w:ascii="宋体" w:hAnsi="宋体"/>
          <w:b/>
          <w:bCs/>
          <w:color w:val="auto"/>
          <w:szCs w:val="21"/>
          <w:highlight w:val="none"/>
        </w:rPr>
        <w:t>定义</w:t>
      </w:r>
    </w:p>
    <w:p w14:paraId="782A3790">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1.1合同当事人</w:t>
      </w:r>
    </w:p>
    <w:p w14:paraId="06A28208">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14:paraId="236323FB">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14:paraId="2D681B11">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0DE32E93">
      <w:pPr>
        <w:tabs>
          <w:tab w:val="left" w:pos="570"/>
          <w:tab w:val="left" w:pos="9240"/>
          <w:tab w:val="left" w:pos="9555"/>
        </w:tabs>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1.2本合同下列术语应解释为：</w:t>
      </w:r>
    </w:p>
    <w:p w14:paraId="5F7E773F">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政府采购合同协议书及其变更、补充协议，政府采购合同专用条款，政府采购合同通用条款，中标通知书，投标文件，采购文件，有关技术文件和图纸，以及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14:paraId="11B18E6C">
      <w:pPr>
        <w:tabs>
          <w:tab w:val="left" w:pos="570"/>
          <w:tab w:val="left" w:pos="9240"/>
          <w:tab w:val="left" w:pos="9555"/>
        </w:tabs>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14:paraId="63B1733D">
      <w:pPr>
        <w:tabs>
          <w:tab w:val="left" w:pos="570"/>
          <w:tab w:val="left" w:pos="9240"/>
          <w:tab w:val="left" w:pos="9555"/>
        </w:tabs>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14:paraId="299ED93B">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（4）“相关服务”系指根据合同规定，乙方应提供的与货物有关的技术、管理和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14:paraId="4E007FC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（5）“分包”系指中标（成交）供应商按采购文件、投标文件的规定，根据分包意向协议，将中标（成交）项目中的部分履约内容，分给具有相应资质条件的供应商履行合同的行为。</w:t>
      </w:r>
    </w:p>
    <w:p w14:paraId="0431E85B">
      <w:pPr>
        <w:tabs>
          <w:tab w:val="left" w:pos="570"/>
          <w:tab w:val="left" w:pos="9240"/>
          <w:tab w:val="left" w:pos="9555"/>
        </w:tabs>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09ABAB5A">
      <w:pPr>
        <w:tabs>
          <w:tab w:val="left" w:pos="570"/>
          <w:tab w:val="left" w:pos="9240"/>
          <w:tab w:val="left" w:pos="9555"/>
        </w:tabs>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（7）其他术语解释，见【政府采购合同专用条款】。</w:t>
      </w:r>
    </w:p>
    <w:p w14:paraId="19D94954">
      <w:pPr>
        <w:autoSpaceDE w:val="0"/>
        <w:autoSpaceDN w:val="0"/>
        <w:adjustRightInd w:val="0"/>
        <w:snapToGrid w:val="0"/>
        <w:spacing w:line="360" w:lineRule="auto"/>
        <w:jc w:val="left"/>
        <w:rPr>
          <w:rFonts w:hint="eastAsia" w:ascii="宋体" w:hAnsi="宋体"/>
          <w:b/>
          <w:bCs/>
          <w:color w:val="auto"/>
          <w:szCs w:val="21"/>
          <w:highlight w:val="none"/>
        </w:rPr>
      </w:pPr>
      <w:r>
        <w:rPr>
          <w:rFonts w:hint="eastAsia" w:ascii="宋体" w:hAnsi="宋体"/>
          <w:b/>
          <w:color w:val="auto"/>
          <w:szCs w:val="21"/>
          <w:highlight w:val="none"/>
        </w:rPr>
        <w:t>2.合同标的及金额</w:t>
      </w:r>
    </w:p>
    <w:p w14:paraId="3FDEE6BE">
      <w:pPr>
        <w:autoSpaceDE w:val="0"/>
        <w:autoSpaceDN w:val="0"/>
        <w:adjustRightInd w:val="0"/>
        <w:snapToGrid w:val="0"/>
        <w:spacing w:line="360" w:lineRule="auto"/>
        <w:ind w:firstLine="420" w:firstLineChars="200"/>
        <w:jc w:val="left"/>
        <w:rPr>
          <w:rFonts w:hint="eastAsia"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14:paraId="6546EEF2">
      <w:pPr>
        <w:adjustRightInd w:val="0"/>
        <w:snapToGrid w:val="0"/>
        <w:spacing w:line="360" w:lineRule="auto"/>
        <w:jc w:val="left"/>
        <w:rPr>
          <w:rFonts w:hint="eastAsia" w:ascii="宋体" w:hAnsi="宋体"/>
          <w:b/>
          <w:color w:val="auto"/>
          <w:szCs w:val="21"/>
          <w:highlight w:val="none"/>
        </w:rPr>
      </w:pPr>
      <w:r>
        <w:rPr>
          <w:rFonts w:hint="eastAsia" w:ascii="宋体" w:hAnsi="宋体"/>
          <w:b/>
          <w:color w:val="auto"/>
          <w:szCs w:val="21"/>
          <w:highlight w:val="none"/>
        </w:rPr>
        <w:t>3.履行合同的时间、地点和方式</w:t>
      </w:r>
    </w:p>
    <w:p w14:paraId="6D49B7A4">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14:paraId="401706D7">
      <w:pPr>
        <w:autoSpaceDE w:val="0"/>
        <w:autoSpaceDN w:val="0"/>
        <w:adjustRightInd w:val="0"/>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4.甲方的权利和义务</w:t>
      </w:r>
    </w:p>
    <w:p w14:paraId="4E6E2E1C">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73EBD75D">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39B1F9E8">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7BCCFB24">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14:paraId="01CB8752">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14:paraId="78131659">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14:paraId="0F4D5211">
      <w:pPr>
        <w:autoSpaceDE w:val="0"/>
        <w:autoSpaceDN w:val="0"/>
        <w:adjustRightInd w:val="0"/>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5.乙方的权利和义务</w:t>
      </w:r>
    </w:p>
    <w:p w14:paraId="245218CA">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14:paraId="7C8DC336">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14:paraId="6586F9E8">
      <w:pPr>
        <w:pStyle w:val="21"/>
        <w:rPr>
          <w:rFonts w:hint="eastAsia"/>
          <w:color w:val="auto"/>
          <w:highlight w:val="none"/>
        </w:rPr>
      </w:pPr>
      <w:r>
        <w:rPr>
          <w:rFonts w:hint="eastAsia"/>
          <w:color w:val="auto"/>
          <w:highlight w:val="none"/>
        </w:rPr>
        <w:t>5.</w:t>
      </w:r>
      <w:r>
        <w:rPr>
          <w:color w:val="auto"/>
          <w:highlight w:val="none"/>
        </w:rPr>
        <w:t>3</w:t>
      </w:r>
      <w:r>
        <w:rPr>
          <w:rFonts w:hint="eastAsia"/>
          <w:color w:val="auto"/>
          <w:highlight w:val="none"/>
        </w:rPr>
        <w:t>乙方有权根据合同约定向甲方收取合同价款。</w:t>
      </w:r>
    </w:p>
    <w:p w14:paraId="062E2CE6">
      <w:pPr>
        <w:pStyle w:val="21"/>
        <w:rPr>
          <w:rFonts w:hint="eastAsia"/>
          <w:color w:val="auto"/>
          <w:highlight w:val="none"/>
        </w:rPr>
      </w:pPr>
      <w:r>
        <w:rPr>
          <w:rFonts w:hint="eastAsia"/>
          <w:color w:val="auto"/>
          <w:highlight w:val="none"/>
        </w:rPr>
        <w:t>5.</w:t>
      </w:r>
      <w:r>
        <w:rPr>
          <w:color w:val="auto"/>
          <w:highlight w:val="none"/>
        </w:rPr>
        <w:t>4</w:t>
      </w:r>
      <w:r>
        <w:rPr>
          <w:rFonts w:hint="eastAsia"/>
          <w:color w:val="auto"/>
          <w:highlight w:val="none"/>
        </w:rPr>
        <w:t>国家法律法规规定及</w:t>
      </w:r>
      <w:r>
        <w:rPr>
          <w:rFonts w:hint="eastAsia"/>
          <w:b/>
          <w:color w:val="auto"/>
          <w:highlight w:val="none"/>
        </w:rPr>
        <w:t>【政府采购合同专用条款】</w:t>
      </w:r>
      <w:r>
        <w:rPr>
          <w:rFonts w:hint="eastAsia"/>
          <w:color w:val="auto"/>
          <w:highlight w:val="none"/>
        </w:rPr>
        <w:t>约定应由乙方承担的其他义务和责任。</w:t>
      </w:r>
    </w:p>
    <w:p w14:paraId="347D3172">
      <w:pPr>
        <w:autoSpaceDE w:val="0"/>
        <w:autoSpaceDN w:val="0"/>
        <w:adjustRightInd w:val="0"/>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6.合同履行</w:t>
      </w:r>
    </w:p>
    <w:p w14:paraId="41DEBD9A">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191C98F6">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7924CAF0">
      <w:pPr>
        <w:adjustRightInd w:val="0"/>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7.货物包装、运输、保险和交付要求</w:t>
      </w:r>
    </w:p>
    <w:p w14:paraId="138A5486">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14:paraId="3CD94B8E">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14:paraId="77346D3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314F9128">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48076D5">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14:paraId="5F5BB845">
      <w:pPr>
        <w:pStyle w:val="338"/>
        <w:spacing w:line="360" w:lineRule="auto"/>
        <w:ind w:firstLine="420"/>
        <w:rPr>
          <w:rFonts w:hint="eastAsia" w:ascii="宋体" w:hAnsi="宋体" w:eastAsia="宋体"/>
          <w:color w:val="auto"/>
          <w:sz w:val="21"/>
          <w:highlight w:val="none"/>
        </w:rPr>
      </w:pPr>
      <w:r>
        <w:rPr>
          <w:rFonts w:hint="eastAsia" w:ascii="宋体" w:hAnsi="宋体" w:eastAsia="宋体" w:cs="Times New Roman"/>
          <w:color w:val="auto"/>
          <w:kern w:val="2"/>
          <w:sz w:val="21"/>
          <w:highlight w:val="none"/>
        </w:rPr>
        <w:t>7.6 如因包装、运输问题导致货物损毁、丢失或者品质下降，甲方有权要求降价、换货、拒收部分或整批货物，由此产生的费用和损失，均由乙方承担。</w:t>
      </w:r>
    </w:p>
    <w:p w14:paraId="5CB928AC">
      <w:pPr>
        <w:adjustRightInd w:val="0"/>
        <w:snapToGrid w:val="0"/>
        <w:spacing w:line="360" w:lineRule="auto"/>
        <w:jc w:val="left"/>
        <w:rPr>
          <w:rFonts w:hint="eastAsia" w:ascii="宋体" w:hAnsi="宋体"/>
          <w:b/>
          <w:color w:val="auto"/>
          <w:szCs w:val="21"/>
          <w:highlight w:val="none"/>
        </w:rPr>
      </w:pPr>
      <w:r>
        <w:rPr>
          <w:rFonts w:hint="eastAsia" w:ascii="宋体" w:hAnsi="宋体"/>
          <w:b/>
          <w:color w:val="auto"/>
          <w:szCs w:val="21"/>
          <w:highlight w:val="none"/>
        </w:rPr>
        <w:t>8.质量标准和保证</w:t>
      </w:r>
    </w:p>
    <w:p w14:paraId="465A471E">
      <w:pPr>
        <w:pStyle w:val="28"/>
        <w:adjustRightInd w:val="0"/>
        <w:snapToGrid w:val="0"/>
        <w:spacing w:line="360" w:lineRule="auto"/>
        <w:ind w:firstLine="420" w:firstLineChars="200"/>
        <w:jc w:val="left"/>
        <w:rPr>
          <w:rFonts w:hint="eastAsia" w:hAnsi="宋体"/>
          <w:b/>
          <w:color w:val="auto"/>
          <w:szCs w:val="21"/>
          <w:highlight w:val="none"/>
        </w:rPr>
      </w:pPr>
      <w:r>
        <w:rPr>
          <w:rFonts w:hint="eastAsia" w:hAnsi="宋体"/>
          <w:color w:val="auto"/>
          <w:szCs w:val="21"/>
          <w:highlight w:val="none"/>
        </w:rPr>
        <w:t>8.1 质量标准</w:t>
      </w:r>
    </w:p>
    <w:p w14:paraId="106734AD">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25C7E1A">
      <w:pPr>
        <w:pStyle w:val="28"/>
        <w:adjustRightInd w:val="0"/>
        <w:snapToGrid w:val="0"/>
        <w:spacing w:line="360" w:lineRule="auto"/>
        <w:ind w:firstLine="420" w:firstLineChars="200"/>
        <w:jc w:val="left"/>
        <w:rPr>
          <w:rFonts w:hint="eastAsia" w:hAnsi="宋体"/>
          <w:color w:val="auto"/>
          <w:szCs w:val="21"/>
          <w:highlight w:val="none"/>
        </w:rPr>
      </w:pPr>
      <w:r>
        <w:rPr>
          <w:rFonts w:hint="eastAsia" w:hAnsi="宋体"/>
          <w:color w:val="auto"/>
          <w:szCs w:val="21"/>
          <w:highlight w:val="none"/>
        </w:rPr>
        <w:t>（2）采用中华人民共和国法定计量单位。</w:t>
      </w:r>
    </w:p>
    <w:p w14:paraId="115EA090">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14:paraId="7642641D">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6C07A864">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8.2 保证</w:t>
      </w:r>
    </w:p>
    <w:p w14:paraId="7CD3E7E8">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6874988E">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5C0D615E">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85D2E91">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79D014DD">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3EBD5839">
      <w:pPr>
        <w:adjustRightInd w:val="0"/>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9.权利瑕疵担保</w:t>
      </w:r>
    </w:p>
    <w:p w14:paraId="00EE58F4">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9.1 乙方保证对其出售的货物享有合法的权利。</w:t>
      </w:r>
    </w:p>
    <w:p w14:paraId="52D73EBD">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21"/>
          <w:highlight w:val="none"/>
        </w:rPr>
        <w:t>乙方保证在交付的货物上不存在抵押权等担保物权。</w:t>
      </w:r>
    </w:p>
    <w:p w14:paraId="268EB80C">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4C376C11">
      <w:pPr>
        <w:autoSpaceDE w:val="0"/>
        <w:autoSpaceDN w:val="0"/>
        <w:adjustRightInd w:val="0"/>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10.知识产权保护</w:t>
      </w:r>
    </w:p>
    <w:p w14:paraId="05399B80">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乙方对其所销售的货物应当享有知识产权或经权利人合法授权，保证没有侵犯任何第三人的知识产权等权利。</w:t>
      </w:r>
      <w:bookmarkStart w:id="1050" w:name="_Hlk163047038"/>
      <w:r>
        <w:rPr>
          <w:rFonts w:hint="eastAsia" w:ascii="宋体" w:hAnsi="宋体" w:cs="宋体"/>
          <w:color w:val="auto"/>
          <w:szCs w:val="21"/>
          <w:highlight w:val="none"/>
        </w:rPr>
        <w:t>因违反前述约定对第三人构成侵权的，应当由乙方向第三人承担法律责任；甲方依法向第三人赔偿后，有权向乙方追偿。甲方有其他损失的，乙方应当赔偿</w:t>
      </w:r>
      <w:bookmarkEnd w:id="1050"/>
      <w:r>
        <w:rPr>
          <w:rFonts w:hint="eastAsia" w:ascii="宋体" w:hAnsi="宋体"/>
          <w:color w:val="auto"/>
          <w:szCs w:val="21"/>
          <w:highlight w:val="none"/>
        </w:rPr>
        <w:t>。</w:t>
      </w:r>
    </w:p>
    <w:p w14:paraId="0E0F3061">
      <w:pPr>
        <w:autoSpaceDE w:val="0"/>
        <w:autoSpaceDN w:val="0"/>
        <w:adjustRightInd w:val="0"/>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11.保密义务</w:t>
      </w:r>
    </w:p>
    <w:p w14:paraId="77BFB986">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中约定。</w:t>
      </w:r>
    </w:p>
    <w:p w14:paraId="113D440A">
      <w:pPr>
        <w:autoSpaceDE w:val="0"/>
        <w:autoSpaceDN w:val="0"/>
        <w:adjustRightInd w:val="0"/>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12.合同价款支付</w:t>
      </w:r>
    </w:p>
    <w:p w14:paraId="7667FEEF">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0EAC05B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color w:val="auto"/>
          <w:szCs w:val="21"/>
          <w:highlight w:val="none"/>
        </w:rPr>
        <w:t>【政府采购合同专用条款】</w:t>
      </w:r>
      <w:r>
        <w:rPr>
          <w:rFonts w:hint="eastAsia" w:ascii="宋体" w:hAnsi="宋体"/>
          <w:color w:val="auto"/>
          <w:szCs w:val="21"/>
          <w:highlight w:val="none"/>
        </w:rPr>
        <w:t>中约定。</w:t>
      </w:r>
    </w:p>
    <w:p w14:paraId="78643716">
      <w:pPr>
        <w:autoSpaceDE w:val="0"/>
        <w:autoSpaceDN w:val="0"/>
        <w:adjustRightInd w:val="0"/>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13.履约保证金</w:t>
      </w:r>
    </w:p>
    <w:p w14:paraId="37A23FA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21"/>
          <w:highlight w:val="none"/>
        </w:rPr>
        <w:t>乙方应当以支票、汇票、本票或者金融机构、担保机构出具的保函等非现金形式提交。</w:t>
      </w:r>
    </w:p>
    <w:p w14:paraId="666FC80C">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695A55EA">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499EDEE1">
      <w:pPr>
        <w:autoSpaceDE w:val="0"/>
        <w:autoSpaceDN w:val="0"/>
        <w:adjustRightInd w:val="0"/>
        <w:snapToGrid w:val="0"/>
        <w:spacing w:line="360" w:lineRule="auto"/>
        <w:jc w:val="left"/>
        <w:rPr>
          <w:rFonts w:hint="eastAsia" w:ascii="宋体" w:hAnsi="宋体"/>
          <w:b/>
          <w:color w:val="auto"/>
          <w:szCs w:val="21"/>
          <w:highlight w:val="none"/>
        </w:rPr>
      </w:pPr>
      <w:r>
        <w:rPr>
          <w:rFonts w:hint="eastAsia" w:ascii="宋体" w:hAnsi="宋体"/>
          <w:b/>
          <w:bCs/>
          <w:color w:val="auto"/>
          <w:szCs w:val="21"/>
          <w:highlight w:val="none"/>
        </w:rPr>
        <w:t>14.</w:t>
      </w:r>
      <w:r>
        <w:rPr>
          <w:rFonts w:hint="eastAsia" w:ascii="宋体" w:hAnsi="宋体"/>
          <w:b/>
          <w:color w:val="auto"/>
          <w:szCs w:val="21"/>
          <w:highlight w:val="none"/>
        </w:rPr>
        <w:t>售后服务</w:t>
      </w:r>
    </w:p>
    <w:p w14:paraId="6ED934A7">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1DC5DF7C">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4B1B526A">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72359973">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0D4CD507">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21"/>
          <w:highlight w:val="none"/>
        </w:rPr>
        <w:t>；</w:t>
      </w:r>
    </w:p>
    <w:p w14:paraId="579537F2">
      <w:pPr>
        <w:pStyle w:val="338"/>
        <w:spacing w:line="360" w:lineRule="auto"/>
        <w:ind w:firstLine="420"/>
        <w:rPr>
          <w:rFonts w:hint="eastAsia"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129026EB">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3F31BD58">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14:paraId="7239A6BE">
      <w:pPr>
        <w:adjustRightInd w:val="0"/>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15.违约责任</w:t>
      </w:r>
    </w:p>
    <w:p w14:paraId="28BEB5B2">
      <w:pPr>
        <w:adjustRightInd w:val="0"/>
        <w:snapToGrid w:val="0"/>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15.1质量瑕疵的违约责任</w:t>
      </w:r>
    </w:p>
    <w:p w14:paraId="374D2C15">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26A0E0DF">
      <w:pPr>
        <w:autoSpaceDE w:val="0"/>
        <w:autoSpaceDN w:val="0"/>
        <w:adjustRightInd w:val="0"/>
        <w:snapToGrid w:val="0"/>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15.2 迟延交货的违约责任</w:t>
      </w:r>
    </w:p>
    <w:p w14:paraId="04DF8A2E">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EC4BEE9">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2CDCACF7">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15.3 迟延支付的违约责任</w:t>
      </w:r>
    </w:p>
    <w:p w14:paraId="28E43BAD">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56D21B50">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556EA022">
      <w:pPr>
        <w:autoSpaceDE w:val="0"/>
        <w:autoSpaceDN w:val="0"/>
        <w:adjustRightInd w:val="0"/>
        <w:snapToGrid w:val="0"/>
        <w:spacing w:line="360" w:lineRule="auto"/>
        <w:jc w:val="left"/>
        <w:rPr>
          <w:rFonts w:hint="eastAsia" w:ascii="宋体" w:hAnsi="宋体"/>
          <w:b/>
          <w:color w:val="auto"/>
          <w:szCs w:val="21"/>
          <w:highlight w:val="none"/>
        </w:rPr>
      </w:pPr>
      <w:r>
        <w:rPr>
          <w:rFonts w:hint="eastAsia" w:ascii="宋体" w:hAnsi="宋体"/>
          <w:b/>
          <w:color w:val="auto"/>
          <w:szCs w:val="21"/>
          <w:highlight w:val="none"/>
        </w:rPr>
        <w:t>16.合同变更、中止与终止</w:t>
      </w:r>
    </w:p>
    <w:p w14:paraId="10020A8D">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16.1合同的变更</w:t>
      </w:r>
    </w:p>
    <w:p w14:paraId="395B80AA">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0663D181">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16.2合同的中止</w:t>
      </w:r>
    </w:p>
    <w:p w14:paraId="3E68E9E0">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59E11010">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A321FEA">
      <w:pPr>
        <w:pStyle w:val="338"/>
        <w:spacing w:line="360" w:lineRule="auto"/>
        <w:ind w:firstLine="420"/>
        <w:jc w:val="both"/>
        <w:rPr>
          <w:rFonts w:hint="eastAsia" w:ascii="宋体" w:hAnsi="宋体" w:eastAsia="宋体"/>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5FFF0F46">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（4）甲方不得以行政区划调整、政府换届、机构或者职能调整以及相关责任人更替为由中止合同。</w:t>
      </w:r>
    </w:p>
    <w:p w14:paraId="56F9E445">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16.3合同的终止</w:t>
      </w:r>
    </w:p>
    <w:p w14:paraId="4BB6FDDD">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（1）合同因有效期限届满而终止；</w:t>
      </w:r>
    </w:p>
    <w:p w14:paraId="4635D61C">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1A63CD4F">
      <w:pPr>
        <w:pStyle w:val="338"/>
        <w:spacing w:line="360" w:lineRule="auto"/>
        <w:ind w:firstLine="420"/>
        <w:rPr>
          <w:rFonts w:hint="eastAsia" w:ascii="宋体" w:hAnsi="宋体" w:eastAsia="宋体"/>
          <w:color w:val="auto"/>
          <w:sz w:val="21"/>
          <w:highlight w:val="none"/>
        </w:rPr>
      </w:pPr>
      <w:r>
        <w:rPr>
          <w:rFonts w:hint="eastAsia" w:ascii="宋体" w:hAnsi="宋体" w:eastAsia="宋体"/>
          <w:color w:val="auto"/>
          <w:sz w:val="21"/>
          <w:highlight w:val="none"/>
        </w:rPr>
        <w:t xml:space="preserve">16.4 </w:t>
      </w:r>
      <w:r>
        <w:rPr>
          <w:rFonts w:hint="eastAsia" w:ascii="宋体" w:hAnsi="宋体" w:eastAsia="宋体" w:cs="Times New Roman"/>
          <w:color w:val="auto"/>
          <w:kern w:val="2"/>
          <w:sz w:val="21"/>
          <w:highlight w:val="none"/>
        </w:rPr>
        <w:t>涉及国家利益、社会公共利益的情形</w:t>
      </w:r>
    </w:p>
    <w:p w14:paraId="01C82113">
      <w:pPr>
        <w:pStyle w:val="338"/>
        <w:spacing w:line="360" w:lineRule="auto"/>
        <w:ind w:firstLine="420"/>
        <w:jc w:val="both"/>
        <w:rPr>
          <w:rFonts w:hint="eastAsia" w:ascii="宋体" w:hAnsi="宋体" w:eastAsia="宋体"/>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75A9936A">
      <w:pPr>
        <w:autoSpaceDE w:val="0"/>
        <w:autoSpaceDN w:val="0"/>
        <w:adjustRightInd w:val="0"/>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17.合同分包</w:t>
      </w:r>
    </w:p>
    <w:p w14:paraId="05894E96">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乙方不得将合同转包给其他供应商。涉及合同分包的，乙方应根据采购文件和投标文件规定进行合同分包。</w:t>
      </w:r>
    </w:p>
    <w:p w14:paraId="7F988B75">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乙方执行政府采购政策向中小企业依法分包的，乙方应当按采购文件和投标文件签订分包意向协议，分包意向协议属于本合同组成部分。</w:t>
      </w:r>
    </w:p>
    <w:p w14:paraId="1A2B05D6">
      <w:pPr>
        <w:autoSpaceDE w:val="0"/>
        <w:autoSpaceDN w:val="0"/>
        <w:adjustRightInd w:val="0"/>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18.不可抗力</w:t>
      </w:r>
    </w:p>
    <w:p w14:paraId="7F8B9FCE">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2A7EA377">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5751C8FF">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798C463">
      <w:pPr>
        <w:autoSpaceDE w:val="0"/>
        <w:autoSpaceDN w:val="0"/>
        <w:adjustRightInd w:val="0"/>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19.解决争议的方法</w:t>
      </w:r>
    </w:p>
    <w:p w14:paraId="3AB2FD6E">
      <w:pPr>
        <w:pStyle w:val="338"/>
        <w:spacing w:line="360" w:lineRule="auto"/>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7FB13B5A">
      <w:pPr>
        <w:pStyle w:val="338"/>
        <w:spacing w:line="360" w:lineRule="auto"/>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4D3ED618">
      <w:pPr>
        <w:pStyle w:val="338"/>
        <w:spacing w:line="360" w:lineRule="auto"/>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7EA82DDB">
      <w:pPr>
        <w:autoSpaceDE w:val="0"/>
        <w:autoSpaceDN w:val="0"/>
        <w:adjustRightInd w:val="0"/>
        <w:snapToGrid w:val="0"/>
        <w:spacing w:line="360" w:lineRule="auto"/>
        <w:jc w:val="left"/>
        <w:rPr>
          <w:rFonts w:hint="eastAsia" w:ascii="宋体" w:hAnsi="宋体"/>
          <w:color w:val="auto"/>
          <w:szCs w:val="21"/>
          <w:highlight w:val="none"/>
        </w:rPr>
      </w:pPr>
      <w:r>
        <w:rPr>
          <w:rFonts w:hint="eastAsia" w:ascii="宋体" w:hAnsi="宋体"/>
          <w:b/>
          <w:color w:val="auto"/>
          <w:szCs w:val="21"/>
          <w:highlight w:val="none"/>
        </w:rPr>
        <w:t>20.政府采购政策</w:t>
      </w:r>
    </w:p>
    <w:p w14:paraId="14F43448">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szCs w:val="21"/>
          <w:highlight w:val="none"/>
          <w:lang w:val="en-GB"/>
        </w:rPr>
        <w:t>本合同应当按照规定执行政府采购政策。</w:t>
      </w:r>
    </w:p>
    <w:p w14:paraId="77865C3C">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szCs w:val="21"/>
          <w:highlight w:val="none"/>
        </w:rPr>
        <w:t>甲乙双方</w:t>
      </w:r>
      <w:r>
        <w:rPr>
          <w:rFonts w:hint="eastAsia" w:ascii="宋体" w:hAnsi="宋体" w:cs="宋体"/>
          <w:color w:val="auto"/>
          <w:szCs w:val="21"/>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88D5ED5">
      <w:pPr>
        <w:autoSpaceDE w:val="0"/>
        <w:autoSpaceDN w:val="0"/>
        <w:adjustRightInd w:val="0"/>
        <w:snapToGrid w:val="0"/>
        <w:spacing w:line="360" w:lineRule="auto"/>
        <w:ind w:firstLine="420" w:firstLineChars="200"/>
        <w:jc w:val="left"/>
        <w:rPr>
          <w:rFonts w:hint="eastAsia" w:ascii="宋体" w:hAnsi="宋体"/>
          <w:color w:val="auto"/>
          <w:szCs w:val="21"/>
          <w:highlight w:val="none"/>
        </w:rPr>
      </w:pPr>
      <w:r>
        <w:rPr>
          <w:rFonts w:ascii="宋体" w:hAnsi="宋体"/>
          <w:color w:val="auto"/>
          <w:szCs w:val="21"/>
          <w:highlight w:val="none"/>
        </w:rPr>
        <w:t xml:space="preserve">20.3 </w:t>
      </w:r>
      <w:r>
        <w:rPr>
          <w:rFonts w:hint="eastAsia" w:ascii="宋体" w:hAnsi="宋体"/>
          <w:color w:val="auto"/>
          <w:szCs w:val="21"/>
          <w:highlight w:val="none"/>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27C0717">
      <w:pPr>
        <w:autoSpaceDE w:val="0"/>
        <w:autoSpaceDN w:val="0"/>
        <w:adjustRightInd w:val="0"/>
        <w:snapToGrid w:val="0"/>
        <w:spacing w:line="360" w:lineRule="auto"/>
        <w:jc w:val="left"/>
        <w:rPr>
          <w:rFonts w:hint="eastAsia" w:ascii="宋体" w:hAnsi="宋体"/>
          <w:b/>
          <w:color w:val="auto"/>
          <w:szCs w:val="21"/>
          <w:highlight w:val="none"/>
        </w:rPr>
      </w:pPr>
      <w:r>
        <w:rPr>
          <w:rFonts w:hint="eastAsia" w:ascii="宋体" w:hAnsi="宋体"/>
          <w:b/>
          <w:color w:val="auto"/>
          <w:szCs w:val="21"/>
          <w:highlight w:val="none"/>
        </w:rPr>
        <w:t>21.法律适用</w:t>
      </w:r>
    </w:p>
    <w:p w14:paraId="4B28E4FB">
      <w:pPr>
        <w:pStyle w:val="338"/>
        <w:spacing w:line="360" w:lineRule="auto"/>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7AE55309">
      <w:pPr>
        <w:pStyle w:val="338"/>
        <w:spacing w:line="360" w:lineRule="auto"/>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4AAF8903">
      <w:pPr>
        <w:numPr>
          <w:ilvl w:val="255"/>
          <w:numId w:val="0"/>
        </w:numPr>
        <w:autoSpaceDE w:val="0"/>
        <w:autoSpaceDN w:val="0"/>
        <w:adjustRightInd w:val="0"/>
        <w:snapToGrid w:val="0"/>
        <w:spacing w:line="360" w:lineRule="auto"/>
        <w:jc w:val="left"/>
        <w:rPr>
          <w:rFonts w:hint="eastAsia" w:ascii="宋体" w:hAnsi="宋体"/>
          <w:b/>
          <w:color w:val="auto"/>
          <w:szCs w:val="21"/>
          <w:highlight w:val="none"/>
        </w:rPr>
      </w:pPr>
      <w:r>
        <w:rPr>
          <w:rFonts w:hint="eastAsia" w:ascii="宋体" w:hAnsi="宋体"/>
          <w:b/>
          <w:color w:val="auto"/>
          <w:szCs w:val="21"/>
          <w:highlight w:val="none"/>
        </w:rPr>
        <w:t>22.通知</w:t>
      </w:r>
    </w:p>
    <w:p w14:paraId="4B2824F6">
      <w:pPr>
        <w:pStyle w:val="338"/>
        <w:spacing w:line="360" w:lineRule="auto"/>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5E1EC848">
      <w:pPr>
        <w:pStyle w:val="338"/>
        <w:spacing w:line="360" w:lineRule="auto"/>
        <w:ind w:firstLine="420"/>
        <w:jc w:val="both"/>
        <w:rPr>
          <w:rFonts w:hint="eastAsia" w:ascii="宋体" w:hAnsi="宋体" w:eastAsia="宋体" w:cs="宋体"/>
          <w:color w:val="auto"/>
          <w:sz w:val="21"/>
          <w:highlight w:val="none"/>
        </w:rPr>
      </w:pPr>
      <w:r>
        <w:rPr>
          <w:rFonts w:hint="eastAsia" w:ascii="宋体" w:hAnsi="宋体" w:eastAsia="宋体" w:cs="宋体"/>
          <w:color w:val="auto"/>
          <w:sz w:val="21"/>
          <w:highlight w:val="none"/>
        </w:rPr>
        <w:t>22.2 一方当事人变更名称、住所、联系人、联系电话或电子邮箱等信息的，应当在变更后3日内及时书面通知对方，对方实际收到变更通知前的送达仍为有效送达。</w:t>
      </w:r>
    </w:p>
    <w:p w14:paraId="5DF666F8">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50D918C0">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339763BA">
      <w:pPr>
        <w:adjustRightInd w:val="0"/>
        <w:snapToGrid w:val="0"/>
        <w:spacing w:line="360" w:lineRule="auto"/>
        <w:jc w:val="left"/>
        <w:rPr>
          <w:rFonts w:hint="eastAsia" w:ascii="宋体" w:hAnsi="宋体"/>
          <w:b/>
          <w:bCs/>
          <w:color w:val="auto"/>
          <w:szCs w:val="21"/>
          <w:highlight w:val="none"/>
        </w:rPr>
      </w:pPr>
      <w:r>
        <w:rPr>
          <w:rFonts w:hint="eastAsia" w:ascii="宋体" w:hAnsi="宋体"/>
          <w:b/>
          <w:bCs/>
          <w:color w:val="auto"/>
          <w:szCs w:val="21"/>
          <w:highlight w:val="none"/>
        </w:rPr>
        <w:t>合同未尽事项</w:t>
      </w:r>
    </w:p>
    <w:p w14:paraId="51D9B893">
      <w:pPr>
        <w:adjustRightInd w:val="0"/>
        <w:snapToGrid w:val="0"/>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288ACFB9">
      <w:pPr>
        <w:adjustRightInd w:val="0"/>
        <w:snapToGrid w:val="0"/>
        <w:spacing w:line="360" w:lineRule="auto"/>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23.2 合同附件与合同正文具有同等的法律效力。</w:t>
      </w:r>
      <w:bookmarkStart w:id="1051" w:name="_Toc20313"/>
    </w:p>
    <w:p w14:paraId="704FAA65">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br w:type="page"/>
      </w:r>
    </w:p>
    <w:p w14:paraId="3B48DBC1">
      <w:pPr>
        <w:spacing w:line="360" w:lineRule="auto"/>
        <w:jc w:val="center"/>
        <w:outlineLvl w:val="1"/>
        <w:rPr>
          <w:rFonts w:hint="eastAsia" w:asciiTheme="minorEastAsia" w:hAnsiTheme="minorEastAsia" w:eastAsiaTheme="minorEastAsia"/>
          <w:b/>
          <w:color w:val="auto"/>
          <w:sz w:val="30"/>
          <w:szCs w:val="30"/>
          <w:highlight w:val="none"/>
        </w:rPr>
      </w:pPr>
      <w:bookmarkStart w:id="1052" w:name="_Toc180143782"/>
      <w:r>
        <w:rPr>
          <w:rFonts w:hint="eastAsia" w:asciiTheme="minorEastAsia" w:hAnsiTheme="minorEastAsia" w:eastAsiaTheme="minorEastAsia"/>
          <w:b/>
          <w:color w:val="auto"/>
          <w:sz w:val="30"/>
          <w:szCs w:val="30"/>
          <w:highlight w:val="none"/>
        </w:rPr>
        <w:t>第三节 政府采购合同专用条款</w:t>
      </w:r>
      <w:bookmarkEnd w:id="1051"/>
      <w:bookmarkEnd w:id="1052"/>
    </w:p>
    <w:tbl>
      <w:tblPr>
        <w:tblStyle w:val="53"/>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20"/>
        <w:gridCol w:w="2376"/>
        <w:gridCol w:w="4423"/>
      </w:tblGrid>
      <w:tr w14:paraId="067AFD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752346B7">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655CBEE2">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第1.2（6）项</w:t>
            </w:r>
          </w:p>
        </w:tc>
        <w:tc>
          <w:tcPr>
            <w:tcW w:w="2376" w:type="dxa"/>
            <w:vAlign w:val="center"/>
          </w:tcPr>
          <w:p w14:paraId="3213CD3A">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color w:val="auto"/>
                <w:szCs w:val="21"/>
                <w:highlight w:val="none"/>
              </w:rPr>
              <w:t>联合体具体要求</w:t>
            </w:r>
          </w:p>
        </w:tc>
        <w:tc>
          <w:tcPr>
            <w:tcW w:w="4423" w:type="dxa"/>
            <w:vAlign w:val="center"/>
          </w:tcPr>
          <w:p w14:paraId="3CB4FDD7">
            <w:pPr>
              <w:adjustRightInd w:val="0"/>
              <w:snapToGrid w:val="0"/>
              <w:spacing w:line="360" w:lineRule="auto"/>
              <w:jc w:val="left"/>
              <w:rPr>
                <w:rFonts w:hint="eastAsia" w:ascii="宋体" w:hAnsi="宋体"/>
                <w:color w:val="auto"/>
                <w:szCs w:val="21"/>
                <w:highlight w:val="none"/>
              </w:rPr>
            </w:pPr>
          </w:p>
        </w:tc>
      </w:tr>
      <w:tr w14:paraId="6F29ED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720" w:type="dxa"/>
            <w:vAlign w:val="center"/>
          </w:tcPr>
          <w:p w14:paraId="376722AC">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0AA9F6BB">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第1.2（7）项</w:t>
            </w:r>
          </w:p>
        </w:tc>
        <w:tc>
          <w:tcPr>
            <w:tcW w:w="2376" w:type="dxa"/>
            <w:vAlign w:val="center"/>
          </w:tcPr>
          <w:p w14:paraId="356B1A08">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color w:val="auto"/>
                <w:szCs w:val="21"/>
                <w:highlight w:val="none"/>
              </w:rPr>
              <w:t>其他术语解释</w:t>
            </w:r>
          </w:p>
        </w:tc>
        <w:tc>
          <w:tcPr>
            <w:tcW w:w="4423" w:type="dxa"/>
            <w:vAlign w:val="center"/>
          </w:tcPr>
          <w:p w14:paraId="68D2844A">
            <w:pPr>
              <w:adjustRightInd w:val="0"/>
              <w:snapToGrid w:val="0"/>
              <w:spacing w:line="360" w:lineRule="auto"/>
              <w:jc w:val="left"/>
              <w:rPr>
                <w:rFonts w:hint="eastAsia" w:ascii="宋体" w:hAnsi="宋体"/>
                <w:color w:val="auto"/>
                <w:szCs w:val="21"/>
                <w:highlight w:val="none"/>
              </w:rPr>
            </w:pPr>
          </w:p>
        </w:tc>
      </w:tr>
      <w:tr w14:paraId="13E374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3688AFC0">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34CB1C69">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第4.4款</w:t>
            </w:r>
          </w:p>
        </w:tc>
        <w:tc>
          <w:tcPr>
            <w:tcW w:w="2376" w:type="dxa"/>
            <w:vAlign w:val="center"/>
          </w:tcPr>
          <w:p w14:paraId="6F0DC2CE">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4423" w:type="dxa"/>
            <w:vAlign w:val="center"/>
          </w:tcPr>
          <w:p w14:paraId="7DF750CB">
            <w:pPr>
              <w:adjustRightInd w:val="0"/>
              <w:snapToGrid w:val="0"/>
              <w:spacing w:line="360" w:lineRule="auto"/>
              <w:jc w:val="left"/>
              <w:rPr>
                <w:rFonts w:hint="eastAsia" w:ascii="宋体" w:hAnsi="宋体"/>
                <w:color w:val="auto"/>
                <w:szCs w:val="21"/>
                <w:highlight w:val="none"/>
              </w:rPr>
            </w:pPr>
          </w:p>
        </w:tc>
      </w:tr>
      <w:tr w14:paraId="17A163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17FD37B3">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684E9C40">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第4.6款</w:t>
            </w:r>
          </w:p>
        </w:tc>
        <w:tc>
          <w:tcPr>
            <w:tcW w:w="2376" w:type="dxa"/>
            <w:vAlign w:val="center"/>
          </w:tcPr>
          <w:p w14:paraId="2ACD355E">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color w:val="auto"/>
                <w:szCs w:val="21"/>
                <w:highlight w:val="none"/>
              </w:rPr>
              <w:t>约定甲方承担的其他义务和责任</w:t>
            </w:r>
          </w:p>
        </w:tc>
        <w:tc>
          <w:tcPr>
            <w:tcW w:w="4423" w:type="dxa"/>
            <w:vAlign w:val="center"/>
          </w:tcPr>
          <w:p w14:paraId="1D852321">
            <w:pPr>
              <w:adjustRightInd w:val="0"/>
              <w:snapToGrid w:val="0"/>
              <w:spacing w:line="360" w:lineRule="auto"/>
              <w:jc w:val="left"/>
              <w:rPr>
                <w:rFonts w:hint="eastAsia" w:ascii="宋体" w:hAnsi="宋体"/>
                <w:color w:val="auto"/>
                <w:szCs w:val="21"/>
                <w:highlight w:val="none"/>
              </w:rPr>
            </w:pPr>
          </w:p>
        </w:tc>
      </w:tr>
      <w:tr w14:paraId="631484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257346BF">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526DE307">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第5.4款</w:t>
            </w:r>
          </w:p>
        </w:tc>
        <w:tc>
          <w:tcPr>
            <w:tcW w:w="2376" w:type="dxa"/>
            <w:vAlign w:val="center"/>
          </w:tcPr>
          <w:p w14:paraId="5CAB74FC">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color w:val="auto"/>
                <w:szCs w:val="21"/>
                <w:highlight w:val="none"/>
              </w:rPr>
              <w:t>约定乙方承担的其他义务和责任</w:t>
            </w:r>
          </w:p>
        </w:tc>
        <w:tc>
          <w:tcPr>
            <w:tcW w:w="4423" w:type="dxa"/>
            <w:vAlign w:val="center"/>
          </w:tcPr>
          <w:p w14:paraId="38B3C189">
            <w:pPr>
              <w:adjustRightInd w:val="0"/>
              <w:snapToGrid w:val="0"/>
              <w:spacing w:line="360" w:lineRule="auto"/>
              <w:jc w:val="left"/>
              <w:rPr>
                <w:rFonts w:hint="eastAsia" w:ascii="宋体" w:hAnsi="宋体"/>
                <w:color w:val="auto"/>
                <w:szCs w:val="21"/>
                <w:highlight w:val="none"/>
              </w:rPr>
            </w:pPr>
          </w:p>
        </w:tc>
      </w:tr>
      <w:tr w14:paraId="151CBB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25274E63">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6FF6FAF0">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第6.1款</w:t>
            </w:r>
          </w:p>
        </w:tc>
        <w:tc>
          <w:tcPr>
            <w:tcW w:w="2376" w:type="dxa"/>
            <w:vAlign w:val="center"/>
          </w:tcPr>
          <w:p w14:paraId="7105B442">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color w:val="auto"/>
                <w:szCs w:val="21"/>
                <w:highlight w:val="none"/>
              </w:rPr>
              <w:t>履行合同义务的顺序</w:t>
            </w:r>
          </w:p>
        </w:tc>
        <w:tc>
          <w:tcPr>
            <w:tcW w:w="4423" w:type="dxa"/>
            <w:vAlign w:val="center"/>
          </w:tcPr>
          <w:p w14:paraId="02E1378D">
            <w:pPr>
              <w:adjustRightInd w:val="0"/>
              <w:snapToGrid w:val="0"/>
              <w:spacing w:line="360" w:lineRule="auto"/>
              <w:jc w:val="left"/>
              <w:rPr>
                <w:rFonts w:hint="eastAsia" w:ascii="宋体" w:hAnsi="宋体"/>
                <w:color w:val="auto"/>
                <w:szCs w:val="21"/>
                <w:highlight w:val="none"/>
              </w:rPr>
            </w:pPr>
          </w:p>
        </w:tc>
      </w:tr>
      <w:tr w14:paraId="274A43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720" w:type="dxa"/>
            <w:vMerge w:val="restart"/>
            <w:vAlign w:val="center"/>
          </w:tcPr>
          <w:p w14:paraId="0A453B24">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1CFA8861">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第7.1款</w:t>
            </w:r>
          </w:p>
        </w:tc>
        <w:tc>
          <w:tcPr>
            <w:tcW w:w="2376" w:type="dxa"/>
            <w:vAlign w:val="center"/>
          </w:tcPr>
          <w:p w14:paraId="524EC2D6">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color w:val="auto"/>
                <w:szCs w:val="21"/>
                <w:highlight w:val="none"/>
              </w:rPr>
              <w:t>包装特殊要求</w:t>
            </w:r>
          </w:p>
        </w:tc>
        <w:tc>
          <w:tcPr>
            <w:tcW w:w="4423" w:type="dxa"/>
            <w:vAlign w:val="center"/>
          </w:tcPr>
          <w:p w14:paraId="32955E2A">
            <w:pPr>
              <w:spacing w:line="360" w:lineRule="auto"/>
              <w:rPr>
                <w:rFonts w:hint="eastAsia" w:ascii="宋体" w:hAnsi="宋体"/>
                <w:color w:val="auto"/>
                <w:szCs w:val="21"/>
                <w:highlight w:val="none"/>
              </w:rPr>
            </w:pPr>
          </w:p>
        </w:tc>
      </w:tr>
      <w:tr w14:paraId="48FE8C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720" w:type="dxa"/>
            <w:vMerge w:val="continue"/>
            <w:vAlign w:val="center"/>
          </w:tcPr>
          <w:p w14:paraId="67105CAF">
            <w:pPr>
              <w:adjustRightInd w:val="0"/>
              <w:snapToGrid w:val="0"/>
              <w:spacing w:line="360" w:lineRule="auto"/>
              <w:jc w:val="center"/>
              <w:rPr>
                <w:rFonts w:hint="eastAsia" w:ascii="宋体" w:hAnsi="宋体"/>
                <w:color w:val="auto"/>
                <w:szCs w:val="21"/>
                <w:highlight w:val="none"/>
              </w:rPr>
            </w:pPr>
          </w:p>
        </w:tc>
        <w:tc>
          <w:tcPr>
            <w:tcW w:w="2376" w:type="dxa"/>
            <w:vAlign w:val="center"/>
          </w:tcPr>
          <w:p w14:paraId="79C09B6F">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color w:val="auto"/>
                <w:szCs w:val="21"/>
                <w:highlight w:val="none"/>
              </w:rPr>
              <w:t>指定现场</w:t>
            </w:r>
          </w:p>
        </w:tc>
        <w:tc>
          <w:tcPr>
            <w:tcW w:w="4423" w:type="dxa"/>
            <w:vAlign w:val="center"/>
          </w:tcPr>
          <w:p w14:paraId="6D17E6CF">
            <w:pPr>
              <w:spacing w:line="360" w:lineRule="auto"/>
              <w:rPr>
                <w:rFonts w:hint="eastAsia" w:ascii="宋体" w:hAnsi="宋体"/>
                <w:color w:val="auto"/>
                <w:szCs w:val="21"/>
                <w:highlight w:val="none"/>
              </w:rPr>
            </w:pPr>
          </w:p>
        </w:tc>
      </w:tr>
      <w:tr w14:paraId="1C93CF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720" w:type="dxa"/>
            <w:vAlign w:val="center"/>
          </w:tcPr>
          <w:p w14:paraId="6855B494">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3AFD7E1D">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第7.2款</w:t>
            </w:r>
          </w:p>
        </w:tc>
        <w:tc>
          <w:tcPr>
            <w:tcW w:w="2376" w:type="dxa"/>
            <w:vAlign w:val="center"/>
          </w:tcPr>
          <w:p w14:paraId="29DBEB0A">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color w:val="auto"/>
                <w:szCs w:val="21"/>
                <w:highlight w:val="none"/>
              </w:rPr>
              <w:t>运输特殊要求</w:t>
            </w:r>
          </w:p>
        </w:tc>
        <w:tc>
          <w:tcPr>
            <w:tcW w:w="4423" w:type="dxa"/>
            <w:vAlign w:val="center"/>
          </w:tcPr>
          <w:p w14:paraId="74D4A390">
            <w:pPr>
              <w:spacing w:line="360" w:lineRule="auto"/>
              <w:rPr>
                <w:rFonts w:hint="eastAsia" w:ascii="宋体" w:hAnsi="宋体"/>
                <w:color w:val="auto"/>
                <w:szCs w:val="21"/>
                <w:highlight w:val="none"/>
              </w:rPr>
            </w:pPr>
          </w:p>
        </w:tc>
      </w:tr>
      <w:tr w14:paraId="6CEB7C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720" w:type="dxa"/>
            <w:vAlign w:val="center"/>
          </w:tcPr>
          <w:p w14:paraId="6D945175">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6E05D543">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第7.3款</w:t>
            </w:r>
          </w:p>
        </w:tc>
        <w:tc>
          <w:tcPr>
            <w:tcW w:w="2376" w:type="dxa"/>
            <w:vAlign w:val="center"/>
          </w:tcPr>
          <w:p w14:paraId="70D34A92">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color w:val="auto"/>
                <w:szCs w:val="21"/>
                <w:highlight w:val="none"/>
              </w:rPr>
              <w:t>保险要求</w:t>
            </w:r>
          </w:p>
        </w:tc>
        <w:tc>
          <w:tcPr>
            <w:tcW w:w="4423" w:type="dxa"/>
            <w:vAlign w:val="center"/>
          </w:tcPr>
          <w:p w14:paraId="74E0BE25">
            <w:pPr>
              <w:spacing w:line="360" w:lineRule="auto"/>
              <w:rPr>
                <w:rFonts w:hint="eastAsia" w:ascii="宋体" w:hAnsi="宋体"/>
                <w:color w:val="auto"/>
                <w:szCs w:val="21"/>
                <w:highlight w:val="none"/>
              </w:rPr>
            </w:pPr>
          </w:p>
        </w:tc>
      </w:tr>
      <w:tr w14:paraId="2C6ED9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21035DF0">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193777DD">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第8.2（1）项</w:t>
            </w:r>
          </w:p>
        </w:tc>
        <w:tc>
          <w:tcPr>
            <w:tcW w:w="2376" w:type="dxa"/>
            <w:vAlign w:val="center"/>
          </w:tcPr>
          <w:p w14:paraId="7FFE0B2F">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color w:val="auto"/>
                <w:szCs w:val="21"/>
                <w:highlight w:val="none"/>
              </w:rPr>
              <w:t>质量保证期</w:t>
            </w:r>
          </w:p>
        </w:tc>
        <w:tc>
          <w:tcPr>
            <w:tcW w:w="4423" w:type="dxa"/>
            <w:vAlign w:val="center"/>
          </w:tcPr>
          <w:p w14:paraId="5000093A">
            <w:pPr>
              <w:autoSpaceDE w:val="0"/>
              <w:autoSpaceDN w:val="0"/>
              <w:adjustRightInd w:val="0"/>
              <w:snapToGrid w:val="0"/>
              <w:spacing w:line="360" w:lineRule="auto"/>
              <w:jc w:val="left"/>
              <w:rPr>
                <w:rFonts w:hint="eastAsia" w:ascii="宋体" w:hAnsi="宋体"/>
                <w:color w:val="auto"/>
                <w:szCs w:val="21"/>
                <w:highlight w:val="none"/>
              </w:rPr>
            </w:pPr>
          </w:p>
        </w:tc>
      </w:tr>
      <w:tr w14:paraId="7C5A39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33951F06">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7AD3EE09">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第8.2（3）项</w:t>
            </w:r>
          </w:p>
        </w:tc>
        <w:tc>
          <w:tcPr>
            <w:tcW w:w="2376" w:type="dxa"/>
            <w:vAlign w:val="center"/>
          </w:tcPr>
          <w:p w14:paraId="2F5FCCB3">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color w:val="auto"/>
                <w:szCs w:val="21"/>
                <w:highlight w:val="none"/>
              </w:rPr>
              <w:t>货物质量缺陷响应时间</w:t>
            </w:r>
          </w:p>
        </w:tc>
        <w:tc>
          <w:tcPr>
            <w:tcW w:w="4423" w:type="dxa"/>
            <w:vAlign w:val="center"/>
          </w:tcPr>
          <w:p w14:paraId="093CCB91">
            <w:pPr>
              <w:adjustRightInd w:val="0"/>
              <w:snapToGrid w:val="0"/>
              <w:spacing w:line="360" w:lineRule="auto"/>
              <w:jc w:val="left"/>
              <w:rPr>
                <w:rFonts w:hint="eastAsia" w:ascii="宋体" w:hAnsi="宋体"/>
                <w:color w:val="auto"/>
                <w:szCs w:val="21"/>
                <w:highlight w:val="none"/>
              </w:rPr>
            </w:pPr>
          </w:p>
        </w:tc>
      </w:tr>
      <w:tr w14:paraId="0B845B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2C630D3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第二节</w:t>
            </w:r>
          </w:p>
          <w:p w14:paraId="6EFFDF4F">
            <w:pPr>
              <w:pStyle w:val="338"/>
              <w:spacing w:line="360" w:lineRule="auto"/>
              <w:ind w:firstLine="0" w:firstLineChars="0"/>
              <w:jc w:val="center"/>
              <w:rPr>
                <w:rFonts w:hint="eastAsia" w:ascii="宋体" w:hAnsi="宋体" w:eastAsia="宋体"/>
                <w:color w:val="auto"/>
                <w:sz w:val="21"/>
                <w:highlight w:val="none"/>
              </w:rPr>
            </w:pPr>
            <w:r>
              <w:rPr>
                <w:rFonts w:hint="eastAsia" w:ascii="宋体" w:hAnsi="宋体" w:eastAsia="宋体" w:cs="宋体"/>
                <w:color w:val="auto"/>
                <w:sz w:val="21"/>
                <w:highlight w:val="none"/>
              </w:rPr>
              <w:t>第11.1款</w:t>
            </w:r>
          </w:p>
        </w:tc>
        <w:tc>
          <w:tcPr>
            <w:tcW w:w="2376" w:type="dxa"/>
            <w:vAlign w:val="center"/>
          </w:tcPr>
          <w:p w14:paraId="6926C718">
            <w:pPr>
              <w:adjustRightInd w:val="0"/>
              <w:snapToGrid w:val="0"/>
              <w:spacing w:before="120" w:beforeLines="50" w:line="360" w:lineRule="auto"/>
              <w:rPr>
                <w:rFonts w:hint="eastAsia" w:ascii="宋体" w:hAnsi="宋体"/>
                <w:color w:val="auto"/>
                <w:szCs w:val="21"/>
                <w:highlight w:val="none"/>
              </w:rPr>
            </w:pPr>
            <w:r>
              <w:rPr>
                <w:rFonts w:hint="eastAsia" w:ascii="宋体" w:hAnsi="宋体"/>
                <w:color w:val="auto"/>
                <w:szCs w:val="21"/>
                <w:highlight w:val="none"/>
              </w:rPr>
              <w:t>其他应当保密的信息</w:t>
            </w:r>
          </w:p>
        </w:tc>
        <w:tc>
          <w:tcPr>
            <w:tcW w:w="4423" w:type="dxa"/>
            <w:vAlign w:val="center"/>
          </w:tcPr>
          <w:p w14:paraId="0FB0C50E">
            <w:pPr>
              <w:adjustRightInd w:val="0"/>
              <w:snapToGrid w:val="0"/>
              <w:spacing w:line="360" w:lineRule="auto"/>
              <w:jc w:val="left"/>
              <w:rPr>
                <w:rFonts w:hint="eastAsia" w:ascii="宋体" w:hAnsi="宋体"/>
                <w:color w:val="auto"/>
                <w:szCs w:val="21"/>
                <w:highlight w:val="none"/>
              </w:rPr>
            </w:pPr>
          </w:p>
        </w:tc>
      </w:tr>
      <w:tr w14:paraId="5182AA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720" w:type="dxa"/>
            <w:vAlign w:val="center"/>
          </w:tcPr>
          <w:p w14:paraId="6FBE5237">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7364FBAB">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第12.2款</w:t>
            </w:r>
          </w:p>
        </w:tc>
        <w:tc>
          <w:tcPr>
            <w:tcW w:w="2376" w:type="dxa"/>
            <w:vAlign w:val="center"/>
          </w:tcPr>
          <w:p w14:paraId="0417BA59">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color w:val="auto"/>
                <w:szCs w:val="21"/>
                <w:highlight w:val="none"/>
              </w:rPr>
              <w:t>合同价款支付时间</w:t>
            </w:r>
          </w:p>
        </w:tc>
        <w:tc>
          <w:tcPr>
            <w:tcW w:w="4423" w:type="dxa"/>
            <w:vAlign w:val="center"/>
          </w:tcPr>
          <w:p w14:paraId="1D54991D">
            <w:pPr>
              <w:adjustRightInd w:val="0"/>
              <w:snapToGrid w:val="0"/>
              <w:spacing w:line="360" w:lineRule="auto"/>
              <w:jc w:val="left"/>
              <w:rPr>
                <w:rFonts w:hint="eastAsia" w:ascii="宋体" w:hAnsi="宋体"/>
                <w:color w:val="auto"/>
                <w:szCs w:val="21"/>
                <w:highlight w:val="none"/>
              </w:rPr>
            </w:pPr>
          </w:p>
        </w:tc>
      </w:tr>
      <w:tr w14:paraId="5F4E6A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720" w:type="dxa"/>
            <w:vAlign w:val="center"/>
          </w:tcPr>
          <w:p w14:paraId="1CD4D157">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2B6FB758">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第13.2款</w:t>
            </w:r>
          </w:p>
        </w:tc>
        <w:tc>
          <w:tcPr>
            <w:tcW w:w="2376" w:type="dxa"/>
            <w:vAlign w:val="center"/>
          </w:tcPr>
          <w:p w14:paraId="77D98268">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color w:val="auto"/>
                <w:szCs w:val="21"/>
                <w:highlight w:val="none"/>
              </w:rPr>
              <w:t>履约保证金不予退还的情形</w:t>
            </w:r>
          </w:p>
        </w:tc>
        <w:tc>
          <w:tcPr>
            <w:tcW w:w="4423" w:type="dxa"/>
            <w:vAlign w:val="center"/>
          </w:tcPr>
          <w:p w14:paraId="6E6CCF02">
            <w:pPr>
              <w:adjustRightInd w:val="0"/>
              <w:snapToGrid w:val="0"/>
              <w:spacing w:line="360" w:lineRule="auto"/>
              <w:jc w:val="left"/>
              <w:rPr>
                <w:rFonts w:hint="eastAsia" w:ascii="宋体" w:hAnsi="宋体"/>
                <w:color w:val="auto"/>
                <w:szCs w:val="21"/>
                <w:highlight w:val="none"/>
              </w:rPr>
            </w:pPr>
          </w:p>
        </w:tc>
      </w:tr>
      <w:tr w14:paraId="12BE92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5E4744F8">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6F2DCC89">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第13.3款</w:t>
            </w:r>
          </w:p>
        </w:tc>
        <w:tc>
          <w:tcPr>
            <w:tcW w:w="2376" w:type="dxa"/>
            <w:vAlign w:val="center"/>
          </w:tcPr>
          <w:p w14:paraId="4B0C99EE">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4423" w:type="dxa"/>
            <w:vAlign w:val="center"/>
          </w:tcPr>
          <w:p w14:paraId="3D7A2A89">
            <w:pPr>
              <w:adjustRightInd w:val="0"/>
              <w:snapToGrid w:val="0"/>
              <w:spacing w:line="360" w:lineRule="auto"/>
              <w:jc w:val="left"/>
              <w:rPr>
                <w:rFonts w:hint="eastAsia" w:ascii="宋体" w:hAnsi="宋体"/>
                <w:color w:val="auto"/>
                <w:szCs w:val="21"/>
                <w:highlight w:val="none"/>
              </w:rPr>
            </w:pPr>
          </w:p>
        </w:tc>
      </w:tr>
      <w:tr w14:paraId="76F3B4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720" w:type="dxa"/>
            <w:vAlign w:val="center"/>
          </w:tcPr>
          <w:p w14:paraId="3416662F">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5A5AF0BD">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第14.1（3）项</w:t>
            </w:r>
          </w:p>
        </w:tc>
        <w:tc>
          <w:tcPr>
            <w:tcW w:w="2376" w:type="dxa"/>
            <w:vAlign w:val="center"/>
          </w:tcPr>
          <w:p w14:paraId="6DD2706D">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color w:val="auto"/>
                <w:szCs w:val="21"/>
                <w:highlight w:val="none"/>
              </w:rPr>
              <w:t>运行监督、维修期限</w:t>
            </w:r>
          </w:p>
        </w:tc>
        <w:tc>
          <w:tcPr>
            <w:tcW w:w="4423" w:type="dxa"/>
            <w:vAlign w:val="center"/>
          </w:tcPr>
          <w:p w14:paraId="3D3009C6">
            <w:pPr>
              <w:adjustRightInd w:val="0"/>
              <w:snapToGrid w:val="0"/>
              <w:spacing w:line="360" w:lineRule="auto"/>
              <w:jc w:val="left"/>
              <w:rPr>
                <w:rFonts w:hint="eastAsia" w:ascii="宋体" w:hAnsi="宋体"/>
                <w:color w:val="auto"/>
                <w:szCs w:val="21"/>
                <w:highlight w:val="none"/>
              </w:rPr>
            </w:pPr>
          </w:p>
        </w:tc>
      </w:tr>
      <w:tr w14:paraId="79E5FB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720" w:type="dxa"/>
            <w:vAlign w:val="center"/>
          </w:tcPr>
          <w:p w14:paraId="7E586008">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1F691B81">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第14.1（5）项</w:t>
            </w:r>
          </w:p>
        </w:tc>
        <w:tc>
          <w:tcPr>
            <w:tcW w:w="2376" w:type="dxa"/>
            <w:vAlign w:val="center"/>
          </w:tcPr>
          <w:p w14:paraId="1E50DC70">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color w:val="auto"/>
                <w:szCs w:val="21"/>
                <w:highlight w:val="none"/>
              </w:rPr>
              <w:t>货物回收的约定</w:t>
            </w:r>
          </w:p>
        </w:tc>
        <w:tc>
          <w:tcPr>
            <w:tcW w:w="4423" w:type="dxa"/>
            <w:vAlign w:val="center"/>
          </w:tcPr>
          <w:p w14:paraId="1F256D7C">
            <w:pPr>
              <w:adjustRightInd w:val="0"/>
              <w:snapToGrid w:val="0"/>
              <w:spacing w:line="360" w:lineRule="auto"/>
              <w:jc w:val="left"/>
              <w:rPr>
                <w:rFonts w:hint="eastAsia" w:ascii="宋体" w:hAnsi="宋体"/>
                <w:color w:val="auto"/>
                <w:szCs w:val="21"/>
                <w:highlight w:val="none"/>
              </w:rPr>
            </w:pPr>
          </w:p>
        </w:tc>
      </w:tr>
      <w:tr w14:paraId="53AF9F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06F7B617">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681152D1">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第14.1（6）项</w:t>
            </w:r>
          </w:p>
        </w:tc>
        <w:tc>
          <w:tcPr>
            <w:tcW w:w="2376" w:type="dxa"/>
            <w:vAlign w:val="center"/>
          </w:tcPr>
          <w:p w14:paraId="7BA2FA2F">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color w:val="auto"/>
                <w:szCs w:val="21"/>
                <w:highlight w:val="none"/>
              </w:rPr>
              <w:t>乙方提供的其他服务</w:t>
            </w:r>
          </w:p>
        </w:tc>
        <w:tc>
          <w:tcPr>
            <w:tcW w:w="4423" w:type="dxa"/>
            <w:vAlign w:val="center"/>
          </w:tcPr>
          <w:p w14:paraId="3664CA3F">
            <w:pPr>
              <w:adjustRightInd w:val="0"/>
              <w:snapToGrid w:val="0"/>
              <w:spacing w:line="360" w:lineRule="auto"/>
              <w:jc w:val="left"/>
              <w:rPr>
                <w:rFonts w:hint="eastAsia" w:ascii="宋体" w:hAnsi="宋体"/>
                <w:color w:val="auto"/>
                <w:szCs w:val="21"/>
                <w:highlight w:val="none"/>
              </w:rPr>
            </w:pPr>
          </w:p>
        </w:tc>
      </w:tr>
      <w:tr w14:paraId="2328EF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13828444">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1118DC61">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第15.1款</w:t>
            </w:r>
          </w:p>
        </w:tc>
        <w:tc>
          <w:tcPr>
            <w:tcW w:w="2376" w:type="dxa"/>
            <w:vAlign w:val="center"/>
          </w:tcPr>
          <w:p w14:paraId="01CB2725">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color w:val="auto"/>
                <w:szCs w:val="21"/>
                <w:highlight w:val="none"/>
              </w:rPr>
              <w:t>修理、重作、更换相关具体规定</w:t>
            </w:r>
          </w:p>
        </w:tc>
        <w:tc>
          <w:tcPr>
            <w:tcW w:w="4423" w:type="dxa"/>
            <w:vAlign w:val="center"/>
          </w:tcPr>
          <w:p w14:paraId="69A968DE">
            <w:pPr>
              <w:adjustRightInd w:val="0"/>
              <w:snapToGrid w:val="0"/>
              <w:spacing w:line="360" w:lineRule="auto"/>
              <w:jc w:val="left"/>
              <w:rPr>
                <w:rFonts w:hint="eastAsia" w:ascii="宋体" w:hAnsi="宋体"/>
                <w:color w:val="auto"/>
                <w:szCs w:val="21"/>
                <w:highlight w:val="none"/>
              </w:rPr>
            </w:pPr>
          </w:p>
        </w:tc>
      </w:tr>
      <w:tr w14:paraId="148A7E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748681EB">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6732FAA5">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第15.2（2）项</w:t>
            </w:r>
          </w:p>
        </w:tc>
        <w:tc>
          <w:tcPr>
            <w:tcW w:w="2376" w:type="dxa"/>
            <w:vAlign w:val="center"/>
          </w:tcPr>
          <w:p w14:paraId="29C689E6">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color w:val="auto"/>
                <w:szCs w:val="21"/>
                <w:highlight w:val="none"/>
              </w:rPr>
              <w:t>迟延交货赔偿费</w:t>
            </w:r>
          </w:p>
        </w:tc>
        <w:tc>
          <w:tcPr>
            <w:tcW w:w="4423" w:type="dxa"/>
            <w:vAlign w:val="center"/>
          </w:tcPr>
          <w:p w14:paraId="40A4FCFE">
            <w:pPr>
              <w:adjustRightInd w:val="0"/>
              <w:snapToGrid w:val="0"/>
              <w:spacing w:line="360" w:lineRule="auto"/>
              <w:jc w:val="left"/>
              <w:rPr>
                <w:rFonts w:hint="eastAsia" w:ascii="宋体" w:hAnsi="宋体"/>
                <w:color w:val="auto"/>
                <w:szCs w:val="21"/>
                <w:highlight w:val="none"/>
                <w:u w:val="single"/>
              </w:rPr>
            </w:pPr>
          </w:p>
        </w:tc>
      </w:tr>
      <w:tr w14:paraId="4022D3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720" w:type="dxa"/>
            <w:vAlign w:val="center"/>
          </w:tcPr>
          <w:p w14:paraId="20187A3E">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66165ED5">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第15.3款</w:t>
            </w:r>
          </w:p>
        </w:tc>
        <w:tc>
          <w:tcPr>
            <w:tcW w:w="2376" w:type="dxa"/>
            <w:vAlign w:val="center"/>
          </w:tcPr>
          <w:p w14:paraId="03410812">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color w:val="auto"/>
                <w:szCs w:val="21"/>
                <w:highlight w:val="none"/>
              </w:rPr>
              <w:t>逾期付款利息</w:t>
            </w:r>
          </w:p>
        </w:tc>
        <w:tc>
          <w:tcPr>
            <w:tcW w:w="4423" w:type="dxa"/>
            <w:vAlign w:val="center"/>
          </w:tcPr>
          <w:p w14:paraId="70DF4339">
            <w:pPr>
              <w:adjustRightInd w:val="0"/>
              <w:snapToGrid w:val="0"/>
              <w:spacing w:line="360" w:lineRule="auto"/>
              <w:jc w:val="left"/>
              <w:rPr>
                <w:rFonts w:hint="eastAsia" w:ascii="宋体" w:hAnsi="宋体"/>
                <w:color w:val="auto"/>
                <w:szCs w:val="21"/>
                <w:highlight w:val="none"/>
                <w:u w:val="single"/>
              </w:rPr>
            </w:pPr>
          </w:p>
        </w:tc>
      </w:tr>
      <w:tr w14:paraId="16EFEE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720" w:type="dxa"/>
            <w:tcBorders>
              <w:bottom w:val="single" w:color="auto" w:sz="2" w:space="0"/>
              <w:right w:val="single" w:color="auto" w:sz="2" w:space="0"/>
            </w:tcBorders>
            <w:vAlign w:val="center"/>
          </w:tcPr>
          <w:p w14:paraId="132248D7">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25511CA6">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第15.4款</w:t>
            </w:r>
          </w:p>
        </w:tc>
        <w:tc>
          <w:tcPr>
            <w:tcW w:w="2376" w:type="dxa"/>
            <w:tcBorders>
              <w:left w:val="single" w:color="auto" w:sz="2" w:space="0"/>
              <w:bottom w:val="single" w:color="auto" w:sz="2" w:space="0"/>
              <w:right w:val="single" w:color="auto" w:sz="2" w:space="0"/>
            </w:tcBorders>
            <w:vAlign w:val="center"/>
          </w:tcPr>
          <w:p w14:paraId="33C4DD27">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color w:val="auto"/>
                <w:szCs w:val="21"/>
                <w:highlight w:val="none"/>
              </w:rPr>
              <w:t>其他违约责任</w:t>
            </w:r>
          </w:p>
        </w:tc>
        <w:tc>
          <w:tcPr>
            <w:tcW w:w="4423" w:type="dxa"/>
            <w:tcBorders>
              <w:left w:val="single" w:color="auto" w:sz="2" w:space="0"/>
              <w:bottom w:val="single" w:color="auto" w:sz="2" w:space="0"/>
            </w:tcBorders>
            <w:vAlign w:val="center"/>
          </w:tcPr>
          <w:p w14:paraId="2264FAA2">
            <w:pPr>
              <w:adjustRightInd w:val="0"/>
              <w:snapToGrid w:val="0"/>
              <w:spacing w:line="360" w:lineRule="auto"/>
              <w:jc w:val="left"/>
              <w:rPr>
                <w:rFonts w:hint="eastAsia" w:ascii="宋体" w:hAnsi="宋体"/>
                <w:color w:val="auto"/>
                <w:szCs w:val="21"/>
                <w:highlight w:val="none"/>
                <w:u w:val="single"/>
              </w:rPr>
            </w:pPr>
          </w:p>
        </w:tc>
      </w:tr>
      <w:tr w14:paraId="4B37D3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720" w:type="dxa"/>
            <w:tcBorders>
              <w:top w:val="single" w:color="auto" w:sz="2" w:space="0"/>
              <w:right w:val="single" w:color="auto" w:sz="2" w:space="0"/>
            </w:tcBorders>
            <w:vAlign w:val="center"/>
          </w:tcPr>
          <w:p w14:paraId="0D8C09FF">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506821A0">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第19.2款</w:t>
            </w:r>
          </w:p>
        </w:tc>
        <w:tc>
          <w:tcPr>
            <w:tcW w:w="2376" w:type="dxa"/>
            <w:tcBorders>
              <w:top w:val="single" w:color="auto" w:sz="2" w:space="0"/>
              <w:left w:val="single" w:color="auto" w:sz="2" w:space="0"/>
              <w:right w:val="single" w:color="auto" w:sz="2" w:space="0"/>
            </w:tcBorders>
            <w:vAlign w:val="center"/>
          </w:tcPr>
          <w:p w14:paraId="45DED47C">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color w:val="auto"/>
                <w:szCs w:val="21"/>
                <w:highlight w:val="none"/>
              </w:rPr>
              <w:t>解决争议的方法</w:t>
            </w:r>
          </w:p>
        </w:tc>
        <w:tc>
          <w:tcPr>
            <w:tcW w:w="4423" w:type="dxa"/>
            <w:tcBorders>
              <w:top w:val="single" w:color="auto" w:sz="2" w:space="0"/>
              <w:left w:val="single" w:color="auto" w:sz="2" w:space="0"/>
            </w:tcBorders>
            <w:vAlign w:val="center"/>
          </w:tcPr>
          <w:p w14:paraId="108A7F54">
            <w:pPr>
              <w:autoSpaceDE w:val="0"/>
              <w:autoSpaceDN w:val="0"/>
              <w:adjustRightInd w:val="0"/>
              <w:snapToGrid w:val="0"/>
              <w:spacing w:before="120" w:beforeLines="50" w:line="360" w:lineRule="auto"/>
              <w:jc w:val="left"/>
              <w:rPr>
                <w:rFonts w:hint="eastAsia"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种方式解决：</w:t>
            </w:r>
          </w:p>
          <w:p w14:paraId="2C436AAC">
            <w:pPr>
              <w:autoSpaceDE w:val="0"/>
              <w:autoSpaceDN w:val="0"/>
              <w:adjustRightInd w:val="0"/>
              <w:snapToGrid w:val="0"/>
              <w:spacing w:line="360" w:lineRule="auto"/>
              <w:jc w:val="left"/>
              <w:rPr>
                <w:rFonts w:hint="eastAsia"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14:paraId="316001F5">
            <w:pPr>
              <w:adjustRightInd w:val="0"/>
              <w:snapToGrid w:val="0"/>
              <w:spacing w:line="360" w:lineRule="auto"/>
              <w:jc w:val="left"/>
              <w:rPr>
                <w:rFonts w:hint="eastAsia" w:ascii="宋体" w:hAnsi="宋体"/>
                <w:color w:val="auto"/>
                <w:szCs w:val="21"/>
                <w:highlight w:val="none"/>
                <w:u w:val="singl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人民法院起诉。</w:t>
            </w:r>
          </w:p>
        </w:tc>
      </w:tr>
      <w:tr w14:paraId="60348F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720" w:type="dxa"/>
            <w:vAlign w:val="center"/>
          </w:tcPr>
          <w:p w14:paraId="37C11647">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第二节</w:t>
            </w:r>
          </w:p>
          <w:p w14:paraId="058067A1">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第23.1款</w:t>
            </w:r>
          </w:p>
        </w:tc>
        <w:tc>
          <w:tcPr>
            <w:tcW w:w="2376" w:type="dxa"/>
            <w:vAlign w:val="center"/>
          </w:tcPr>
          <w:p w14:paraId="2A144A0E">
            <w:pPr>
              <w:adjustRightInd w:val="0"/>
              <w:snapToGrid w:val="0"/>
              <w:spacing w:before="120" w:beforeLines="50" w:line="360" w:lineRule="auto"/>
              <w:jc w:val="left"/>
              <w:rPr>
                <w:rFonts w:hint="eastAsia" w:ascii="宋体" w:hAnsi="宋体"/>
                <w:color w:val="auto"/>
                <w:szCs w:val="21"/>
                <w:highlight w:val="none"/>
              </w:rPr>
            </w:pPr>
            <w:r>
              <w:rPr>
                <w:rFonts w:hint="eastAsia" w:ascii="宋体" w:hAnsi="宋体"/>
                <w:bCs/>
                <w:color w:val="auto"/>
                <w:szCs w:val="21"/>
                <w:highlight w:val="none"/>
              </w:rPr>
              <w:t>其他专用条款</w:t>
            </w:r>
          </w:p>
        </w:tc>
        <w:tc>
          <w:tcPr>
            <w:tcW w:w="4423" w:type="dxa"/>
            <w:vAlign w:val="center"/>
          </w:tcPr>
          <w:p w14:paraId="6769C843">
            <w:pPr>
              <w:adjustRightInd w:val="0"/>
              <w:snapToGrid w:val="0"/>
              <w:spacing w:before="120" w:beforeLines="50" w:line="360" w:lineRule="auto"/>
              <w:jc w:val="left"/>
              <w:rPr>
                <w:rFonts w:hint="eastAsia" w:ascii="宋体" w:hAnsi="宋体"/>
                <w:color w:val="auto"/>
                <w:szCs w:val="21"/>
                <w:highlight w:val="none"/>
              </w:rPr>
            </w:pPr>
          </w:p>
        </w:tc>
      </w:tr>
    </w:tbl>
    <w:p w14:paraId="5B76CC6F">
      <w:pPr>
        <w:spacing w:line="360" w:lineRule="auto"/>
        <w:rPr>
          <w:rFonts w:hint="eastAsia" w:ascii="宋体" w:hAnsi="宋体"/>
          <w:color w:val="auto"/>
          <w:szCs w:val="21"/>
          <w:highlight w:val="none"/>
        </w:rPr>
      </w:pPr>
    </w:p>
    <w:p w14:paraId="778D99F5">
      <w:pPr>
        <w:spacing w:line="360" w:lineRule="auto"/>
        <w:rPr>
          <w:rFonts w:hint="eastAsia" w:ascii="宋体" w:hAnsi="宋体"/>
          <w:color w:val="auto"/>
          <w:szCs w:val="21"/>
          <w:highlight w:val="none"/>
        </w:rPr>
      </w:pPr>
    </w:p>
    <w:p w14:paraId="0E5851D4">
      <w:pPr>
        <w:tabs>
          <w:tab w:val="left" w:pos="709"/>
        </w:tabs>
        <w:spacing w:line="360" w:lineRule="auto"/>
        <w:ind w:firstLine="420" w:firstLineChars="200"/>
        <w:rPr>
          <w:rFonts w:hint="eastAsia" w:ascii="宋体" w:hAnsi="宋体"/>
          <w:color w:val="auto"/>
          <w:kern w:val="32"/>
          <w:szCs w:val="21"/>
          <w:highlight w:val="none"/>
        </w:rPr>
      </w:pPr>
    </w:p>
    <w:p w14:paraId="6D47F560">
      <w:pPr>
        <w:tabs>
          <w:tab w:val="left" w:pos="709"/>
        </w:tabs>
        <w:spacing w:line="360" w:lineRule="auto"/>
        <w:ind w:firstLine="420" w:firstLineChars="200"/>
        <w:rPr>
          <w:rFonts w:hint="eastAsia" w:ascii="宋体" w:hAnsi="宋体"/>
          <w:color w:val="auto"/>
          <w:kern w:val="32"/>
          <w:szCs w:val="21"/>
          <w:highlight w:val="none"/>
        </w:rPr>
      </w:pPr>
    </w:p>
    <w:p w14:paraId="7C9D4906">
      <w:pPr>
        <w:tabs>
          <w:tab w:val="left" w:pos="709"/>
        </w:tabs>
        <w:spacing w:line="360" w:lineRule="auto"/>
        <w:ind w:firstLine="420" w:firstLineChars="200"/>
        <w:rPr>
          <w:rFonts w:hint="eastAsia" w:ascii="宋体" w:hAnsi="宋体"/>
          <w:color w:val="auto"/>
          <w:kern w:val="32"/>
          <w:szCs w:val="21"/>
          <w:highlight w:val="none"/>
        </w:rPr>
      </w:pPr>
    </w:p>
    <w:p w14:paraId="390773C6">
      <w:pPr>
        <w:widowControl/>
        <w:jc w:val="left"/>
        <w:rPr>
          <w:rFonts w:hint="eastAsia" w:asciiTheme="minorEastAsia" w:hAnsiTheme="minorEastAsia" w:eastAsiaTheme="minorEastAsia" w:cstheme="minorHAnsi"/>
          <w:b/>
          <w:bCs/>
          <w:smallCaps/>
          <w:color w:val="auto"/>
          <w:sz w:val="32"/>
          <w:szCs w:val="32"/>
          <w:highlight w:val="none"/>
        </w:rPr>
      </w:pPr>
      <w:r>
        <w:rPr>
          <w:rFonts w:hint="eastAsia" w:asciiTheme="minorEastAsia" w:hAnsiTheme="minorEastAsia" w:eastAsiaTheme="minorEastAsia"/>
          <w:b/>
          <w:bCs/>
          <w:color w:val="auto"/>
          <w:sz w:val="32"/>
          <w:szCs w:val="32"/>
          <w:highlight w:val="none"/>
        </w:rPr>
        <w:br w:type="page"/>
      </w:r>
    </w:p>
    <w:p w14:paraId="6DF151DD">
      <w:pPr>
        <w:pStyle w:val="42"/>
        <w:tabs>
          <w:tab w:val="right" w:leader="dot" w:pos="8948"/>
        </w:tabs>
        <w:spacing w:line="360" w:lineRule="auto"/>
        <w:ind w:left="0"/>
        <w:jc w:val="center"/>
        <w:outlineLvl w:val="0"/>
        <w:rPr>
          <w:rFonts w:hint="eastAsia" w:asciiTheme="minorEastAsia" w:hAnsiTheme="minorEastAsia" w:eastAsiaTheme="minorEastAsia"/>
          <w:b/>
          <w:bCs/>
          <w:color w:val="auto"/>
          <w:sz w:val="32"/>
          <w:szCs w:val="32"/>
          <w:highlight w:val="none"/>
        </w:rPr>
      </w:pPr>
      <w:bookmarkStart w:id="1053" w:name="_Toc180143783"/>
      <w:r>
        <w:rPr>
          <w:rFonts w:hint="eastAsia" w:asciiTheme="minorEastAsia" w:hAnsiTheme="minorEastAsia" w:eastAsiaTheme="minorEastAsia"/>
          <w:b/>
          <w:bCs/>
          <w:color w:val="auto"/>
          <w:sz w:val="32"/>
          <w:szCs w:val="32"/>
          <w:highlight w:val="none"/>
        </w:rPr>
        <w:t>第四章 投标文件格式</w:t>
      </w:r>
      <w:bookmarkEnd w:id="1053"/>
    </w:p>
    <w:p w14:paraId="5DDE6A71">
      <w:pPr>
        <w:tabs>
          <w:tab w:val="left" w:pos="2916"/>
        </w:tabs>
        <w:spacing w:before="120" w:beforeLines="50" w:line="276" w:lineRule="auto"/>
        <w:jc w:val="center"/>
        <w:rPr>
          <w:rFonts w:hint="eastAsia" w:asciiTheme="minorEastAsia" w:hAnsiTheme="minorEastAsia" w:eastAsiaTheme="minorEastAsia"/>
          <w:b/>
          <w:bCs/>
          <w:color w:val="auto"/>
          <w:sz w:val="44"/>
          <w:szCs w:val="44"/>
          <w:highlight w:val="none"/>
        </w:rPr>
      </w:pPr>
      <w:bookmarkStart w:id="1054" w:name="_Hlk521082080"/>
      <w:bookmarkStart w:id="1055" w:name="_Toc292983027"/>
      <w:bookmarkStart w:id="1056" w:name="_Toc381796416"/>
      <w:bookmarkStart w:id="1057" w:name="_Toc37603116"/>
      <w:bookmarkStart w:id="1058" w:name="_Toc14337"/>
      <w:bookmarkStart w:id="1059" w:name="_Toc265766858"/>
      <w:bookmarkStart w:id="1060" w:name="_Toc186354393"/>
      <w:bookmarkStart w:id="1061" w:name="_Toc292983029"/>
      <w:bookmarkStart w:id="1062" w:name="_Toc381796417"/>
      <w:bookmarkStart w:id="1063" w:name="_Toc84356306"/>
      <w:bookmarkStart w:id="1064" w:name="_Toc42205044"/>
      <w:r>
        <w:rPr>
          <w:rFonts w:hint="eastAsia" w:asciiTheme="minorEastAsia" w:hAnsiTheme="minorEastAsia" w:eastAsiaTheme="minorEastAsia"/>
          <w:b/>
          <w:bCs/>
          <w:color w:val="auto"/>
          <w:sz w:val="44"/>
          <w:szCs w:val="44"/>
          <w:highlight w:val="none"/>
        </w:rPr>
        <w:t>昆明市第二十四中学理化生实验室升级改造</w:t>
      </w:r>
    </w:p>
    <w:p w14:paraId="38A66544">
      <w:pPr>
        <w:tabs>
          <w:tab w:val="left" w:pos="2916"/>
        </w:tabs>
        <w:spacing w:line="276" w:lineRule="auto"/>
        <w:jc w:val="center"/>
        <w:rPr>
          <w:rFonts w:hint="eastAsia" w:asciiTheme="minorEastAsia" w:hAnsiTheme="minorEastAsia" w:eastAsiaTheme="minorEastAsia"/>
          <w:b/>
          <w:bCs/>
          <w:color w:val="auto"/>
          <w:sz w:val="44"/>
          <w:szCs w:val="44"/>
          <w:highlight w:val="none"/>
        </w:rPr>
      </w:pPr>
      <w:r>
        <w:rPr>
          <w:rFonts w:hint="eastAsia" w:asciiTheme="minorEastAsia" w:hAnsiTheme="minorEastAsia" w:eastAsiaTheme="minorEastAsia"/>
          <w:b/>
          <w:bCs/>
          <w:color w:val="auto"/>
          <w:sz w:val="44"/>
          <w:szCs w:val="44"/>
          <w:highlight w:val="none"/>
        </w:rPr>
        <w:t>设备采购项目</w:t>
      </w:r>
    </w:p>
    <w:p w14:paraId="6287B0FA">
      <w:pPr>
        <w:spacing w:line="360" w:lineRule="auto"/>
        <w:ind w:firstLine="480"/>
        <w:jc w:val="center"/>
        <w:rPr>
          <w:rFonts w:hint="eastAsia" w:asciiTheme="minorEastAsia" w:hAnsiTheme="minorEastAsia" w:eastAsiaTheme="minorEastAsia"/>
          <w:color w:val="auto"/>
          <w:sz w:val="24"/>
          <w:szCs w:val="24"/>
          <w:highlight w:val="none"/>
        </w:rPr>
      </w:pPr>
    </w:p>
    <w:p w14:paraId="0A9D4768">
      <w:pPr>
        <w:spacing w:line="360" w:lineRule="auto"/>
        <w:ind w:firstLine="480"/>
        <w:jc w:val="center"/>
        <w:rPr>
          <w:rFonts w:hint="eastAsia" w:asciiTheme="minorEastAsia" w:hAnsiTheme="minorEastAsia" w:eastAsiaTheme="minorEastAsia"/>
          <w:color w:val="auto"/>
          <w:sz w:val="24"/>
          <w:szCs w:val="24"/>
          <w:highlight w:val="none"/>
        </w:rPr>
      </w:pPr>
    </w:p>
    <w:p w14:paraId="4EC9196D">
      <w:pPr>
        <w:spacing w:line="360" w:lineRule="auto"/>
        <w:ind w:firstLine="480"/>
        <w:jc w:val="center"/>
        <w:rPr>
          <w:rFonts w:hint="eastAsia" w:asciiTheme="minorEastAsia" w:hAnsiTheme="minorEastAsia" w:eastAsiaTheme="minorEastAsia"/>
          <w:color w:val="auto"/>
          <w:sz w:val="24"/>
          <w:szCs w:val="24"/>
          <w:highlight w:val="none"/>
        </w:rPr>
      </w:pPr>
    </w:p>
    <w:p w14:paraId="13E150BA">
      <w:pPr>
        <w:spacing w:line="360" w:lineRule="auto"/>
        <w:ind w:firstLine="480"/>
        <w:jc w:val="center"/>
        <w:rPr>
          <w:rFonts w:hint="eastAsia" w:asciiTheme="minorEastAsia" w:hAnsiTheme="minorEastAsia" w:eastAsiaTheme="minorEastAsia"/>
          <w:color w:val="auto"/>
          <w:sz w:val="24"/>
          <w:szCs w:val="24"/>
          <w:highlight w:val="none"/>
        </w:rPr>
      </w:pPr>
    </w:p>
    <w:p w14:paraId="45E2B926">
      <w:pPr>
        <w:spacing w:line="360" w:lineRule="auto"/>
        <w:ind w:firstLine="480"/>
        <w:jc w:val="center"/>
        <w:rPr>
          <w:rFonts w:hint="eastAsia" w:asciiTheme="minorEastAsia" w:hAnsiTheme="minorEastAsia" w:eastAsiaTheme="minorEastAsia"/>
          <w:color w:val="auto"/>
          <w:sz w:val="24"/>
          <w:szCs w:val="24"/>
          <w:highlight w:val="none"/>
        </w:rPr>
      </w:pPr>
    </w:p>
    <w:p w14:paraId="25E5CEE2">
      <w:pPr>
        <w:spacing w:line="360" w:lineRule="auto"/>
        <w:ind w:firstLine="480"/>
        <w:jc w:val="center"/>
        <w:rPr>
          <w:rFonts w:hint="eastAsia" w:asciiTheme="minorEastAsia" w:hAnsiTheme="minorEastAsia" w:eastAsiaTheme="minorEastAsia"/>
          <w:color w:val="auto"/>
          <w:sz w:val="24"/>
          <w:szCs w:val="24"/>
          <w:highlight w:val="none"/>
        </w:rPr>
      </w:pPr>
    </w:p>
    <w:p w14:paraId="7C3E730A">
      <w:pPr>
        <w:spacing w:line="360" w:lineRule="auto"/>
        <w:ind w:firstLine="480"/>
        <w:jc w:val="center"/>
        <w:rPr>
          <w:rFonts w:hint="eastAsia" w:asciiTheme="minorEastAsia" w:hAnsiTheme="minorEastAsia" w:eastAsiaTheme="minorEastAsia"/>
          <w:color w:val="auto"/>
          <w:sz w:val="24"/>
          <w:szCs w:val="24"/>
          <w:highlight w:val="none"/>
        </w:rPr>
      </w:pPr>
    </w:p>
    <w:p w14:paraId="02D036A8">
      <w:pPr>
        <w:spacing w:line="360" w:lineRule="auto"/>
        <w:ind w:firstLine="480"/>
        <w:jc w:val="center"/>
        <w:rPr>
          <w:rFonts w:hint="eastAsia" w:asciiTheme="minorEastAsia" w:hAnsiTheme="minorEastAsia" w:eastAsiaTheme="minorEastAsia"/>
          <w:color w:val="auto"/>
          <w:sz w:val="24"/>
          <w:szCs w:val="24"/>
          <w:highlight w:val="none"/>
        </w:rPr>
      </w:pPr>
    </w:p>
    <w:p w14:paraId="08CD6D6D">
      <w:pPr>
        <w:pStyle w:val="28"/>
        <w:jc w:val="center"/>
        <w:rPr>
          <w:rFonts w:hint="eastAsia" w:asciiTheme="minorEastAsia" w:hAnsiTheme="minorEastAsia" w:eastAsiaTheme="minorEastAsia"/>
          <w:b/>
          <w:bCs/>
          <w:color w:val="auto"/>
          <w:sz w:val="72"/>
          <w:szCs w:val="72"/>
          <w:highlight w:val="none"/>
        </w:rPr>
      </w:pPr>
      <w:r>
        <w:rPr>
          <w:rFonts w:hint="eastAsia" w:asciiTheme="minorEastAsia" w:hAnsiTheme="minorEastAsia" w:eastAsiaTheme="minorEastAsia"/>
          <w:b/>
          <w:bCs/>
          <w:color w:val="auto"/>
          <w:sz w:val="72"/>
          <w:szCs w:val="72"/>
          <w:highlight w:val="none"/>
        </w:rPr>
        <w:t>投 标 文 件</w:t>
      </w:r>
    </w:p>
    <w:p w14:paraId="4BEBB063">
      <w:pPr>
        <w:spacing w:before="120" w:beforeLines="50" w:line="360" w:lineRule="auto"/>
        <w:jc w:val="center"/>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项目编号：YNMY-2024-0184</w:t>
      </w:r>
    </w:p>
    <w:p w14:paraId="2BDAA2DE">
      <w:pPr>
        <w:spacing w:line="360" w:lineRule="auto"/>
        <w:ind w:firstLine="480"/>
        <w:jc w:val="center"/>
        <w:rPr>
          <w:rFonts w:hint="eastAsia" w:asciiTheme="minorEastAsia" w:hAnsiTheme="minorEastAsia" w:eastAsiaTheme="minorEastAsia"/>
          <w:color w:val="auto"/>
          <w:sz w:val="24"/>
          <w:highlight w:val="none"/>
        </w:rPr>
      </w:pPr>
    </w:p>
    <w:p w14:paraId="7DA6F231">
      <w:pPr>
        <w:spacing w:line="360" w:lineRule="auto"/>
        <w:ind w:firstLine="480"/>
        <w:jc w:val="center"/>
        <w:rPr>
          <w:rFonts w:hint="eastAsia" w:asciiTheme="minorEastAsia" w:hAnsiTheme="minorEastAsia" w:eastAsiaTheme="minorEastAsia"/>
          <w:color w:val="auto"/>
          <w:sz w:val="24"/>
          <w:highlight w:val="none"/>
        </w:rPr>
      </w:pPr>
    </w:p>
    <w:p w14:paraId="08A62FF3">
      <w:pPr>
        <w:spacing w:line="360" w:lineRule="auto"/>
        <w:ind w:firstLine="480"/>
        <w:jc w:val="center"/>
        <w:rPr>
          <w:rFonts w:hint="eastAsia" w:asciiTheme="minorEastAsia" w:hAnsiTheme="minorEastAsia" w:eastAsiaTheme="minorEastAsia"/>
          <w:color w:val="auto"/>
          <w:sz w:val="24"/>
          <w:highlight w:val="none"/>
        </w:rPr>
      </w:pPr>
    </w:p>
    <w:p w14:paraId="6A8A315A">
      <w:pPr>
        <w:spacing w:line="360" w:lineRule="auto"/>
        <w:ind w:firstLine="480"/>
        <w:jc w:val="center"/>
        <w:rPr>
          <w:rFonts w:hint="eastAsia" w:asciiTheme="minorEastAsia" w:hAnsiTheme="minorEastAsia" w:eastAsiaTheme="minorEastAsia"/>
          <w:color w:val="auto"/>
          <w:sz w:val="24"/>
          <w:highlight w:val="none"/>
        </w:rPr>
      </w:pPr>
    </w:p>
    <w:p w14:paraId="52942CC0">
      <w:pPr>
        <w:spacing w:line="360" w:lineRule="auto"/>
        <w:ind w:firstLine="480"/>
        <w:jc w:val="center"/>
        <w:rPr>
          <w:rFonts w:hint="eastAsia" w:asciiTheme="minorEastAsia" w:hAnsiTheme="minorEastAsia" w:eastAsiaTheme="minorEastAsia"/>
          <w:color w:val="auto"/>
          <w:sz w:val="24"/>
          <w:highlight w:val="none"/>
        </w:rPr>
      </w:pPr>
    </w:p>
    <w:p w14:paraId="1985A089">
      <w:pPr>
        <w:spacing w:line="360" w:lineRule="auto"/>
        <w:ind w:firstLine="480"/>
        <w:jc w:val="center"/>
        <w:rPr>
          <w:rFonts w:hint="eastAsia" w:asciiTheme="minorEastAsia" w:hAnsiTheme="minorEastAsia" w:eastAsiaTheme="minorEastAsia"/>
          <w:color w:val="auto"/>
          <w:sz w:val="24"/>
          <w:highlight w:val="none"/>
        </w:rPr>
      </w:pPr>
    </w:p>
    <w:p w14:paraId="366C78FE">
      <w:pPr>
        <w:spacing w:line="360" w:lineRule="auto"/>
        <w:ind w:firstLine="480"/>
        <w:rPr>
          <w:rFonts w:hint="eastAsia" w:asciiTheme="minorEastAsia" w:hAnsiTheme="minorEastAsia" w:eastAsiaTheme="minorEastAsia"/>
          <w:color w:val="auto"/>
          <w:sz w:val="24"/>
          <w:highlight w:val="none"/>
        </w:rPr>
      </w:pPr>
    </w:p>
    <w:p w14:paraId="7A6A7E37">
      <w:pPr>
        <w:spacing w:line="360" w:lineRule="auto"/>
        <w:ind w:firstLine="480"/>
        <w:rPr>
          <w:rFonts w:hint="eastAsia" w:asciiTheme="minorEastAsia" w:hAnsiTheme="minorEastAsia" w:eastAsiaTheme="minorEastAsia"/>
          <w:color w:val="auto"/>
          <w:sz w:val="24"/>
          <w:highlight w:val="none"/>
        </w:rPr>
      </w:pPr>
    </w:p>
    <w:p w14:paraId="6278EAEE">
      <w:pPr>
        <w:spacing w:line="360" w:lineRule="auto"/>
        <w:ind w:firstLine="993" w:firstLineChars="309"/>
        <w:jc w:val="left"/>
        <w:rPr>
          <w:rFonts w:hint="eastAsia"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供应商</w:t>
      </w:r>
      <w:r>
        <w:rPr>
          <w:rFonts w:asciiTheme="minorEastAsia" w:hAnsiTheme="minorEastAsia" w:eastAsiaTheme="minorEastAsia"/>
          <w:b/>
          <w:bCs/>
          <w:color w:val="auto"/>
          <w:sz w:val="32"/>
          <w:szCs w:val="32"/>
          <w:highlight w:val="none"/>
        </w:rPr>
        <w:t>（</w:t>
      </w:r>
      <w:r>
        <w:rPr>
          <w:rFonts w:hint="eastAsia" w:asciiTheme="minorEastAsia" w:hAnsiTheme="minorEastAsia" w:eastAsiaTheme="minorEastAsia"/>
          <w:b/>
          <w:bCs/>
          <w:color w:val="auto"/>
          <w:sz w:val="32"/>
          <w:szCs w:val="32"/>
          <w:highlight w:val="none"/>
        </w:rPr>
        <w:t>电子签章</w:t>
      </w:r>
      <w:r>
        <w:rPr>
          <w:rFonts w:asciiTheme="minorEastAsia" w:hAnsiTheme="minorEastAsia" w:eastAsiaTheme="minorEastAsia"/>
          <w:b/>
          <w:bCs/>
          <w:color w:val="auto"/>
          <w:sz w:val="32"/>
          <w:szCs w:val="32"/>
          <w:highlight w:val="none"/>
        </w:rPr>
        <w:t>）：</w:t>
      </w:r>
      <w:r>
        <w:rPr>
          <w:rFonts w:asciiTheme="minorEastAsia" w:hAnsiTheme="minorEastAsia" w:eastAsiaTheme="minorEastAsia"/>
          <w:b/>
          <w:bCs/>
          <w:color w:val="auto"/>
          <w:sz w:val="32"/>
          <w:szCs w:val="32"/>
          <w:highlight w:val="none"/>
          <w:u w:val="single"/>
        </w:rPr>
        <w:t xml:space="preserve">               </w:t>
      </w:r>
      <w:r>
        <w:rPr>
          <w:rFonts w:hint="eastAsia" w:asciiTheme="minorEastAsia" w:hAnsiTheme="minorEastAsia" w:eastAsiaTheme="minorEastAsia"/>
          <w:b/>
          <w:bCs/>
          <w:color w:val="auto"/>
          <w:sz w:val="32"/>
          <w:szCs w:val="32"/>
          <w:highlight w:val="none"/>
          <w:u w:val="single"/>
        </w:rPr>
        <w:t xml:space="preserve">    </w:t>
      </w:r>
      <w:r>
        <w:rPr>
          <w:rFonts w:asciiTheme="minorEastAsia" w:hAnsiTheme="minorEastAsia" w:eastAsiaTheme="minorEastAsia"/>
          <w:b/>
          <w:bCs/>
          <w:color w:val="auto"/>
          <w:sz w:val="32"/>
          <w:szCs w:val="32"/>
          <w:highlight w:val="none"/>
          <w:u w:val="single"/>
        </w:rPr>
        <w:t xml:space="preserve"> </w:t>
      </w:r>
    </w:p>
    <w:p w14:paraId="53D99C7A">
      <w:pPr>
        <w:spacing w:line="360" w:lineRule="auto"/>
        <w:ind w:firstLine="957" w:firstLineChars="298"/>
        <w:jc w:val="left"/>
        <w:rPr>
          <w:rFonts w:hint="eastAsia" w:asciiTheme="minorEastAsia" w:hAnsiTheme="minorEastAsia" w:eastAsiaTheme="minorEastAsia"/>
          <w:b/>
          <w:bCs/>
          <w:color w:val="auto"/>
          <w:sz w:val="32"/>
          <w:szCs w:val="32"/>
          <w:highlight w:val="none"/>
        </w:rPr>
      </w:pPr>
      <w:r>
        <w:rPr>
          <w:rFonts w:asciiTheme="minorEastAsia" w:hAnsiTheme="minorEastAsia" w:eastAsiaTheme="minorEastAsia"/>
          <w:b/>
          <w:bCs/>
          <w:color w:val="auto"/>
          <w:sz w:val="32"/>
          <w:szCs w:val="32"/>
          <w:highlight w:val="none"/>
        </w:rPr>
        <w:t>法定代表人</w:t>
      </w:r>
      <w:r>
        <w:rPr>
          <w:rFonts w:hint="eastAsia" w:asciiTheme="minorEastAsia" w:hAnsiTheme="minorEastAsia" w:eastAsiaTheme="minorEastAsia"/>
          <w:b/>
          <w:bCs/>
          <w:color w:val="auto"/>
          <w:sz w:val="32"/>
          <w:szCs w:val="32"/>
          <w:highlight w:val="none"/>
        </w:rPr>
        <w:t>（电子签章）</w:t>
      </w:r>
      <w:r>
        <w:rPr>
          <w:rFonts w:asciiTheme="minorEastAsia" w:hAnsiTheme="minorEastAsia" w:eastAsiaTheme="minorEastAsia"/>
          <w:b/>
          <w:bCs/>
          <w:color w:val="auto"/>
          <w:sz w:val="32"/>
          <w:szCs w:val="32"/>
          <w:highlight w:val="none"/>
        </w:rPr>
        <w:t>：</w:t>
      </w:r>
      <w:r>
        <w:rPr>
          <w:rFonts w:asciiTheme="minorEastAsia" w:hAnsiTheme="minorEastAsia" w:eastAsiaTheme="minorEastAsia"/>
          <w:b/>
          <w:bCs/>
          <w:color w:val="auto"/>
          <w:sz w:val="32"/>
          <w:szCs w:val="32"/>
          <w:highlight w:val="none"/>
          <w:u w:val="single"/>
        </w:rPr>
        <w:t xml:space="preserve">    </w:t>
      </w:r>
      <w:r>
        <w:rPr>
          <w:rFonts w:hint="eastAsia" w:asciiTheme="minorEastAsia" w:hAnsiTheme="minorEastAsia" w:eastAsiaTheme="minorEastAsia"/>
          <w:b/>
          <w:bCs/>
          <w:color w:val="auto"/>
          <w:sz w:val="32"/>
          <w:szCs w:val="32"/>
          <w:highlight w:val="none"/>
          <w:u w:val="single"/>
        </w:rPr>
        <w:t xml:space="preserve"> </w:t>
      </w:r>
      <w:r>
        <w:rPr>
          <w:rFonts w:asciiTheme="minorEastAsia" w:hAnsiTheme="minorEastAsia" w:eastAsiaTheme="minorEastAsia"/>
          <w:b/>
          <w:bCs/>
          <w:color w:val="auto"/>
          <w:sz w:val="32"/>
          <w:szCs w:val="32"/>
          <w:highlight w:val="none"/>
          <w:u w:val="single"/>
        </w:rPr>
        <w:t xml:space="preserve">     </w:t>
      </w:r>
      <w:r>
        <w:rPr>
          <w:rFonts w:hint="eastAsia" w:asciiTheme="minorEastAsia" w:hAnsiTheme="minorEastAsia" w:eastAsiaTheme="minorEastAsia"/>
          <w:b/>
          <w:bCs/>
          <w:color w:val="auto"/>
          <w:sz w:val="32"/>
          <w:szCs w:val="32"/>
          <w:highlight w:val="none"/>
          <w:u w:val="single"/>
        </w:rPr>
        <w:t xml:space="preserve">      </w:t>
      </w:r>
    </w:p>
    <w:p w14:paraId="5E54E35D">
      <w:pPr>
        <w:spacing w:line="360" w:lineRule="auto"/>
        <w:ind w:firstLine="2731" w:firstLineChars="850"/>
        <w:jc w:val="left"/>
        <w:rPr>
          <w:rFonts w:hint="eastAsia" w:asciiTheme="minorEastAsia" w:hAnsiTheme="minorEastAsia" w:eastAsiaTheme="minorEastAsia"/>
          <w:b/>
          <w:bCs/>
          <w:color w:val="auto"/>
          <w:sz w:val="32"/>
          <w:szCs w:val="32"/>
          <w:highlight w:val="none"/>
        </w:rPr>
      </w:pPr>
      <w:r>
        <w:rPr>
          <w:rFonts w:asciiTheme="minorEastAsia" w:hAnsiTheme="minorEastAsia" w:eastAsiaTheme="minorEastAsia"/>
          <w:b/>
          <w:bCs/>
          <w:color w:val="auto"/>
          <w:sz w:val="32"/>
          <w:szCs w:val="32"/>
          <w:highlight w:val="none"/>
          <w:u w:val="single"/>
        </w:rPr>
        <w:t xml:space="preserve">        </w:t>
      </w:r>
      <w:r>
        <w:rPr>
          <w:rFonts w:asciiTheme="minorEastAsia" w:hAnsiTheme="minorEastAsia" w:eastAsiaTheme="minorEastAsia"/>
          <w:b/>
          <w:bCs/>
          <w:color w:val="auto"/>
          <w:sz w:val="32"/>
          <w:szCs w:val="32"/>
          <w:highlight w:val="none"/>
        </w:rPr>
        <w:t>年</w:t>
      </w:r>
      <w:r>
        <w:rPr>
          <w:rFonts w:asciiTheme="minorEastAsia" w:hAnsiTheme="minorEastAsia" w:eastAsiaTheme="minorEastAsia"/>
          <w:b/>
          <w:bCs/>
          <w:color w:val="auto"/>
          <w:sz w:val="32"/>
          <w:szCs w:val="32"/>
          <w:highlight w:val="none"/>
          <w:u w:val="single"/>
        </w:rPr>
        <w:t xml:space="preserve">     </w:t>
      </w:r>
      <w:r>
        <w:rPr>
          <w:rFonts w:asciiTheme="minorEastAsia" w:hAnsiTheme="minorEastAsia" w:eastAsiaTheme="minorEastAsia"/>
          <w:b/>
          <w:bCs/>
          <w:color w:val="auto"/>
          <w:sz w:val="32"/>
          <w:szCs w:val="32"/>
          <w:highlight w:val="none"/>
        </w:rPr>
        <w:t>月</w:t>
      </w:r>
      <w:r>
        <w:rPr>
          <w:rFonts w:asciiTheme="minorEastAsia" w:hAnsiTheme="minorEastAsia" w:eastAsiaTheme="minorEastAsia"/>
          <w:b/>
          <w:bCs/>
          <w:color w:val="auto"/>
          <w:sz w:val="32"/>
          <w:szCs w:val="32"/>
          <w:highlight w:val="none"/>
          <w:u w:val="single"/>
        </w:rPr>
        <w:t xml:space="preserve">     </w:t>
      </w:r>
      <w:r>
        <w:rPr>
          <w:rFonts w:asciiTheme="minorEastAsia" w:hAnsiTheme="minorEastAsia" w:eastAsiaTheme="minorEastAsia"/>
          <w:b/>
          <w:bCs/>
          <w:color w:val="auto"/>
          <w:sz w:val="32"/>
          <w:szCs w:val="32"/>
          <w:highlight w:val="none"/>
        </w:rPr>
        <w:t>日</w:t>
      </w:r>
      <w:bookmarkEnd w:id="1054"/>
      <w:bookmarkEnd w:id="1055"/>
      <w:bookmarkEnd w:id="1056"/>
      <w:r>
        <w:rPr>
          <w:rFonts w:asciiTheme="minorEastAsia" w:hAnsiTheme="minorEastAsia" w:eastAsiaTheme="minorEastAsia"/>
          <w:b/>
          <w:color w:val="auto"/>
          <w:kern w:val="0"/>
          <w:sz w:val="32"/>
          <w:szCs w:val="32"/>
          <w:highlight w:val="none"/>
        </w:rPr>
        <w:br w:type="page"/>
      </w:r>
    </w:p>
    <w:p w14:paraId="79A347F7">
      <w:pPr>
        <w:spacing w:line="360" w:lineRule="auto"/>
        <w:jc w:val="center"/>
        <w:outlineLvl w:val="1"/>
        <w:rPr>
          <w:rFonts w:hint="eastAsia" w:asciiTheme="minorEastAsia" w:hAnsiTheme="minorEastAsia" w:eastAsiaTheme="minorEastAsia"/>
          <w:b/>
          <w:color w:val="auto"/>
          <w:sz w:val="30"/>
          <w:szCs w:val="30"/>
          <w:highlight w:val="none"/>
        </w:rPr>
      </w:pPr>
      <w:bookmarkStart w:id="1065" w:name="_Toc128658855"/>
      <w:bookmarkStart w:id="1066" w:name="_Toc180143784"/>
      <w:r>
        <w:rPr>
          <w:rFonts w:hint="eastAsia" w:asciiTheme="minorEastAsia" w:hAnsiTheme="minorEastAsia" w:eastAsiaTheme="minorEastAsia"/>
          <w:b/>
          <w:color w:val="auto"/>
          <w:sz w:val="30"/>
          <w:szCs w:val="30"/>
          <w:highlight w:val="none"/>
        </w:rPr>
        <w:t>一、</w:t>
      </w:r>
      <w:bookmarkEnd w:id="1065"/>
      <w:r>
        <w:rPr>
          <w:rFonts w:hint="eastAsia" w:asciiTheme="minorEastAsia" w:hAnsiTheme="minorEastAsia" w:eastAsiaTheme="minorEastAsia"/>
          <w:b/>
          <w:color w:val="auto"/>
          <w:sz w:val="30"/>
          <w:szCs w:val="30"/>
          <w:highlight w:val="none"/>
        </w:rPr>
        <w:t>资格文件</w:t>
      </w:r>
      <w:bookmarkEnd w:id="1066"/>
    </w:p>
    <w:p w14:paraId="080CBF20">
      <w:pPr>
        <w:spacing w:line="360" w:lineRule="auto"/>
        <w:jc w:val="center"/>
        <w:outlineLvl w:val="2"/>
        <w:rPr>
          <w:rFonts w:hint="eastAsia" w:asciiTheme="minorEastAsia" w:hAnsiTheme="minorEastAsia" w:eastAsiaTheme="minorEastAsia"/>
          <w:b/>
          <w:color w:val="auto"/>
          <w:sz w:val="28"/>
          <w:szCs w:val="28"/>
          <w:highlight w:val="none"/>
        </w:rPr>
      </w:pPr>
      <w:bookmarkStart w:id="1067" w:name="_Toc75783586"/>
      <w:bookmarkStart w:id="1068" w:name="_Toc42205046"/>
      <w:bookmarkStart w:id="1069" w:name="_Toc116584064"/>
      <w:bookmarkStart w:id="1070" w:name="_Toc53412271"/>
      <w:bookmarkStart w:id="1071" w:name="_Toc109809379"/>
      <w:bookmarkStart w:id="1072" w:name="_Toc45976960"/>
      <w:bookmarkStart w:id="1073" w:name="_Toc110405198"/>
      <w:bookmarkStart w:id="1074" w:name="_Toc81331001"/>
      <w:bookmarkStart w:id="1075" w:name="_Toc98865068"/>
      <w:bookmarkStart w:id="1076" w:name="_Toc3350"/>
      <w:bookmarkStart w:id="1077" w:name="_Toc69678483"/>
      <w:bookmarkStart w:id="1078" w:name="_Toc292983033"/>
      <w:bookmarkStart w:id="1079" w:name="_Toc265766862"/>
      <w:r>
        <w:rPr>
          <w:rFonts w:hint="eastAsia" w:asciiTheme="minorEastAsia" w:hAnsiTheme="minorEastAsia" w:eastAsiaTheme="minorEastAsia"/>
          <w:b/>
          <w:color w:val="auto"/>
          <w:sz w:val="28"/>
          <w:szCs w:val="28"/>
          <w:highlight w:val="none"/>
        </w:rPr>
        <w:t>（一）</w:t>
      </w:r>
      <w:bookmarkEnd w:id="1067"/>
      <w:bookmarkEnd w:id="1068"/>
      <w:bookmarkEnd w:id="1069"/>
      <w:bookmarkEnd w:id="1070"/>
      <w:bookmarkEnd w:id="1071"/>
      <w:bookmarkEnd w:id="1072"/>
      <w:bookmarkEnd w:id="1073"/>
      <w:bookmarkEnd w:id="1074"/>
      <w:bookmarkEnd w:id="1075"/>
      <w:bookmarkEnd w:id="1076"/>
      <w:bookmarkEnd w:id="1077"/>
      <w:r>
        <w:rPr>
          <w:rFonts w:hint="eastAsia" w:asciiTheme="minorEastAsia" w:hAnsiTheme="minorEastAsia" w:eastAsiaTheme="minorEastAsia"/>
          <w:b/>
          <w:color w:val="auto"/>
          <w:sz w:val="28"/>
          <w:szCs w:val="28"/>
          <w:highlight w:val="none"/>
        </w:rPr>
        <w:t>具有独立承担民事责任的能力</w:t>
      </w:r>
    </w:p>
    <w:p w14:paraId="4C930898">
      <w:pPr>
        <w:wordWrap w:val="0"/>
        <w:topLinePunct/>
        <w:spacing w:before="120" w:beforeLines="50" w:line="360" w:lineRule="auto"/>
        <w:ind w:firstLine="420"/>
        <w:jc w:val="left"/>
        <w:rPr>
          <w:rFonts w:hint="eastAsia" w:asciiTheme="minorEastAsia" w:hAnsiTheme="minorEastAsia" w:eastAsiaTheme="minorEastAsia"/>
          <w:color w:val="auto"/>
          <w:highlight w:val="none"/>
        </w:rPr>
        <w:sectPr>
          <w:headerReference r:id="rId7" w:type="first"/>
          <w:footerReference r:id="rId9" w:type="first"/>
          <w:headerReference r:id="rId6" w:type="default"/>
          <w:footerReference r:id="rId8" w:type="default"/>
          <w:pgSz w:w="11906" w:h="16838"/>
          <w:pgMar w:top="1440" w:right="1474" w:bottom="1440" w:left="1474" w:header="851" w:footer="851" w:gutter="0"/>
          <w:pgNumType w:start="1"/>
          <w:cols w:space="720" w:num="1"/>
          <w:docGrid w:linePitch="312" w:charSpace="0"/>
        </w:sectPr>
      </w:pPr>
      <w:r>
        <w:rPr>
          <w:rFonts w:hint="eastAsia" w:asciiTheme="minorEastAsia" w:hAnsiTheme="minorEastAsia" w:eastAsiaTheme="minorEastAsia"/>
          <w:color w:val="auto"/>
          <w:highlight w:val="none"/>
        </w:rPr>
        <w:t>注：提供有效的营业执照（副本）或事业单位法人证书（副本）或其他类似的法定证明文件的原件扫描件。</w:t>
      </w:r>
    </w:p>
    <w:bookmarkEnd w:id="1078"/>
    <w:bookmarkEnd w:id="1079"/>
    <w:p w14:paraId="47F13299">
      <w:pPr>
        <w:spacing w:line="360" w:lineRule="auto"/>
        <w:jc w:val="center"/>
        <w:outlineLvl w:val="2"/>
        <w:rPr>
          <w:rFonts w:hint="eastAsia" w:asciiTheme="minorEastAsia" w:hAnsiTheme="minorEastAsia" w:eastAsiaTheme="minorEastAsia"/>
          <w:b/>
          <w:color w:val="auto"/>
          <w:sz w:val="28"/>
          <w:szCs w:val="28"/>
          <w:highlight w:val="none"/>
        </w:rPr>
      </w:pPr>
      <w:bookmarkStart w:id="1080" w:name="_Toc53412272"/>
      <w:bookmarkStart w:id="1081" w:name="_Toc75783587"/>
      <w:bookmarkStart w:id="1082" w:name="_Toc110405199"/>
      <w:bookmarkStart w:id="1083" w:name="_Toc69678484"/>
      <w:bookmarkStart w:id="1084" w:name="_Toc42205047"/>
      <w:bookmarkStart w:id="1085" w:name="_Toc45976961"/>
      <w:bookmarkStart w:id="1086" w:name="_Toc98865069"/>
      <w:bookmarkStart w:id="1087" w:name="_Toc81331002"/>
      <w:bookmarkStart w:id="1088" w:name="_Toc11887"/>
      <w:bookmarkStart w:id="1089" w:name="_Toc116584065"/>
      <w:bookmarkStart w:id="1090" w:name="_Toc109809380"/>
      <w:r>
        <w:rPr>
          <w:rFonts w:hint="eastAsia" w:asciiTheme="minorEastAsia" w:hAnsiTheme="minorEastAsia" w:eastAsiaTheme="minorEastAsia"/>
          <w:b/>
          <w:color w:val="auto"/>
          <w:sz w:val="28"/>
          <w:szCs w:val="28"/>
          <w:highlight w:val="none"/>
        </w:rPr>
        <w:t>（二）</w:t>
      </w:r>
      <w:bookmarkEnd w:id="1080"/>
      <w:bookmarkEnd w:id="1081"/>
      <w:bookmarkEnd w:id="1082"/>
      <w:bookmarkEnd w:id="1083"/>
      <w:bookmarkEnd w:id="1084"/>
      <w:bookmarkEnd w:id="1085"/>
      <w:bookmarkEnd w:id="1086"/>
      <w:bookmarkEnd w:id="1087"/>
      <w:bookmarkEnd w:id="1088"/>
      <w:bookmarkEnd w:id="1089"/>
      <w:bookmarkEnd w:id="1090"/>
      <w:r>
        <w:rPr>
          <w:rFonts w:hint="eastAsia" w:asciiTheme="minorEastAsia" w:hAnsiTheme="minorEastAsia" w:eastAsiaTheme="minorEastAsia"/>
          <w:b/>
          <w:color w:val="auto"/>
          <w:sz w:val="28"/>
          <w:szCs w:val="28"/>
          <w:highlight w:val="none"/>
        </w:rPr>
        <w:t>具有良好的商业信誉和健全的财务会计制度</w:t>
      </w:r>
    </w:p>
    <w:p w14:paraId="0B2EE3A3">
      <w:pPr>
        <w:spacing w:line="360" w:lineRule="auto"/>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    注：</w:t>
      </w:r>
      <w:r>
        <w:rPr>
          <w:rFonts w:hint="eastAsia" w:asciiTheme="minorEastAsia" w:hAnsiTheme="minorEastAsia" w:eastAsiaTheme="minorEastAsia"/>
          <w:color w:val="auto"/>
          <w:szCs w:val="21"/>
          <w:highlight w:val="none"/>
        </w:rPr>
        <w:t>提供2023年度经审计的财务会计报表及审计报告的原件扫描件（未经审计的，提供公司内部自行编制并加盖公章的财务会计报表的原件扫描件）；若为新成立的公司，附银行开具的资信证明文件或资金证明文件的原件扫描件；若为自然人参与投标，则提供自本项目公告发布之日起开具的银行存款证明的原件扫描件。</w:t>
      </w:r>
    </w:p>
    <w:p w14:paraId="20DFA5B4">
      <w:pPr>
        <w:widowControl/>
        <w:ind w:firstLine="562"/>
        <w:jc w:val="left"/>
        <w:rPr>
          <w:rFonts w:hint="eastAsia" w:asciiTheme="minorEastAsia" w:hAnsiTheme="minorEastAsia" w:eastAsiaTheme="minorEastAsia"/>
          <w:b/>
          <w:color w:val="auto"/>
          <w:sz w:val="28"/>
          <w:szCs w:val="28"/>
          <w:highlight w:val="none"/>
        </w:rPr>
      </w:pPr>
      <w:bookmarkStart w:id="1091" w:name="_Toc116584066"/>
      <w:bookmarkStart w:id="1092" w:name="_Toc109809381"/>
      <w:bookmarkStart w:id="1093" w:name="_Toc98865070"/>
      <w:bookmarkStart w:id="1094" w:name="_Toc45976962"/>
      <w:bookmarkStart w:id="1095" w:name="_Toc53412273"/>
      <w:bookmarkStart w:id="1096" w:name="_Toc110405200"/>
      <w:bookmarkStart w:id="1097" w:name="_Toc21738"/>
      <w:bookmarkStart w:id="1098" w:name="_Toc522397136"/>
      <w:bookmarkStart w:id="1099" w:name="_Toc69678485"/>
      <w:bookmarkStart w:id="1100" w:name="_Toc81331003"/>
      <w:bookmarkStart w:id="1101" w:name="_Toc42205048"/>
      <w:bookmarkStart w:id="1102" w:name="_Toc75783588"/>
      <w:bookmarkStart w:id="1103" w:name="_Toc518141928"/>
      <w:bookmarkStart w:id="1104" w:name="_Toc494495988"/>
      <w:bookmarkStart w:id="1105" w:name="_Toc517710844"/>
      <w:r>
        <w:rPr>
          <w:rFonts w:asciiTheme="minorEastAsia" w:hAnsiTheme="minorEastAsia" w:eastAsiaTheme="minorEastAsia"/>
          <w:b/>
          <w:color w:val="auto"/>
          <w:sz w:val="28"/>
          <w:szCs w:val="28"/>
          <w:highlight w:val="none"/>
        </w:rPr>
        <w:br w:type="page"/>
      </w:r>
    </w:p>
    <w:p w14:paraId="3EE4BACA">
      <w:pPr>
        <w:spacing w:line="360" w:lineRule="auto"/>
        <w:jc w:val="center"/>
        <w:outlineLvl w:val="2"/>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（三）具有履行合同所必需的设备和专业技术能力</w:t>
      </w:r>
      <w:bookmarkEnd w:id="1091"/>
      <w:bookmarkEnd w:id="1092"/>
      <w:bookmarkEnd w:id="1093"/>
      <w:bookmarkEnd w:id="1094"/>
      <w:bookmarkEnd w:id="1095"/>
      <w:bookmarkEnd w:id="1096"/>
      <w:bookmarkEnd w:id="1097"/>
      <w:bookmarkEnd w:id="1098"/>
      <w:bookmarkEnd w:id="1099"/>
      <w:bookmarkEnd w:id="1100"/>
      <w:bookmarkEnd w:id="1101"/>
      <w:bookmarkEnd w:id="1102"/>
    </w:p>
    <w:p w14:paraId="67DEAD66">
      <w:pPr>
        <w:spacing w:line="360" w:lineRule="auto"/>
        <w:jc w:val="center"/>
        <w:rPr>
          <w:rFonts w:hint="eastAsia" w:asciiTheme="minorEastAsia" w:hAnsiTheme="minorEastAsia" w:eastAsiaTheme="minorEastAsia"/>
          <w:color w:val="auto"/>
          <w:highlight w:val="none"/>
        </w:rPr>
      </w:pPr>
      <w:bookmarkStart w:id="1106" w:name="_Hlk6220935"/>
      <w:r>
        <w:rPr>
          <w:rFonts w:hint="eastAsia" w:asciiTheme="minorEastAsia" w:hAnsiTheme="minorEastAsia" w:eastAsiaTheme="minorEastAsia"/>
          <w:color w:val="auto"/>
          <w:highlight w:val="none"/>
        </w:rPr>
        <w:t>注：提供书面承诺，内容自拟。</w:t>
      </w:r>
    </w:p>
    <w:p w14:paraId="64AF0FF9">
      <w:pPr>
        <w:spacing w:line="360" w:lineRule="auto"/>
        <w:jc w:val="center"/>
        <w:rPr>
          <w:rFonts w:hint="eastAsia" w:asciiTheme="minorEastAsia" w:hAnsiTheme="minorEastAsia" w:eastAsiaTheme="minorEastAsia"/>
          <w:color w:val="auto"/>
          <w:highlight w:val="none"/>
        </w:rPr>
      </w:pPr>
    </w:p>
    <w:p w14:paraId="2B04AF35">
      <w:pPr>
        <w:spacing w:line="360" w:lineRule="auto"/>
        <w:jc w:val="center"/>
        <w:rPr>
          <w:rFonts w:hint="eastAsia" w:asciiTheme="minorEastAsia" w:hAnsiTheme="minorEastAsia" w:eastAsiaTheme="minorEastAsia"/>
          <w:color w:val="auto"/>
          <w:highlight w:val="none"/>
        </w:rPr>
      </w:pPr>
    </w:p>
    <w:p w14:paraId="6DC23F5F">
      <w:pPr>
        <w:spacing w:line="360" w:lineRule="auto"/>
        <w:jc w:val="center"/>
        <w:rPr>
          <w:rFonts w:hint="eastAsia" w:asciiTheme="minorEastAsia" w:hAnsiTheme="minorEastAsia" w:eastAsiaTheme="minorEastAsia"/>
          <w:color w:val="auto"/>
          <w:highlight w:val="none"/>
        </w:rPr>
      </w:pPr>
    </w:p>
    <w:p w14:paraId="5006056A">
      <w:pPr>
        <w:spacing w:line="360" w:lineRule="auto"/>
        <w:jc w:val="center"/>
        <w:rPr>
          <w:rFonts w:hint="eastAsia" w:asciiTheme="minorEastAsia" w:hAnsiTheme="minorEastAsia" w:eastAsiaTheme="minorEastAsia"/>
          <w:color w:val="auto"/>
          <w:highlight w:val="none"/>
        </w:rPr>
      </w:pPr>
    </w:p>
    <w:p w14:paraId="120A8E8C">
      <w:pPr>
        <w:spacing w:line="360" w:lineRule="auto"/>
        <w:jc w:val="center"/>
        <w:rPr>
          <w:rFonts w:hint="eastAsia" w:asciiTheme="minorEastAsia" w:hAnsiTheme="minorEastAsia" w:eastAsiaTheme="minorEastAsia"/>
          <w:color w:val="auto"/>
          <w:highlight w:val="none"/>
        </w:rPr>
      </w:pPr>
    </w:p>
    <w:p w14:paraId="3A0B5EEF">
      <w:pPr>
        <w:spacing w:line="360" w:lineRule="auto"/>
        <w:jc w:val="center"/>
        <w:rPr>
          <w:rFonts w:hint="eastAsia" w:asciiTheme="minorEastAsia" w:hAnsiTheme="minorEastAsia" w:eastAsiaTheme="minorEastAsia"/>
          <w:color w:val="auto"/>
          <w:highlight w:val="none"/>
        </w:rPr>
      </w:pPr>
    </w:p>
    <w:p w14:paraId="6145DB00">
      <w:pPr>
        <w:spacing w:line="360" w:lineRule="auto"/>
        <w:jc w:val="center"/>
        <w:rPr>
          <w:rFonts w:hint="eastAsia" w:asciiTheme="minorEastAsia" w:hAnsiTheme="minorEastAsia" w:eastAsiaTheme="minorEastAsia"/>
          <w:color w:val="auto"/>
          <w:highlight w:val="none"/>
        </w:rPr>
      </w:pPr>
    </w:p>
    <w:p w14:paraId="4FEF8995">
      <w:pPr>
        <w:spacing w:line="360" w:lineRule="auto"/>
        <w:jc w:val="center"/>
        <w:rPr>
          <w:rFonts w:hint="eastAsia" w:asciiTheme="minorEastAsia" w:hAnsiTheme="minorEastAsia" w:eastAsiaTheme="minorEastAsia"/>
          <w:color w:val="auto"/>
          <w:highlight w:val="none"/>
        </w:rPr>
      </w:pPr>
    </w:p>
    <w:p w14:paraId="337DF943">
      <w:pPr>
        <w:spacing w:line="360" w:lineRule="auto"/>
        <w:jc w:val="center"/>
        <w:rPr>
          <w:rFonts w:hint="eastAsia" w:asciiTheme="minorEastAsia" w:hAnsiTheme="minorEastAsia" w:eastAsiaTheme="minorEastAsia"/>
          <w:color w:val="auto"/>
          <w:highlight w:val="none"/>
        </w:rPr>
      </w:pPr>
    </w:p>
    <w:p w14:paraId="02D05AE8">
      <w:pPr>
        <w:spacing w:line="360" w:lineRule="auto"/>
        <w:jc w:val="center"/>
        <w:rPr>
          <w:rFonts w:hint="eastAsia" w:asciiTheme="minorEastAsia" w:hAnsiTheme="minorEastAsia" w:eastAsiaTheme="minorEastAsia"/>
          <w:color w:val="auto"/>
          <w:highlight w:val="none"/>
        </w:rPr>
      </w:pPr>
    </w:p>
    <w:p w14:paraId="0E3C2869">
      <w:pPr>
        <w:spacing w:line="360" w:lineRule="auto"/>
        <w:jc w:val="center"/>
        <w:rPr>
          <w:rFonts w:hint="eastAsia" w:asciiTheme="minorEastAsia" w:hAnsiTheme="minorEastAsia" w:eastAsiaTheme="minorEastAsia"/>
          <w:color w:val="auto"/>
          <w:highlight w:val="none"/>
        </w:rPr>
      </w:pPr>
    </w:p>
    <w:p w14:paraId="34E70B7B">
      <w:pPr>
        <w:spacing w:line="360" w:lineRule="auto"/>
        <w:jc w:val="center"/>
        <w:rPr>
          <w:rFonts w:hint="eastAsia" w:asciiTheme="minorEastAsia" w:hAnsiTheme="minorEastAsia" w:eastAsiaTheme="minorEastAsia"/>
          <w:color w:val="auto"/>
          <w:highlight w:val="none"/>
        </w:rPr>
      </w:pPr>
    </w:p>
    <w:p w14:paraId="1EB0352B">
      <w:pPr>
        <w:spacing w:line="360" w:lineRule="auto"/>
        <w:jc w:val="center"/>
        <w:rPr>
          <w:rFonts w:hint="eastAsia" w:asciiTheme="minorEastAsia" w:hAnsiTheme="minorEastAsia" w:eastAsiaTheme="minorEastAsia"/>
          <w:color w:val="auto"/>
          <w:highlight w:val="none"/>
        </w:rPr>
      </w:pPr>
    </w:p>
    <w:p w14:paraId="68F47109">
      <w:pPr>
        <w:spacing w:line="360" w:lineRule="auto"/>
        <w:jc w:val="center"/>
        <w:rPr>
          <w:rFonts w:hint="eastAsia" w:asciiTheme="minorEastAsia" w:hAnsiTheme="minorEastAsia" w:eastAsiaTheme="minorEastAsia"/>
          <w:color w:val="auto"/>
          <w:highlight w:val="none"/>
        </w:rPr>
      </w:pPr>
    </w:p>
    <w:p w14:paraId="04A14BE0">
      <w:pPr>
        <w:spacing w:line="360" w:lineRule="auto"/>
        <w:jc w:val="center"/>
        <w:rPr>
          <w:rFonts w:hint="eastAsia" w:asciiTheme="minorEastAsia" w:hAnsiTheme="minorEastAsia" w:eastAsiaTheme="minorEastAsia"/>
          <w:color w:val="auto"/>
          <w:highlight w:val="none"/>
        </w:rPr>
      </w:pPr>
    </w:p>
    <w:p w14:paraId="3AE88F8A">
      <w:pPr>
        <w:autoSpaceDE w:val="0"/>
        <w:autoSpaceDN w:val="0"/>
        <w:adjustRightInd w:val="0"/>
        <w:spacing w:line="360" w:lineRule="auto"/>
        <w:ind w:firstLine="4252" w:firstLineChars="2025"/>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供应商：</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w:t>
      </w:r>
      <w:r>
        <w:rPr>
          <w:rFonts w:hint="eastAsia" w:asciiTheme="minorEastAsia" w:hAnsiTheme="minorEastAsia" w:eastAsiaTheme="minorEastAsia"/>
          <w:color w:val="auto"/>
          <w:szCs w:val="21"/>
          <w:highlight w:val="none"/>
          <w:u w:val="single"/>
        </w:rPr>
        <w:t>电子签章</w:t>
      </w:r>
      <w:r>
        <w:rPr>
          <w:rFonts w:hint="eastAsia" w:asciiTheme="minorEastAsia" w:hAnsiTheme="minorEastAsia" w:eastAsiaTheme="minorEastAsia"/>
          <w:bCs/>
          <w:color w:val="auto"/>
          <w:szCs w:val="21"/>
          <w:highlight w:val="none"/>
          <w:u w:val="single"/>
        </w:rPr>
        <w:t>）</w:t>
      </w:r>
    </w:p>
    <w:p w14:paraId="06D77FB2">
      <w:pPr>
        <w:autoSpaceDE w:val="0"/>
        <w:autoSpaceDN w:val="0"/>
        <w:adjustRightInd w:val="0"/>
        <w:spacing w:line="360" w:lineRule="auto"/>
        <w:ind w:firstLine="4252" w:firstLineChars="2025"/>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法定代表人：</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(电子签章)</w:t>
      </w:r>
      <w:r>
        <w:rPr>
          <w:rFonts w:asciiTheme="minorEastAsia" w:hAnsiTheme="minorEastAsia" w:eastAsiaTheme="minorEastAsia"/>
          <w:bCs/>
          <w:color w:val="auto"/>
          <w:szCs w:val="21"/>
          <w:highlight w:val="none"/>
          <w:u w:val="single"/>
        </w:rPr>
        <w:t xml:space="preserve"> </w:t>
      </w:r>
    </w:p>
    <w:p w14:paraId="144A8BFC">
      <w:pPr>
        <w:autoSpaceDE w:val="0"/>
        <w:autoSpaceDN w:val="0"/>
        <w:adjustRightInd w:val="0"/>
        <w:spacing w:line="360" w:lineRule="auto"/>
        <w:ind w:firstLine="4252" w:firstLineChars="2025"/>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日期：</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年</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月</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日</w:t>
      </w:r>
    </w:p>
    <w:p w14:paraId="0AE8FE7E">
      <w:pPr>
        <w:spacing w:line="360" w:lineRule="auto"/>
        <w:jc w:val="center"/>
        <w:rPr>
          <w:rFonts w:hint="eastAsia" w:asciiTheme="minorEastAsia" w:hAnsiTheme="minorEastAsia" w:eastAsiaTheme="minorEastAsia"/>
          <w:color w:val="auto"/>
          <w:highlight w:val="none"/>
        </w:rPr>
      </w:pPr>
    </w:p>
    <w:bookmarkEnd w:id="1106"/>
    <w:p w14:paraId="2777E73D">
      <w:pPr>
        <w:widowControl/>
        <w:ind w:firstLine="562"/>
        <w:jc w:val="left"/>
        <w:rPr>
          <w:rFonts w:hint="eastAsia" w:asciiTheme="minorEastAsia" w:hAnsiTheme="minorEastAsia" w:eastAsiaTheme="minorEastAsia"/>
          <w:b/>
          <w:color w:val="auto"/>
          <w:sz w:val="28"/>
          <w:szCs w:val="28"/>
          <w:highlight w:val="none"/>
        </w:rPr>
      </w:pPr>
      <w:bookmarkStart w:id="1107" w:name="_Toc8980"/>
      <w:bookmarkStart w:id="1108" w:name="_Toc53412274"/>
      <w:bookmarkStart w:id="1109" w:name="_Toc42205049"/>
      <w:bookmarkStart w:id="1110" w:name="_Toc81331004"/>
      <w:bookmarkStart w:id="1111" w:name="_Toc75783589"/>
      <w:bookmarkStart w:id="1112" w:name="_Toc45976963"/>
      <w:bookmarkStart w:id="1113" w:name="_Toc109809382"/>
      <w:bookmarkStart w:id="1114" w:name="_Toc522397137"/>
      <w:bookmarkStart w:id="1115" w:name="_Toc69678486"/>
      <w:bookmarkStart w:id="1116" w:name="_Toc98865071"/>
      <w:bookmarkStart w:id="1117" w:name="_Toc110405201"/>
      <w:bookmarkStart w:id="1118" w:name="_Toc116584067"/>
      <w:r>
        <w:rPr>
          <w:rFonts w:asciiTheme="minorEastAsia" w:hAnsiTheme="minorEastAsia" w:eastAsiaTheme="minorEastAsia"/>
          <w:b/>
          <w:color w:val="auto"/>
          <w:sz w:val="28"/>
          <w:szCs w:val="28"/>
          <w:highlight w:val="none"/>
        </w:rPr>
        <w:br w:type="page"/>
      </w:r>
    </w:p>
    <w:p w14:paraId="3DEEE33B">
      <w:pPr>
        <w:spacing w:line="360" w:lineRule="auto"/>
        <w:jc w:val="center"/>
        <w:outlineLvl w:val="2"/>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（四）有依法缴纳税收和社会保障资金的良好记录</w:t>
      </w:r>
      <w:bookmarkEnd w:id="1107"/>
      <w:bookmarkEnd w:id="1108"/>
      <w:bookmarkEnd w:id="1109"/>
      <w:bookmarkEnd w:id="1110"/>
      <w:bookmarkEnd w:id="1111"/>
      <w:bookmarkEnd w:id="1112"/>
      <w:bookmarkEnd w:id="1113"/>
      <w:bookmarkEnd w:id="1114"/>
      <w:bookmarkEnd w:id="1115"/>
      <w:bookmarkEnd w:id="1116"/>
      <w:bookmarkEnd w:id="1117"/>
      <w:bookmarkEnd w:id="1118"/>
    </w:p>
    <w:p w14:paraId="109020A2">
      <w:pPr>
        <w:spacing w:line="360" w:lineRule="auto"/>
        <w:ind w:firstLine="420" w:firstLineChars="200"/>
        <w:jc w:val="left"/>
        <w:rPr>
          <w:rFonts w:hint="eastAsia" w:ascii="宋体" w:hAnsi="宋体"/>
          <w:color w:val="auto"/>
          <w:szCs w:val="21"/>
          <w:highlight w:val="none"/>
        </w:rPr>
      </w:pPr>
      <w:bookmarkStart w:id="1119" w:name="_Toc75783590"/>
      <w:bookmarkStart w:id="1120" w:name="_Toc81331005"/>
      <w:bookmarkStart w:id="1121" w:name="_Toc53412275"/>
      <w:bookmarkStart w:id="1122" w:name="_Toc45976964"/>
      <w:bookmarkStart w:id="1123" w:name="_Toc69678487"/>
      <w:bookmarkStart w:id="1124" w:name="_Toc42205050"/>
      <w:bookmarkStart w:id="1125" w:name="_Toc522397138"/>
      <w:r>
        <w:rPr>
          <w:rFonts w:hint="eastAsia" w:ascii="宋体" w:hAnsi="宋体" w:cs="宋体"/>
          <w:color w:val="auto"/>
          <w:szCs w:val="21"/>
          <w:highlight w:val="none"/>
        </w:rPr>
        <w:t>注：</w:t>
      </w:r>
      <w:r>
        <w:rPr>
          <w:rFonts w:hint="eastAsia" w:ascii="宋体" w:hAnsi="宋体"/>
          <w:color w:val="auto"/>
          <w:szCs w:val="21"/>
          <w:highlight w:val="none"/>
        </w:rPr>
        <w:t>（1）提供2023年12月至</w:t>
      </w:r>
      <w:r>
        <w:rPr>
          <w:rFonts w:hint="eastAsia" w:ascii="宋体" w:hAnsi="宋体" w:cs="宋体"/>
          <w:color w:val="auto"/>
          <w:szCs w:val="21"/>
          <w:highlight w:val="none"/>
        </w:rPr>
        <w:t>投标文件</w:t>
      </w:r>
      <w:r>
        <w:rPr>
          <w:rFonts w:hint="eastAsia" w:asciiTheme="minorEastAsia" w:hAnsiTheme="minorEastAsia" w:eastAsiaTheme="minorEastAsia"/>
          <w:color w:val="auto"/>
          <w:szCs w:val="21"/>
          <w:highlight w:val="none"/>
        </w:rPr>
        <w:t>递交</w:t>
      </w:r>
      <w:r>
        <w:rPr>
          <w:rFonts w:hint="eastAsia" w:ascii="宋体" w:hAnsi="宋体"/>
          <w:color w:val="auto"/>
          <w:szCs w:val="21"/>
          <w:highlight w:val="none"/>
        </w:rPr>
        <w:t>截止之日任意</w:t>
      </w:r>
      <w:r>
        <w:rPr>
          <w:rFonts w:ascii="宋体" w:hAnsi="宋体"/>
          <w:color w:val="auto"/>
          <w:szCs w:val="21"/>
          <w:highlight w:val="none"/>
        </w:rPr>
        <w:t>3</w:t>
      </w:r>
      <w:r>
        <w:rPr>
          <w:rFonts w:hint="eastAsia" w:ascii="宋体" w:hAnsi="宋体"/>
          <w:color w:val="auto"/>
          <w:szCs w:val="21"/>
          <w:highlight w:val="none"/>
        </w:rPr>
        <w:t>个月的税务局税收通用缴款书或银行电子缴税（费）凭证或税务局出具纳税情况的相关证明的原件扫描件；依法免税的，提供依法免税的相关证明文件的原件扫描件；若为新成立的公司，</w:t>
      </w:r>
      <w:r>
        <w:rPr>
          <w:color w:val="auto"/>
          <w:highlight w:val="none"/>
        </w:rPr>
        <w:t>无法按上述要求提供依法缴纳税收证明材料的，按实际缴纳月份提供或出具书面说明。</w:t>
      </w:r>
    </w:p>
    <w:p w14:paraId="0440A44C">
      <w:pPr>
        <w:spacing w:line="360" w:lineRule="auto"/>
        <w:ind w:firstLine="840" w:firstLineChars="400"/>
        <w:jc w:val="left"/>
        <w:rPr>
          <w:rFonts w:hint="eastAsia" w:ascii="宋体" w:hAnsi="宋体"/>
          <w:color w:val="auto"/>
          <w:szCs w:val="21"/>
          <w:highlight w:val="none"/>
        </w:rPr>
      </w:pPr>
      <w:r>
        <w:rPr>
          <w:rFonts w:hint="eastAsia" w:ascii="宋体" w:hAnsi="宋体"/>
          <w:color w:val="auto"/>
          <w:szCs w:val="21"/>
          <w:highlight w:val="none"/>
        </w:rPr>
        <w:t>（2）提供2023年12月至</w:t>
      </w:r>
      <w:r>
        <w:rPr>
          <w:rFonts w:hint="eastAsia" w:ascii="宋体" w:hAnsi="宋体" w:cs="宋体"/>
          <w:color w:val="auto"/>
          <w:szCs w:val="21"/>
          <w:highlight w:val="none"/>
        </w:rPr>
        <w:t>投标文件</w:t>
      </w:r>
      <w:r>
        <w:rPr>
          <w:rFonts w:hint="eastAsia" w:asciiTheme="minorEastAsia" w:hAnsiTheme="minorEastAsia" w:eastAsiaTheme="minorEastAsia"/>
          <w:color w:val="auto"/>
          <w:szCs w:val="21"/>
          <w:highlight w:val="none"/>
        </w:rPr>
        <w:t>递交</w:t>
      </w:r>
      <w:r>
        <w:rPr>
          <w:rFonts w:hint="eastAsia" w:ascii="宋体" w:hAnsi="宋体"/>
          <w:color w:val="auto"/>
          <w:szCs w:val="21"/>
          <w:highlight w:val="none"/>
        </w:rPr>
        <w:t>截止之日任意</w:t>
      </w:r>
      <w:r>
        <w:rPr>
          <w:rFonts w:ascii="宋体" w:hAnsi="宋体"/>
          <w:color w:val="auto"/>
          <w:szCs w:val="21"/>
          <w:highlight w:val="none"/>
        </w:rPr>
        <w:t>3</w:t>
      </w:r>
      <w:r>
        <w:rPr>
          <w:rFonts w:hint="eastAsia" w:ascii="宋体" w:hAnsi="宋体"/>
          <w:color w:val="auto"/>
          <w:szCs w:val="21"/>
          <w:highlight w:val="none"/>
        </w:rPr>
        <w:t>个月的社会保险费缴款书或银行电子缴费凭证或社保管理部门出具的有效的缴款证明的原件扫描件；依法免缴的，提供依法免缴的相关证明文件的原件扫描件；</w:t>
      </w:r>
      <w:r>
        <w:rPr>
          <w:rFonts w:hint="eastAsia" w:ascii="宋体" w:hAnsi="宋体"/>
          <w:color w:val="auto"/>
          <w:highlight w:val="none"/>
        </w:rPr>
        <w:t>若为新成立的公司，提供成立至今的的社会保险费缴款书或银行电子缴费凭证或社保管理部门出具的有效的缴款证明</w:t>
      </w:r>
      <w:r>
        <w:rPr>
          <w:rFonts w:hint="eastAsia" w:ascii="宋体" w:hAnsi="宋体"/>
          <w:color w:val="auto"/>
          <w:szCs w:val="21"/>
          <w:highlight w:val="none"/>
        </w:rPr>
        <w:t>的原件扫描件</w:t>
      </w:r>
      <w:r>
        <w:rPr>
          <w:rFonts w:hint="eastAsia" w:ascii="宋体" w:hAnsi="宋体"/>
          <w:color w:val="auto"/>
          <w:highlight w:val="none"/>
        </w:rPr>
        <w:t>；成立时间不足</w:t>
      </w:r>
      <w:r>
        <w:rPr>
          <w:rFonts w:ascii="宋体" w:hAnsi="宋体"/>
          <w:color w:val="auto"/>
          <w:highlight w:val="none"/>
        </w:rPr>
        <w:t>3</w:t>
      </w:r>
      <w:r>
        <w:rPr>
          <w:rFonts w:hint="eastAsia" w:ascii="宋体" w:hAnsi="宋体"/>
          <w:color w:val="auto"/>
          <w:highlight w:val="none"/>
        </w:rPr>
        <w:t>个月的，</w:t>
      </w:r>
      <w:r>
        <w:rPr>
          <w:rFonts w:ascii="宋体" w:hAnsi="宋体"/>
          <w:color w:val="auto"/>
          <w:highlight w:val="none"/>
        </w:rPr>
        <w:t>按实际缴纳月份提供</w:t>
      </w:r>
      <w:r>
        <w:rPr>
          <w:rFonts w:hint="eastAsia" w:ascii="宋体" w:hAnsi="宋体"/>
          <w:color w:val="auto"/>
          <w:highlight w:val="none"/>
        </w:rPr>
        <w:t>或出具</w:t>
      </w:r>
      <w:r>
        <w:rPr>
          <w:rFonts w:ascii="宋体" w:hAnsi="宋体"/>
          <w:color w:val="auto"/>
          <w:highlight w:val="none"/>
        </w:rPr>
        <w:t>书面说明</w:t>
      </w:r>
      <w:r>
        <w:rPr>
          <w:rFonts w:hint="eastAsia" w:ascii="宋体" w:hAnsi="宋体"/>
          <w:color w:val="auto"/>
          <w:highlight w:val="none"/>
        </w:rPr>
        <w:t>。</w:t>
      </w:r>
    </w:p>
    <w:p w14:paraId="3EEBA8FD">
      <w:pPr>
        <w:tabs>
          <w:tab w:val="left" w:pos="709"/>
        </w:tabs>
        <w:spacing w:line="360" w:lineRule="auto"/>
        <w:ind w:firstLine="840" w:firstLineChars="400"/>
        <w:jc w:val="left"/>
        <w:rPr>
          <w:rFonts w:hint="eastAsia" w:ascii="宋体" w:hAnsi="宋体"/>
          <w:color w:val="auto"/>
          <w:szCs w:val="21"/>
          <w:highlight w:val="none"/>
        </w:rPr>
      </w:pPr>
      <w:r>
        <w:rPr>
          <w:rFonts w:hint="eastAsia" w:ascii="宋体" w:hAnsi="宋体"/>
          <w:color w:val="auto"/>
          <w:szCs w:val="21"/>
          <w:highlight w:val="none"/>
        </w:rPr>
        <w:t>（3）若为自然人投标，则提供2023年12月至</w:t>
      </w:r>
      <w:r>
        <w:rPr>
          <w:rFonts w:hint="eastAsia" w:ascii="宋体" w:hAnsi="宋体" w:cs="宋体"/>
          <w:color w:val="auto"/>
          <w:szCs w:val="21"/>
          <w:highlight w:val="none"/>
        </w:rPr>
        <w:t>投标文件</w:t>
      </w:r>
      <w:r>
        <w:rPr>
          <w:rFonts w:hint="eastAsia" w:asciiTheme="minorEastAsia" w:hAnsiTheme="minorEastAsia" w:eastAsiaTheme="minorEastAsia"/>
          <w:color w:val="auto"/>
          <w:szCs w:val="21"/>
          <w:highlight w:val="none"/>
        </w:rPr>
        <w:t>递交</w:t>
      </w:r>
      <w:r>
        <w:rPr>
          <w:rFonts w:hint="eastAsia" w:ascii="宋体" w:hAnsi="宋体"/>
          <w:color w:val="auto"/>
          <w:szCs w:val="21"/>
          <w:highlight w:val="none"/>
        </w:rPr>
        <w:t>截止之日任意3个月的个人所得税完税证明和社会保险参保证明的原件扫描件；未缴纳税收或社保的，提供书面说明。</w:t>
      </w:r>
    </w:p>
    <w:p w14:paraId="71BEC048">
      <w:pPr>
        <w:tabs>
          <w:tab w:val="left" w:pos="709"/>
        </w:tabs>
        <w:spacing w:line="360" w:lineRule="auto"/>
        <w:ind w:firstLine="1124" w:firstLineChars="400"/>
        <w:jc w:val="left"/>
        <w:rPr>
          <w:rFonts w:hint="eastAsia"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br w:type="page"/>
      </w:r>
    </w:p>
    <w:p w14:paraId="3DE38A36">
      <w:pPr>
        <w:spacing w:line="360" w:lineRule="auto"/>
        <w:jc w:val="center"/>
        <w:outlineLvl w:val="2"/>
        <w:rPr>
          <w:rFonts w:hint="eastAsia" w:asciiTheme="minorEastAsia" w:hAnsiTheme="minorEastAsia" w:eastAsiaTheme="minorEastAsia"/>
          <w:b/>
          <w:color w:val="auto"/>
          <w:sz w:val="28"/>
          <w:szCs w:val="28"/>
          <w:highlight w:val="none"/>
        </w:rPr>
      </w:pPr>
      <w:bookmarkStart w:id="1126" w:name="_Toc98865072"/>
      <w:bookmarkStart w:id="1127" w:name="_Toc109809383"/>
      <w:bookmarkStart w:id="1128" w:name="_Toc110405202"/>
      <w:bookmarkStart w:id="1129" w:name="_Toc4146"/>
      <w:bookmarkStart w:id="1130" w:name="_Toc116584068"/>
      <w:r>
        <w:rPr>
          <w:rFonts w:hint="eastAsia" w:asciiTheme="minorEastAsia" w:hAnsiTheme="minorEastAsia" w:eastAsiaTheme="minorEastAsia"/>
          <w:b/>
          <w:color w:val="auto"/>
          <w:sz w:val="28"/>
          <w:szCs w:val="28"/>
          <w:highlight w:val="none"/>
        </w:rPr>
        <w:t>（五）参加政府采购活动前三年内，在经营活动中没有重大违法记录</w:t>
      </w:r>
    </w:p>
    <w:p w14:paraId="5D39FD6D">
      <w:pPr>
        <w:spacing w:line="360" w:lineRule="auto"/>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注：提供书面声明，内容自拟。</w:t>
      </w:r>
    </w:p>
    <w:p w14:paraId="14BC2733">
      <w:pPr>
        <w:spacing w:line="360" w:lineRule="auto"/>
        <w:jc w:val="center"/>
        <w:rPr>
          <w:rFonts w:hint="eastAsia" w:asciiTheme="minorEastAsia" w:hAnsiTheme="minorEastAsia" w:eastAsiaTheme="minorEastAsia"/>
          <w:color w:val="auto"/>
          <w:highlight w:val="none"/>
        </w:rPr>
      </w:pPr>
    </w:p>
    <w:p w14:paraId="113898E3">
      <w:pPr>
        <w:spacing w:line="360" w:lineRule="auto"/>
        <w:jc w:val="center"/>
        <w:rPr>
          <w:rFonts w:hint="eastAsia" w:asciiTheme="minorEastAsia" w:hAnsiTheme="minorEastAsia" w:eastAsiaTheme="minorEastAsia"/>
          <w:color w:val="auto"/>
          <w:highlight w:val="none"/>
        </w:rPr>
      </w:pPr>
    </w:p>
    <w:p w14:paraId="434DE946">
      <w:pPr>
        <w:spacing w:line="360" w:lineRule="auto"/>
        <w:jc w:val="center"/>
        <w:rPr>
          <w:rFonts w:hint="eastAsia" w:asciiTheme="minorEastAsia" w:hAnsiTheme="minorEastAsia" w:eastAsiaTheme="minorEastAsia"/>
          <w:color w:val="auto"/>
          <w:highlight w:val="none"/>
        </w:rPr>
      </w:pPr>
    </w:p>
    <w:p w14:paraId="1EFAEDBC">
      <w:pPr>
        <w:spacing w:line="360" w:lineRule="auto"/>
        <w:jc w:val="center"/>
        <w:rPr>
          <w:rFonts w:hint="eastAsia" w:asciiTheme="minorEastAsia" w:hAnsiTheme="minorEastAsia" w:eastAsiaTheme="minorEastAsia"/>
          <w:color w:val="auto"/>
          <w:highlight w:val="none"/>
        </w:rPr>
      </w:pPr>
    </w:p>
    <w:p w14:paraId="1B7F0DD4">
      <w:pPr>
        <w:spacing w:line="360" w:lineRule="auto"/>
        <w:jc w:val="center"/>
        <w:rPr>
          <w:rFonts w:hint="eastAsia" w:asciiTheme="minorEastAsia" w:hAnsiTheme="minorEastAsia" w:eastAsiaTheme="minorEastAsia"/>
          <w:color w:val="auto"/>
          <w:highlight w:val="none"/>
        </w:rPr>
      </w:pPr>
    </w:p>
    <w:p w14:paraId="74425142">
      <w:pPr>
        <w:spacing w:line="360" w:lineRule="auto"/>
        <w:jc w:val="center"/>
        <w:rPr>
          <w:rFonts w:hint="eastAsia" w:asciiTheme="minorEastAsia" w:hAnsiTheme="minorEastAsia" w:eastAsiaTheme="minorEastAsia"/>
          <w:color w:val="auto"/>
          <w:highlight w:val="none"/>
        </w:rPr>
      </w:pPr>
    </w:p>
    <w:p w14:paraId="2F34499D">
      <w:pPr>
        <w:spacing w:line="360" w:lineRule="auto"/>
        <w:jc w:val="center"/>
        <w:rPr>
          <w:rFonts w:hint="eastAsia" w:asciiTheme="minorEastAsia" w:hAnsiTheme="minorEastAsia" w:eastAsiaTheme="minorEastAsia"/>
          <w:color w:val="auto"/>
          <w:highlight w:val="none"/>
        </w:rPr>
      </w:pPr>
    </w:p>
    <w:p w14:paraId="03F8D099">
      <w:pPr>
        <w:spacing w:line="360" w:lineRule="auto"/>
        <w:jc w:val="center"/>
        <w:rPr>
          <w:rFonts w:hint="eastAsia" w:asciiTheme="minorEastAsia" w:hAnsiTheme="minorEastAsia" w:eastAsiaTheme="minorEastAsia"/>
          <w:color w:val="auto"/>
          <w:highlight w:val="none"/>
        </w:rPr>
      </w:pPr>
    </w:p>
    <w:p w14:paraId="7B6738C6">
      <w:pPr>
        <w:spacing w:line="360" w:lineRule="auto"/>
        <w:jc w:val="center"/>
        <w:rPr>
          <w:rFonts w:hint="eastAsia" w:asciiTheme="minorEastAsia" w:hAnsiTheme="minorEastAsia" w:eastAsiaTheme="minorEastAsia"/>
          <w:color w:val="auto"/>
          <w:highlight w:val="none"/>
        </w:rPr>
      </w:pPr>
    </w:p>
    <w:p w14:paraId="41F9F0CD">
      <w:pPr>
        <w:spacing w:line="360" w:lineRule="auto"/>
        <w:jc w:val="center"/>
        <w:rPr>
          <w:rFonts w:hint="eastAsia" w:asciiTheme="minorEastAsia" w:hAnsiTheme="minorEastAsia" w:eastAsiaTheme="minorEastAsia"/>
          <w:color w:val="auto"/>
          <w:highlight w:val="none"/>
        </w:rPr>
      </w:pPr>
    </w:p>
    <w:p w14:paraId="2C97BF77">
      <w:pPr>
        <w:spacing w:line="360" w:lineRule="auto"/>
        <w:jc w:val="center"/>
        <w:rPr>
          <w:rFonts w:hint="eastAsia" w:asciiTheme="minorEastAsia" w:hAnsiTheme="minorEastAsia" w:eastAsiaTheme="minorEastAsia"/>
          <w:color w:val="auto"/>
          <w:highlight w:val="none"/>
        </w:rPr>
      </w:pPr>
    </w:p>
    <w:p w14:paraId="54990DA6">
      <w:pPr>
        <w:spacing w:line="360" w:lineRule="auto"/>
        <w:jc w:val="center"/>
        <w:rPr>
          <w:rFonts w:hint="eastAsia" w:asciiTheme="minorEastAsia" w:hAnsiTheme="minorEastAsia" w:eastAsiaTheme="minorEastAsia"/>
          <w:color w:val="auto"/>
          <w:highlight w:val="none"/>
        </w:rPr>
      </w:pPr>
    </w:p>
    <w:p w14:paraId="0EAD75D8">
      <w:pPr>
        <w:spacing w:line="360" w:lineRule="auto"/>
        <w:jc w:val="center"/>
        <w:rPr>
          <w:rFonts w:hint="eastAsia" w:asciiTheme="minorEastAsia" w:hAnsiTheme="minorEastAsia" w:eastAsiaTheme="minorEastAsia"/>
          <w:color w:val="auto"/>
          <w:highlight w:val="none"/>
        </w:rPr>
      </w:pPr>
    </w:p>
    <w:p w14:paraId="2F8E9F75">
      <w:pPr>
        <w:spacing w:line="360" w:lineRule="auto"/>
        <w:jc w:val="center"/>
        <w:rPr>
          <w:rFonts w:hint="eastAsia" w:asciiTheme="minorEastAsia" w:hAnsiTheme="minorEastAsia" w:eastAsiaTheme="minorEastAsia"/>
          <w:color w:val="auto"/>
          <w:highlight w:val="none"/>
        </w:rPr>
      </w:pPr>
    </w:p>
    <w:p w14:paraId="0D8829FE">
      <w:pPr>
        <w:spacing w:line="360" w:lineRule="auto"/>
        <w:jc w:val="center"/>
        <w:rPr>
          <w:rFonts w:hint="eastAsia" w:asciiTheme="minorEastAsia" w:hAnsiTheme="minorEastAsia" w:eastAsiaTheme="minorEastAsia"/>
          <w:color w:val="auto"/>
          <w:highlight w:val="none"/>
        </w:rPr>
      </w:pPr>
    </w:p>
    <w:p w14:paraId="3BBFAA9F">
      <w:pPr>
        <w:spacing w:line="360" w:lineRule="auto"/>
        <w:jc w:val="center"/>
        <w:rPr>
          <w:rFonts w:hint="eastAsia" w:asciiTheme="minorEastAsia" w:hAnsiTheme="minorEastAsia" w:eastAsiaTheme="minorEastAsia"/>
          <w:color w:val="auto"/>
          <w:highlight w:val="none"/>
        </w:rPr>
      </w:pPr>
    </w:p>
    <w:p w14:paraId="43017C30">
      <w:pPr>
        <w:autoSpaceDE w:val="0"/>
        <w:autoSpaceDN w:val="0"/>
        <w:adjustRightInd w:val="0"/>
        <w:spacing w:line="360" w:lineRule="auto"/>
        <w:ind w:firstLine="4252" w:firstLineChars="2025"/>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供应商：</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w:t>
      </w:r>
      <w:r>
        <w:rPr>
          <w:rFonts w:hint="eastAsia" w:asciiTheme="minorEastAsia" w:hAnsiTheme="minorEastAsia" w:eastAsiaTheme="minorEastAsia"/>
          <w:color w:val="auto"/>
          <w:szCs w:val="21"/>
          <w:highlight w:val="none"/>
          <w:u w:val="single"/>
        </w:rPr>
        <w:t>电子签章</w:t>
      </w:r>
      <w:r>
        <w:rPr>
          <w:rFonts w:hint="eastAsia" w:asciiTheme="minorEastAsia" w:hAnsiTheme="minorEastAsia" w:eastAsiaTheme="minorEastAsia"/>
          <w:bCs/>
          <w:color w:val="auto"/>
          <w:szCs w:val="21"/>
          <w:highlight w:val="none"/>
          <w:u w:val="single"/>
        </w:rPr>
        <w:t>）</w:t>
      </w:r>
    </w:p>
    <w:p w14:paraId="2B0622E4">
      <w:pPr>
        <w:autoSpaceDE w:val="0"/>
        <w:autoSpaceDN w:val="0"/>
        <w:adjustRightInd w:val="0"/>
        <w:spacing w:line="360" w:lineRule="auto"/>
        <w:ind w:firstLine="4252" w:firstLineChars="2025"/>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法定代表人：</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(电子签章)</w:t>
      </w:r>
      <w:r>
        <w:rPr>
          <w:rFonts w:asciiTheme="minorEastAsia" w:hAnsiTheme="minorEastAsia" w:eastAsiaTheme="minorEastAsia"/>
          <w:bCs/>
          <w:color w:val="auto"/>
          <w:szCs w:val="21"/>
          <w:highlight w:val="none"/>
          <w:u w:val="single"/>
        </w:rPr>
        <w:t xml:space="preserve"> </w:t>
      </w:r>
    </w:p>
    <w:p w14:paraId="25755C6C">
      <w:pPr>
        <w:autoSpaceDE w:val="0"/>
        <w:autoSpaceDN w:val="0"/>
        <w:adjustRightInd w:val="0"/>
        <w:spacing w:line="360" w:lineRule="auto"/>
        <w:ind w:firstLine="4252" w:firstLineChars="2025"/>
        <w:jc w:val="left"/>
        <w:rPr>
          <w:rFonts w:hint="eastAsia" w:ascii="宋体" w:hAnsi="宋体" w:cs="宋体"/>
          <w:color w:val="auto"/>
          <w:szCs w:val="21"/>
          <w:highlight w:val="none"/>
        </w:rPr>
      </w:pPr>
      <w:r>
        <w:rPr>
          <w:rFonts w:hint="eastAsia" w:asciiTheme="minorEastAsia" w:hAnsiTheme="minorEastAsia" w:eastAsiaTheme="minorEastAsia"/>
          <w:bCs/>
          <w:color w:val="auto"/>
          <w:szCs w:val="21"/>
          <w:highlight w:val="none"/>
        </w:rPr>
        <w:t>日期：</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年</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月</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日</w:t>
      </w:r>
    </w:p>
    <w:bookmarkEnd w:id="1103"/>
    <w:bookmarkEnd w:id="1104"/>
    <w:bookmarkEnd w:id="1105"/>
    <w:bookmarkEnd w:id="1119"/>
    <w:bookmarkEnd w:id="1120"/>
    <w:bookmarkEnd w:id="1121"/>
    <w:bookmarkEnd w:id="1122"/>
    <w:bookmarkEnd w:id="1123"/>
    <w:bookmarkEnd w:id="1124"/>
    <w:bookmarkEnd w:id="1125"/>
    <w:bookmarkEnd w:id="1126"/>
    <w:bookmarkEnd w:id="1127"/>
    <w:bookmarkEnd w:id="1128"/>
    <w:bookmarkEnd w:id="1129"/>
    <w:bookmarkEnd w:id="1130"/>
    <w:p w14:paraId="22675BAD">
      <w:pPr>
        <w:rPr>
          <w:rFonts w:hint="eastAsia" w:asciiTheme="minorEastAsia" w:hAnsiTheme="minorEastAsia" w:eastAsiaTheme="minorEastAsia"/>
          <w:b/>
          <w:color w:val="auto"/>
          <w:sz w:val="30"/>
          <w:szCs w:val="30"/>
          <w:highlight w:val="none"/>
        </w:rPr>
      </w:pPr>
      <w:bookmarkStart w:id="1131" w:name="_Toc128658856"/>
      <w:bookmarkStart w:id="1132" w:name="_Toc21376"/>
      <w:bookmarkStart w:id="1133" w:name="_Toc103586124"/>
      <w:bookmarkStart w:id="1134" w:name="_Toc37603119"/>
      <w:bookmarkStart w:id="1135" w:name="_Toc42205066"/>
      <w:r>
        <w:rPr>
          <w:rFonts w:hint="eastAsia" w:asciiTheme="minorEastAsia" w:hAnsiTheme="minorEastAsia" w:eastAsiaTheme="minorEastAsia"/>
          <w:b/>
          <w:color w:val="auto"/>
          <w:sz w:val="30"/>
          <w:szCs w:val="30"/>
          <w:highlight w:val="none"/>
        </w:rPr>
        <w:br w:type="page"/>
      </w:r>
    </w:p>
    <w:p w14:paraId="7234B76A">
      <w:pPr>
        <w:spacing w:line="360" w:lineRule="auto"/>
        <w:jc w:val="center"/>
        <w:outlineLvl w:val="1"/>
        <w:rPr>
          <w:rFonts w:hint="eastAsia" w:asciiTheme="minorEastAsia" w:hAnsiTheme="minorEastAsia" w:eastAsiaTheme="minorEastAsia"/>
          <w:b/>
          <w:color w:val="auto"/>
          <w:sz w:val="30"/>
          <w:szCs w:val="30"/>
          <w:highlight w:val="none"/>
        </w:rPr>
      </w:pPr>
      <w:bookmarkStart w:id="1136" w:name="_Toc180143785"/>
      <w:r>
        <w:rPr>
          <w:rFonts w:hint="eastAsia" w:asciiTheme="minorEastAsia" w:hAnsiTheme="minorEastAsia" w:eastAsiaTheme="minorEastAsia"/>
          <w:b/>
          <w:color w:val="auto"/>
          <w:sz w:val="30"/>
          <w:szCs w:val="30"/>
          <w:highlight w:val="none"/>
        </w:rPr>
        <w:t>二、</w:t>
      </w:r>
      <w:bookmarkEnd w:id="1131"/>
      <w:r>
        <w:rPr>
          <w:rFonts w:hint="eastAsia" w:asciiTheme="minorEastAsia" w:hAnsiTheme="minorEastAsia" w:eastAsiaTheme="minorEastAsia"/>
          <w:b/>
          <w:color w:val="auto"/>
          <w:sz w:val="30"/>
          <w:szCs w:val="30"/>
          <w:highlight w:val="none"/>
        </w:rPr>
        <w:t>商务报价文件</w:t>
      </w:r>
      <w:bookmarkEnd w:id="1136"/>
    </w:p>
    <w:p w14:paraId="6B6D46DB">
      <w:pPr>
        <w:spacing w:line="360" w:lineRule="auto"/>
        <w:jc w:val="center"/>
        <w:outlineLvl w:val="2"/>
        <w:rPr>
          <w:rFonts w:hint="eastAsia" w:asciiTheme="minorEastAsia" w:hAnsiTheme="minorEastAsia" w:eastAsiaTheme="minorEastAsia"/>
          <w:b/>
          <w:color w:val="auto"/>
          <w:sz w:val="28"/>
          <w:szCs w:val="28"/>
          <w:highlight w:val="none"/>
        </w:rPr>
      </w:pPr>
      <w:bookmarkStart w:id="1137" w:name="_Toc116584073"/>
      <w:r>
        <w:rPr>
          <w:rFonts w:hint="eastAsia" w:asciiTheme="minorEastAsia" w:hAnsiTheme="minorEastAsia" w:eastAsiaTheme="minorEastAsia"/>
          <w:b/>
          <w:color w:val="auto"/>
          <w:sz w:val="28"/>
          <w:szCs w:val="28"/>
          <w:highlight w:val="none"/>
        </w:rPr>
        <w:t>（一）投标</w:t>
      </w:r>
      <w:r>
        <w:rPr>
          <w:rFonts w:asciiTheme="minorEastAsia" w:hAnsiTheme="minorEastAsia" w:eastAsiaTheme="minorEastAsia"/>
          <w:b/>
          <w:color w:val="auto"/>
          <w:sz w:val="28"/>
          <w:szCs w:val="28"/>
          <w:highlight w:val="none"/>
        </w:rPr>
        <w:t>函</w:t>
      </w:r>
      <w:bookmarkEnd w:id="1137"/>
    </w:p>
    <w:p w14:paraId="5A442862">
      <w:pPr>
        <w:spacing w:line="360"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致：</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（采购人名称）</w:t>
      </w:r>
    </w:p>
    <w:p w14:paraId="03CE15F1">
      <w:pPr>
        <w:wordWrap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、根据你方采购项目编号为</w:t>
      </w:r>
      <w:r>
        <w:rPr>
          <w:rFonts w:hint="eastAsia" w:asciiTheme="minorEastAsia" w:hAnsiTheme="minorEastAsia" w:eastAsiaTheme="minorEastAsia"/>
          <w:color w:val="auto"/>
          <w:szCs w:val="21"/>
          <w:highlight w:val="none"/>
          <w:u w:val="single"/>
        </w:rPr>
        <w:t xml:space="preserve">  （项目编号）  </w:t>
      </w:r>
      <w:r>
        <w:rPr>
          <w:rFonts w:hint="eastAsia"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（项目名称）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采购文件，遵照《中华人民共和国政府采购法》、《中华人民共和国政府采购法实施条例》等相关法律法规的规定，经研究上述采购文件的供应商须知及采购需求后，</w:t>
      </w:r>
      <w:r>
        <w:rPr>
          <w:rFonts w:hint="eastAsia" w:asciiTheme="minorEastAsia" w:hAnsiTheme="minorEastAsia" w:eastAsiaTheme="minorEastAsia"/>
          <w:snapToGrid w:val="0"/>
          <w:color w:val="auto"/>
          <w:kern w:val="0"/>
          <w:szCs w:val="21"/>
          <w:highlight w:val="none"/>
        </w:rPr>
        <w:t>我公司现</w:t>
      </w:r>
      <w:r>
        <w:rPr>
          <w:rFonts w:hint="eastAsia" w:asciiTheme="minorEastAsia" w:hAnsiTheme="minorEastAsia" w:eastAsiaTheme="minorEastAsia"/>
          <w:color w:val="auto"/>
          <w:highlight w:val="none"/>
        </w:rPr>
        <w:t>参与本项目投标。</w:t>
      </w:r>
    </w:p>
    <w:p w14:paraId="142C65F7">
      <w:pPr>
        <w:wordWrap w:val="0"/>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、我方承诺我方所递交的投标文件在采购文件第二章“供应商须知前附表”第3</w:t>
      </w:r>
      <w:r>
        <w:rPr>
          <w:rFonts w:asciiTheme="minorEastAsia" w:hAnsiTheme="minorEastAsia" w:eastAsiaTheme="minorEastAsia"/>
          <w:color w:val="auto"/>
          <w:szCs w:val="21"/>
          <w:highlight w:val="none"/>
        </w:rPr>
        <w:t>.3.1</w:t>
      </w:r>
      <w:r>
        <w:rPr>
          <w:rFonts w:hint="eastAsia" w:asciiTheme="minorEastAsia" w:hAnsiTheme="minorEastAsia" w:eastAsiaTheme="minorEastAsia"/>
          <w:color w:val="auto"/>
          <w:szCs w:val="21"/>
          <w:highlight w:val="none"/>
        </w:rPr>
        <w:t>项规定的投标有效期内有效。</w:t>
      </w:r>
    </w:p>
    <w:p w14:paraId="06507D0A">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如我方</w:t>
      </w:r>
      <w:r>
        <w:rPr>
          <w:rFonts w:hint="eastAsia" w:asciiTheme="minorEastAsia" w:hAnsiTheme="minorEastAsia" w:eastAsiaTheme="minorEastAsia"/>
          <w:color w:val="auto"/>
          <w:szCs w:val="21"/>
          <w:highlight w:val="none"/>
        </w:rPr>
        <w:t>中标</w:t>
      </w:r>
      <w:r>
        <w:rPr>
          <w:rFonts w:asciiTheme="minorEastAsia" w:hAnsiTheme="minorEastAsia" w:eastAsiaTheme="minorEastAsia"/>
          <w:color w:val="auto"/>
          <w:szCs w:val="21"/>
          <w:highlight w:val="none"/>
        </w:rPr>
        <w:t>：</w:t>
      </w:r>
    </w:p>
    <w:p w14:paraId="58D9A6F9">
      <w:pPr>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（1）我方承诺在收到</w:t>
      </w:r>
      <w:r>
        <w:rPr>
          <w:rFonts w:hint="eastAsia" w:asciiTheme="minorEastAsia" w:hAnsiTheme="minorEastAsia" w:eastAsiaTheme="minorEastAsia"/>
          <w:color w:val="auto"/>
          <w:szCs w:val="21"/>
          <w:highlight w:val="none"/>
        </w:rPr>
        <w:t>中标通知书</w:t>
      </w:r>
      <w:r>
        <w:rPr>
          <w:rFonts w:asciiTheme="minorEastAsia" w:hAnsiTheme="minorEastAsia" w:eastAsiaTheme="minorEastAsia"/>
          <w:color w:val="auto"/>
          <w:szCs w:val="21"/>
          <w:highlight w:val="none"/>
        </w:rPr>
        <w:t>后，在</w:t>
      </w:r>
      <w:r>
        <w:rPr>
          <w:rFonts w:hint="eastAsia" w:asciiTheme="minorEastAsia" w:hAnsiTheme="minorEastAsia" w:eastAsiaTheme="minorEastAsia"/>
          <w:color w:val="auto"/>
          <w:szCs w:val="21"/>
          <w:highlight w:val="none"/>
        </w:rPr>
        <w:t>中标通知书</w:t>
      </w:r>
      <w:r>
        <w:rPr>
          <w:rFonts w:asciiTheme="minorEastAsia" w:hAnsiTheme="minorEastAsia" w:eastAsiaTheme="minorEastAsia"/>
          <w:color w:val="auto"/>
          <w:szCs w:val="21"/>
          <w:highlight w:val="none"/>
        </w:rPr>
        <w:t>规定的期限内与你方签订合同</w:t>
      </w:r>
      <w:r>
        <w:rPr>
          <w:rFonts w:hint="eastAsia" w:asciiTheme="minorEastAsia" w:hAnsiTheme="minorEastAsia" w:eastAsiaTheme="minorEastAsia"/>
          <w:color w:val="auto"/>
          <w:szCs w:val="21"/>
          <w:highlight w:val="none"/>
        </w:rPr>
        <w:t>；</w:t>
      </w:r>
    </w:p>
    <w:p w14:paraId="30E77D18">
      <w:pPr>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）我方承诺在合同约定的期限内完成</w:t>
      </w:r>
      <w:r>
        <w:rPr>
          <w:rFonts w:hint="eastAsia" w:asciiTheme="minorEastAsia" w:hAnsiTheme="minorEastAsia" w:eastAsiaTheme="minorEastAsia"/>
          <w:color w:val="auto"/>
          <w:szCs w:val="21"/>
          <w:highlight w:val="none"/>
        </w:rPr>
        <w:t>所有设备的供应、安装、调试以及实验室改造等所有工作</w:t>
      </w:r>
      <w:r>
        <w:rPr>
          <w:rFonts w:asciiTheme="minorEastAsia" w:hAnsiTheme="minorEastAsia" w:eastAsiaTheme="minorEastAsia"/>
          <w:color w:val="auto"/>
          <w:szCs w:val="21"/>
          <w:highlight w:val="none"/>
        </w:rPr>
        <w:t>。</w:t>
      </w:r>
    </w:p>
    <w:p w14:paraId="3BB6C501">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我方在此声明，所</w:t>
      </w:r>
      <w:r>
        <w:rPr>
          <w:rFonts w:hint="eastAsia" w:asciiTheme="minorEastAsia" w:hAnsiTheme="minorEastAsia" w:eastAsiaTheme="minorEastAsia"/>
          <w:color w:val="auto"/>
          <w:szCs w:val="21"/>
          <w:highlight w:val="none"/>
        </w:rPr>
        <w:t>递交</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投标文件</w:t>
      </w:r>
      <w:r>
        <w:rPr>
          <w:rFonts w:asciiTheme="minorEastAsia" w:hAnsiTheme="minorEastAsia" w:eastAsiaTheme="minorEastAsia"/>
          <w:color w:val="auto"/>
          <w:szCs w:val="21"/>
          <w:highlight w:val="none"/>
        </w:rPr>
        <w:t>及有关资料内容完整、真实和准确。</w:t>
      </w:r>
    </w:p>
    <w:p w14:paraId="6DB0958C">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5、在合同协议书正式签署生效之前，本投标函连同你方的中标通知书将构成我们双方之间共同遵守的文件，对双方具有约束力。</w:t>
      </w:r>
    </w:p>
    <w:p w14:paraId="2A660210">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（其他补充说明）。</w:t>
      </w:r>
    </w:p>
    <w:p w14:paraId="2669F05D">
      <w:pPr>
        <w:autoSpaceDE w:val="0"/>
        <w:autoSpaceDN w:val="0"/>
        <w:adjustRightInd w:val="0"/>
        <w:spacing w:line="360" w:lineRule="auto"/>
        <w:rPr>
          <w:rFonts w:hint="eastAsia" w:asciiTheme="minorEastAsia" w:hAnsiTheme="minorEastAsia" w:eastAsiaTheme="minorEastAsia"/>
          <w:color w:val="auto"/>
          <w:szCs w:val="21"/>
          <w:highlight w:val="none"/>
        </w:rPr>
      </w:pPr>
    </w:p>
    <w:p w14:paraId="4936DD60">
      <w:pPr>
        <w:autoSpaceDE w:val="0"/>
        <w:autoSpaceDN w:val="0"/>
        <w:adjustRightInd w:val="0"/>
        <w:spacing w:line="360" w:lineRule="auto"/>
        <w:rPr>
          <w:rFonts w:hint="eastAsia" w:asciiTheme="minorEastAsia" w:hAnsiTheme="minorEastAsia" w:eastAsiaTheme="minorEastAsia"/>
          <w:color w:val="auto"/>
          <w:szCs w:val="21"/>
          <w:highlight w:val="none"/>
        </w:rPr>
      </w:pPr>
    </w:p>
    <w:p w14:paraId="58D7918D">
      <w:pPr>
        <w:autoSpaceDE w:val="0"/>
        <w:autoSpaceDN w:val="0"/>
        <w:adjustRightInd w:val="0"/>
        <w:spacing w:line="480" w:lineRule="auto"/>
        <w:rPr>
          <w:rFonts w:hint="eastAsia" w:asciiTheme="minorEastAsia" w:hAnsiTheme="minorEastAsia" w:eastAsiaTheme="minorEastAsia"/>
          <w:color w:val="auto"/>
          <w:szCs w:val="21"/>
          <w:highlight w:val="none"/>
        </w:rPr>
      </w:pPr>
    </w:p>
    <w:p w14:paraId="60F7BAB8">
      <w:pPr>
        <w:autoSpaceDE w:val="0"/>
        <w:autoSpaceDN w:val="0"/>
        <w:adjustRightInd w:val="0"/>
        <w:spacing w:line="360" w:lineRule="auto"/>
        <w:ind w:firstLine="3968" w:firstLineChars="189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供应商：</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w:t>
      </w:r>
      <w:r>
        <w:rPr>
          <w:rFonts w:hint="eastAsia" w:asciiTheme="minorEastAsia" w:hAnsiTheme="minorEastAsia" w:eastAsiaTheme="minorEastAsia"/>
          <w:color w:val="auto"/>
          <w:szCs w:val="21"/>
          <w:highlight w:val="none"/>
          <w:u w:val="single"/>
        </w:rPr>
        <w:t>电子签章</w:t>
      </w:r>
      <w:r>
        <w:rPr>
          <w:rFonts w:hint="eastAsia" w:asciiTheme="minorEastAsia" w:hAnsiTheme="minorEastAsia" w:eastAsiaTheme="minorEastAsia"/>
          <w:bCs/>
          <w:color w:val="auto"/>
          <w:szCs w:val="21"/>
          <w:highlight w:val="none"/>
          <w:u w:val="single"/>
        </w:rPr>
        <w:t>）</w:t>
      </w:r>
    </w:p>
    <w:p w14:paraId="1AC2FF49">
      <w:pPr>
        <w:autoSpaceDE w:val="0"/>
        <w:autoSpaceDN w:val="0"/>
        <w:adjustRightInd w:val="0"/>
        <w:spacing w:line="360" w:lineRule="auto"/>
        <w:ind w:firstLine="3968" w:firstLineChars="189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法定代表人：</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 xml:space="preserve"> (电子签章)</w:t>
      </w:r>
      <w:r>
        <w:rPr>
          <w:rFonts w:asciiTheme="minorEastAsia" w:hAnsiTheme="minorEastAsia" w:eastAsiaTheme="minorEastAsia"/>
          <w:bCs/>
          <w:color w:val="auto"/>
          <w:szCs w:val="21"/>
          <w:highlight w:val="none"/>
          <w:u w:val="single"/>
        </w:rPr>
        <w:t xml:space="preserve"> </w:t>
      </w:r>
    </w:p>
    <w:p w14:paraId="45C85036">
      <w:pPr>
        <w:autoSpaceDE w:val="0"/>
        <w:autoSpaceDN w:val="0"/>
        <w:adjustRightInd w:val="0"/>
        <w:spacing w:line="360" w:lineRule="auto"/>
        <w:ind w:firstLine="3968" w:firstLineChars="1890"/>
        <w:jc w:val="left"/>
        <w:rPr>
          <w:rFonts w:hint="eastAsia" w:asciiTheme="minorEastAsia" w:hAnsiTheme="minorEastAsia" w:eastAsiaTheme="minorEastAsia"/>
          <w:bCs/>
          <w:color w:val="auto"/>
          <w:szCs w:val="21"/>
          <w:highlight w:val="none"/>
          <w:u w:val="single"/>
        </w:rPr>
      </w:pPr>
      <w:r>
        <w:rPr>
          <w:rFonts w:hint="eastAsia" w:asciiTheme="minorEastAsia" w:hAnsiTheme="minorEastAsia" w:eastAsiaTheme="minorEastAsia"/>
          <w:bCs/>
          <w:color w:val="auto"/>
          <w:szCs w:val="21"/>
          <w:highlight w:val="none"/>
        </w:rPr>
        <w:t>地址：</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p>
    <w:p w14:paraId="30BA0667">
      <w:pPr>
        <w:autoSpaceDE w:val="0"/>
        <w:autoSpaceDN w:val="0"/>
        <w:adjustRightInd w:val="0"/>
        <w:spacing w:line="360" w:lineRule="auto"/>
        <w:ind w:firstLine="3968" w:firstLineChars="1890"/>
        <w:jc w:val="left"/>
        <w:rPr>
          <w:rFonts w:hint="eastAsia" w:asciiTheme="minorEastAsia" w:hAnsiTheme="minorEastAsia" w:eastAsiaTheme="minorEastAsia"/>
          <w:bCs/>
          <w:color w:val="auto"/>
          <w:szCs w:val="21"/>
          <w:highlight w:val="none"/>
          <w:u w:val="single"/>
        </w:rPr>
      </w:pPr>
      <w:r>
        <w:rPr>
          <w:rFonts w:hint="eastAsia" w:asciiTheme="minorEastAsia" w:hAnsiTheme="minorEastAsia" w:eastAsiaTheme="minorEastAsia"/>
          <w:bCs/>
          <w:color w:val="auto"/>
          <w:szCs w:val="21"/>
          <w:highlight w:val="none"/>
        </w:rPr>
        <w:t>电话：</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p>
    <w:p w14:paraId="6B946EA3">
      <w:pPr>
        <w:autoSpaceDE w:val="0"/>
        <w:autoSpaceDN w:val="0"/>
        <w:adjustRightInd w:val="0"/>
        <w:spacing w:line="360" w:lineRule="auto"/>
        <w:ind w:firstLine="3968" w:firstLineChars="189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日期：</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年</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月</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日</w:t>
      </w:r>
    </w:p>
    <w:p w14:paraId="38655F86">
      <w:pPr>
        <w:widowControl/>
        <w:ind w:firstLine="562"/>
        <w:jc w:val="left"/>
        <w:rPr>
          <w:rFonts w:hint="eastAsia" w:asciiTheme="minorEastAsia" w:hAnsiTheme="minorEastAsia" w:eastAsiaTheme="minorEastAsia"/>
          <w:b/>
          <w:color w:val="auto"/>
          <w:sz w:val="28"/>
          <w:szCs w:val="28"/>
          <w:highlight w:val="none"/>
        </w:rPr>
      </w:pPr>
      <w:bookmarkStart w:id="1138" w:name="_Toc116584074"/>
      <w:r>
        <w:rPr>
          <w:rFonts w:asciiTheme="minorEastAsia" w:hAnsiTheme="minorEastAsia" w:eastAsiaTheme="minorEastAsia"/>
          <w:b/>
          <w:color w:val="auto"/>
          <w:sz w:val="28"/>
          <w:szCs w:val="28"/>
          <w:highlight w:val="none"/>
        </w:rPr>
        <w:br w:type="page"/>
      </w:r>
    </w:p>
    <w:p w14:paraId="240E5858">
      <w:pPr>
        <w:spacing w:line="360" w:lineRule="auto"/>
        <w:jc w:val="center"/>
        <w:outlineLvl w:val="2"/>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（二）</w:t>
      </w:r>
      <w:r>
        <w:rPr>
          <w:rFonts w:asciiTheme="minorEastAsia" w:hAnsiTheme="minorEastAsia" w:eastAsiaTheme="minorEastAsia"/>
          <w:b/>
          <w:color w:val="auto"/>
          <w:sz w:val="28"/>
          <w:szCs w:val="28"/>
          <w:highlight w:val="none"/>
        </w:rPr>
        <w:t>法定代表人身份证明</w:t>
      </w:r>
      <w:bookmarkEnd w:id="1138"/>
      <w:r>
        <w:rPr>
          <w:rFonts w:hint="eastAsia" w:asciiTheme="minorEastAsia" w:hAnsiTheme="minorEastAsia" w:eastAsiaTheme="minorEastAsia"/>
          <w:b/>
          <w:color w:val="auto"/>
          <w:sz w:val="28"/>
          <w:szCs w:val="28"/>
          <w:highlight w:val="none"/>
        </w:rPr>
        <w:t>及授权委托书</w:t>
      </w:r>
    </w:p>
    <w:p w14:paraId="555FF871">
      <w:pPr>
        <w:spacing w:line="360" w:lineRule="auto"/>
        <w:jc w:val="center"/>
        <w:outlineLvl w:val="3"/>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1.</w:t>
      </w:r>
      <w:r>
        <w:rPr>
          <w:rFonts w:asciiTheme="minorEastAsia" w:hAnsiTheme="minorEastAsia" w:eastAsiaTheme="minorEastAsia"/>
          <w:b/>
          <w:color w:val="auto"/>
          <w:sz w:val="28"/>
          <w:szCs w:val="28"/>
          <w:highlight w:val="none"/>
        </w:rPr>
        <w:t>法定代表人身份证明</w:t>
      </w:r>
    </w:p>
    <w:p w14:paraId="5DCAE409">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供应商：</w:t>
      </w:r>
      <w:r>
        <w:rPr>
          <w:rFonts w:hint="eastAsia" w:cs="仿宋_GB2312" w:asciiTheme="minorEastAsia" w:hAnsiTheme="minorEastAsia" w:eastAsiaTheme="minorEastAsia"/>
          <w:color w:val="auto"/>
          <w:szCs w:val="21"/>
          <w:highlight w:val="none"/>
          <w:u w:val="single"/>
        </w:rPr>
        <w:t xml:space="preserve">                                           </w:t>
      </w:r>
    </w:p>
    <w:p w14:paraId="4B9B1711">
      <w:pPr>
        <w:spacing w:line="360" w:lineRule="auto"/>
        <w:ind w:firstLine="539" w:firstLineChars="257"/>
        <w:rPr>
          <w:rFonts w:hint="eastAsia" w:cs="仿宋_GB2312" w:asciiTheme="minorEastAsia" w:hAnsiTheme="minorEastAsia" w:eastAsiaTheme="minorEastAsia"/>
          <w:color w:val="auto"/>
          <w:szCs w:val="21"/>
          <w:highlight w:val="none"/>
          <w:u w:val="single"/>
        </w:rPr>
      </w:pPr>
      <w:r>
        <w:rPr>
          <w:rFonts w:hint="eastAsia" w:cs="仿宋_GB2312" w:asciiTheme="minorEastAsia" w:hAnsiTheme="minorEastAsia" w:eastAsiaTheme="minorEastAsia"/>
          <w:color w:val="auto"/>
          <w:szCs w:val="21"/>
          <w:highlight w:val="none"/>
        </w:rPr>
        <w:t>单位性质：</w:t>
      </w:r>
      <w:r>
        <w:rPr>
          <w:rFonts w:hint="eastAsia" w:cs="仿宋_GB2312" w:asciiTheme="minorEastAsia" w:hAnsiTheme="minorEastAsia" w:eastAsiaTheme="minorEastAsia"/>
          <w:color w:val="auto"/>
          <w:szCs w:val="21"/>
          <w:highlight w:val="none"/>
          <w:u w:val="single"/>
        </w:rPr>
        <w:t xml:space="preserve">                                         </w:t>
      </w:r>
    </w:p>
    <w:p w14:paraId="17D0D34D">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地    址：</w:t>
      </w:r>
      <w:r>
        <w:rPr>
          <w:rFonts w:hint="eastAsia" w:cs="仿宋_GB2312" w:asciiTheme="minorEastAsia" w:hAnsiTheme="minorEastAsia" w:eastAsiaTheme="minorEastAsia"/>
          <w:color w:val="auto"/>
          <w:szCs w:val="21"/>
          <w:highlight w:val="none"/>
          <w:u w:val="single"/>
        </w:rPr>
        <w:t xml:space="preserve">                                         </w:t>
      </w:r>
    </w:p>
    <w:p w14:paraId="4146E892">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成立时间：</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年</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月</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日</w:t>
      </w:r>
    </w:p>
    <w:p w14:paraId="5854FA56">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经营期限：</w:t>
      </w:r>
      <w:r>
        <w:rPr>
          <w:rFonts w:hint="eastAsia" w:cs="仿宋_GB2312" w:asciiTheme="minorEastAsia" w:hAnsiTheme="minorEastAsia" w:eastAsiaTheme="minorEastAsia"/>
          <w:color w:val="auto"/>
          <w:szCs w:val="21"/>
          <w:highlight w:val="none"/>
          <w:u w:val="single"/>
        </w:rPr>
        <w:t xml:space="preserve">                                         </w:t>
      </w:r>
    </w:p>
    <w:p w14:paraId="4F149227">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姓    名：</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 xml:space="preserve">    性    别：</w:t>
      </w:r>
      <w:r>
        <w:rPr>
          <w:rFonts w:hint="eastAsia" w:cs="仿宋_GB2312" w:asciiTheme="minorEastAsia" w:hAnsiTheme="minorEastAsia" w:eastAsiaTheme="minorEastAsia"/>
          <w:color w:val="auto"/>
          <w:szCs w:val="21"/>
          <w:highlight w:val="none"/>
          <w:u w:val="single"/>
        </w:rPr>
        <w:t xml:space="preserve">           </w:t>
      </w:r>
    </w:p>
    <w:p w14:paraId="6337C4FF">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年    龄：</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 xml:space="preserve">    职    务：</w:t>
      </w:r>
      <w:r>
        <w:rPr>
          <w:rFonts w:hint="eastAsia" w:cs="仿宋_GB2312" w:asciiTheme="minorEastAsia" w:hAnsiTheme="minorEastAsia" w:eastAsiaTheme="minorEastAsia"/>
          <w:color w:val="auto"/>
          <w:szCs w:val="21"/>
          <w:highlight w:val="none"/>
          <w:u w:val="single"/>
        </w:rPr>
        <w:t xml:space="preserve">           </w:t>
      </w:r>
    </w:p>
    <w:p w14:paraId="6D8D5AE0">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系</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（供应商）的法定代表人。</w:t>
      </w:r>
    </w:p>
    <w:p w14:paraId="62E44752">
      <w:pPr>
        <w:autoSpaceDE w:val="0"/>
        <w:autoSpaceDN w:val="0"/>
        <w:adjustRightInd w:val="0"/>
        <w:spacing w:line="360" w:lineRule="auto"/>
        <w:ind w:firstLine="420"/>
        <w:jc w:val="center"/>
        <w:rPr>
          <w:rFonts w:hint="eastAsia" w:asciiTheme="minorEastAsia" w:hAnsiTheme="minorEastAsia" w:eastAsiaTheme="minorEastAsia"/>
          <w:color w:val="auto"/>
          <w:szCs w:val="21"/>
          <w:highlight w:val="none"/>
        </w:rPr>
      </w:pPr>
    </w:p>
    <w:p w14:paraId="6A91100B">
      <w:pPr>
        <w:spacing w:line="360" w:lineRule="auto"/>
        <w:ind w:firstLine="539" w:firstLineChars="257"/>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特此证明。</w:t>
      </w:r>
    </w:p>
    <w:p w14:paraId="5A216E7B">
      <w:pPr>
        <w:autoSpaceDE w:val="0"/>
        <w:autoSpaceDN w:val="0"/>
        <w:adjustRightInd w:val="0"/>
        <w:spacing w:line="360" w:lineRule="auto"/>
        <w:ind w:firstLine="422"/>
        <w:jc w:val="cente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附：法定代表人身份证的原件扫描件</w:t>
      </w:r>
    </w:p>
    <w:p w14:paraId="4F984185">
      <w:pPr>
        <w:spacing w:line="360" w:lineRule="auto"/>
        <w:rPr>
          <w:rFonts w:hint="eastAsia" w:cs="仿宋_GB2312" w:asciiTheme="minorEastAsia" w:hAnsiTheme="minorEastAsia" w:eastAsiaTheme="minorEastAsia"/>
          <w:color w:val="auto"/>
          <w:szCs w:val="21"/>
          <w:highlight w:val="none"/>
        </w:rPr>
      </w:pPr>
    </w:p>
    <w:p w14:paraId="1F16672E">
      <w:pPr>
        <w:spacing w:line="360" w:lineRule="auto"/>
        <w:rPr>
          <w:rFonts w:hint="eastAsia" w:cs="仿宋_GB2312" w:asciiTheme="minorEastAsia" w:hAnsiTheme="minorEastAsia" w:eastAsiaTheme="minorEastAsia"/>
          <w:color w:val="auto"/>
          <w:szCs w:val="21"/>
          <w:highlight w:val="none"/>
        </w:rPr>
      </w:pPr>
    </w:p>
    <w:p w14:paraId="39811DB6">
      <w:pPr>
        <w:spacing w:line="360" w:lineRule="auto"/>
        <w:rPr>
          <w:rFonts w:hint="eastAsia" w:cs="仿宋_GB2312" w:asciiTheme="minorEastAsia" w:hAnsiTheme="minorEastAsia" w:eastAsiaTheme="minorEastAsia"/>
          <w:color w:val="auto"/>
          <w:szCs w:val="21"/>
          <w:highlight w:val="none"/>
        </w:rPr>
      </w:pPr>
    </w:p>
    <w:p w14:paraId="295DAC54">
      <w:pPr>
        <w:spacing w:line="360" w:lineRule="auto"/>
        <w:rPr>
          <w:rFonts w:hint="eastAsia" w:cs="仿宋_GB2312" w:asciiTheme="minorEastAsia" w:hAnsiTheme="minorEastAsia" w:eastAsiaTheme="minorEastAsia"/>
          <w:color w:val="auto"/>
          <w:szCs w:val="21"/>
          <w:highlight w:val="none"/>
        </w:rPr>
      </w:pPr>
    </w:p>
    <w:p w14:paraId="09A8EADC">
      <w:pPr>
        <w:spacing w:line="360" w:lineRule="auto"/>
        <w:rPr>
          <w:rFonts w:hint="eastAsia" w:cs="仿宋_GB2312" w:asciiTheme="minorEastAsia" w:hAnsiTheme="minorEastAsia" w:eastAsiaTheme="minorEastAsia"/>
          <w:color w:val="auto"/>
          <w:szCs w:val="21"/>
          <w:highlight w:val="none"/>
        </w:rPr>
      </w:pPr>
    </w:p>
    <w:p w14:paraId="3046B351">
      <w:pPr>
        <w:spacing w:line="360" w:lineRule="auto"/>
        <w:rPr>
          <w:rFonts w:hint="eastAsia" w:cs="仿宋_GB2312" w:asciiTheme="minorEastAsia" w:hAnsiTheme="minorEastAsia" w:eastAsiaTheme="minorEastAsia"/>
          <w:color w:val="auto"/>
          <w:szCs w:val="21"/>
          <w:highlight w:val="none"/>
        </w:rPr>
      </w:pPr>
    </w:p>
    <w:p w14:paraId="235A0983">
      <w:pPr>
        <w:spacing w:line="360" w:lineRule="auto"/>
        <w:rPr>
          <w:rFonts w:hint="eastAsia" w:cs="仿宋_GB2312" w:asciiTheme="minorEastAsia" w:hAnsiTheme="minorEastAsia" w:eastAsiaTheme="minorEastAsia"/>
          <w:color w:val="auto"/>
          <w:szCs w:val="21"/>
          <w:highlight w:val="none"/>
        </w:rPr>
      </w:pPr>
    </w:p>
    <w:p w14:paraId="502BAD52">
      <w:pPr>
        <w:spacing w:line="360" w:lineRule="auto"/>
        <w:rPr>
          <w:rFonts w:hint="eastAsia" w:cs="仿宋_GB2312" w:asciiTheme="minorEastAsia" w:hAnsiTheme="minorEastAsia" w:eastAsiaTheme="minorEastAsia"/>
          <w:color w:val="auto"/>
          <w:szCs w:val="21"/>
          <w:highlight w:val="none"/>
        </w:rPr>
      </w:pPr>
    </w:p>
    <w:p w14:paraId="36A50E9D">
      <w:pPr>
        <w:spacing w:line="360" w:lineRule="auto"/>
        <w:rPr>
          <w:rFonts w:hint="eastAsia" w:cs="仿宋_GB2312" w:asciiTheme="minorEastAsia" w:hAnsiTheme="minorEastAsia" w:eastAsiaTheme="minorEastAsia"/>
          <w:color w:val="auto"/>
          <w:szCs w:val="21"/>
          <w:highlight w:val="none"/>
        </w:rPr>
      </w:pPr>
    </w:p>
    <w:p w14:paraId="752E5F1E">
      <w:pPr>
        <w:spacing w:line="360" w:lineRule="auto"/>
        <w:ind w:right="105"/>
        <w:jc w:val="left"/>
        <w:rPr>
          <w:rFonts w:hint="eastAsia" w:cs="仿宋_GB2312" w:asciiTheme="minorEastAsia" w:hAnsiTheme="minorEastAsia" w:eastAsiaTheme="minorEastAsia"/>
          <w:color w:val="auto"/>
          <w:szCs w:val="21"/>
          <w:highlight w:val="none"/>
        </w:rPr>
      </w:pPr>
    </w:p>
    <w:p w14:paraId="0F040A0C">
      <w:pPr>
        <w:spacing w:line="360" w:lineRule="auto"/>
        <w:ind w:right="105"/>
        <w:jc w:val="left"/>
        <w:rPr>
          <w:rFonts w:hint="eastAsia" w:cs="仿宋_GB2312" w:asciiTheme="minorEastAsia" w:hAnsiTheme="minorEastAsia" w:eastAsiaTheme="minorEastAsia"/>
          <w:color w:val="auto"/>
          <w:szCs w:val="21"/>
          <w:highlight w:val="none"/>
        </w:rPr>
      </w:pPr>
    </w:p>
    <w:p w14:paraId="2902237C">
      <w:pPr>
        <w:spacing w:line="360" w:lineRule="auto"/>
        <w:ind w:right="105"/>
        <w:jc w:val="left"/>
        <w:rPr>
          <w:rFonts w:hint="eastAsia" w:cs="仿宋_GB2312" w:asciiTheme="minorEastAsia" w:hAnsiTheme="minorEastAsia" w:eastAsiaTheme="minorEastAsia"/>
          <w:color w:val="auto"/>
          <w:szCs w:val="21"/>
          <w:highlight w:val="none"/>
        </w:rPr>
      </w:pPr>
    </w:p>
    <w:p w14:paraId="52181D91">
      <w:pPr>
        <w:spacing w:line="360" w:lineRule="auto"/>
        <w:ind w:right="169" w:firstLine="4252" w:firstLineChars="2025"/>
        <w:jc w:val="left"/>
        <w:rPr>
          <w:rFonts w:hint="eastAsia" w:cs="仿宋_GB2312" w:asciiTheme="minorEastAsia" w:hAnsiTheme="minorEastAsia" w:eastAsiaTheme="minorEastAsia"/>
          <w:color w:val="auto"/>
          <w:szCs w:val="21"/>
          <w:highlight w:val="none"/>
          <w:u w:val="single"/>
        </w:rPr>
      </w:pPr>
      <w:r>
        <w:rPr>
          <w:rFonts w:hint="eastAsia" w:cs="仿宋_GB2312" w:asciiTheme="minorEastAsia" w:hAnsiTheme="minorEastAsia" w:eastAsiaTheme="minorEastAsia"/>
          <w:color w:val="auto"/>
          <w:szCs w:val="21"/>
          <w:highlight w:val="none"/>
        </w:rPr>
        <w:t>供应商：</w:t>
      </w:r>
      <w:r>
        <w:rPr>
          <w:rFonts w:hint="eastAsia" w:cs="仿宋_GB2312" w:asciiTheme="minorEastAsia" w:hAnsiTheme="minorEastAsia" w:eastAsiaTheme="minorEastAsia"/>
          <w:color w:val="auto"/>
          <w:szCs w:val="21"/>
          <w:highlight w:val="none"/>
          <w:u w:val="single"/>
        </w:rPr>
        <w:t xml:space="preserve">           </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u w:val="single"/>
        </w:rPr>
        <w:t>电子签章</w:t>
      </w:r>
      <w:r>
        <w:rPr>
          <w:rFonts w:hint="eastAsia" w:cs="仿宋_GB2312" w:asciiTheme="minorEastAsia" w:hAnsiTheme="minorEastAsia" w:eastAsiaTheme="minorEastAsia"/>
          <w:color w:val="auto"/>
          <w:szCs w:val="21"/>
          <w:highlight w:val="none"/>
          <w:u w:val="single"/>
        </w:rPr>
        <w:t>）</w:t>
      </w:r>
    </w:p>
    <w:p w14:paraId="0233357F">
      <w:pPr>
        <w:spacing w:before="60" w:after="60" w:line="360" w:lineRule="auto"/>
        <w:ind w:right="420" w:firstLine="4252" w:firstLineChars="2025"/>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 期：</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14:paraId="0197F93F">
      <w:pPr>
        <w:widowControl/>
        <w:spacing w:line="360" w:lineRule="auto"/>
        <w:jc w:val="left"/>
        <w:rPr>
          <w:rFonts w:hint="eastAsia" w:cs="仿宋_GB2312" w:asciiTheme="minorEastAsia" w:hAnsiTheme="minorEastAsia" w:eastAsiaTheme="minorEastAsia"/>
          <w:color w:val="auto"/>
          <w:szCs w:val="21"/>
          <w:highlight w:val="none"/>
        </w:rPr>
      </w:pPr>
    </w:p>
    <w:p w14:paraId="7C85B0F9">
      <w:pPr>
        <w:spacing w:line="360" w:lineRule="auto"/>
        <w:ind w:firstLine="562"/>
        <w:jc w:val="center"/>
        <w:outlineLvl w:val="2"/>
        <w:rPr>
          <w:rFonts w:hint="eastAsia" w:asciiTheme="minorEastAsia" w:hAnsiTheme="minorEastAsia" w:eastAsiaTheme="minorEastAsia"/>
          <w:b/>
          <w:color w:val="auto"/>
          <w:sz w:val="28"/>
          <w:szCs w:val="28"/>
          <w:highlight w:val="none"/>
        </w:rPr>
        <w:sectPr>
          <w:headerReference r:id="rId10" w:type="first"/>
          <w:footerReference r:id="rId11" w:type="first"/>
          <w:pgSz w:w="11906" w:h="16838"/>
          <w:pgMar w:top="1440" w:right="1474" w:bottom="1440" w:left="1474" w:header="851" w:footer="851" w:gutter="0"/>
          <w:cols w:space="720" w:num="1"/>
          <w:docGrid w:linePitch="312" w:charSpace="0"/>
        </w:sectPr>
      </w:pPr>
    </w:p>
    <w:p w14:paraId="736C470F">
      <w:pPr>
        <w:spacing w:line="360" w:lineRule="auto"/>
        <w:jc w:val="center"/>
        <w:outlineLvl w:val="3"/>
        <w:rPr>
          <w:rFonts w:hint="eastAsia" w:asciiTheme="minorEastAsia" w:hAnsiTheme="minorEastAsia" w:eastAsiaTheme="minorEastAsia"/>
          <w:b/>
          <w:color w:val="auto"/>
          <w:sz w:val="28"/>
          <w:szCs w:val="28"/>
          <w:highlight w:val="none"/>
        </w:rPr>
      </w:pPr>
      <w:bookmarkStart w:id="1139" w:name="_Toc116584075"/>
      <w:r>
        <w:rPr>
          <w:rFonts w:hint="eastAsia" w:asciiTheme="minorEastAsia" w:hAnsiTheme="minorEastAsia" w:eastAsiaTheme="minorEastAsia"/>
          <w:b/>
          <w:color w:val="auto"/>
          <w:sz w:val="28"/>
          <w:szCs w:val="28"/>
          <w:highlight w:val="none"/>
        </w:rPr>
        <w:t>2.</w:t>
      </w:r>
      <w:r>
        <w:rPr>
          <w:rFonts w:asciiTheme="minorEastAsia" w:hAnsiTheme="minorEastAsia" w:eastAsiaTheme="minorEastAsia"/>
          <w:b/>
          <w:color w:val="auto"/>
          <w:sz w:val="28"/>
          <w:szCs w:val="28"/>
          <w:highlight w:val="none"/>
        </w:rPr>
        <w:t>授权委托书</w:t>
      </w:r>
      <w:bookmarkEnd w:id="1139"/>
    </w:p>
    <w:p w14:paraId="1BEEF85F">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本人</w:t>
      </w:r>
      <w:r>
        <w:rPr>
          <w:rFonts w:hint="eastAsia" w:cs="仿宋_GB2312" w:asciiTheme="minorEastAsia" w:hAnsiTheme="minorEastAsia" w:eastAsiaTheme="minorEastAsia"/>
          <w:color w:val="auto"/>
          <w:szCs w:val="21"/>
          <w:highlight w:val="none"/>
          <w:u w:val="single"/>
        </w:rPr>
        <w:t xml:space="preserve">    </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（姓名）系</w:t>
      </w:r>
      <w:r>
        <w:rPr>
          <w:rFonts w:hint="eastAsia" w:cs="仿宋_GB2312" w:asciiTheme="minorEastAsia" w:hAnsiTheme="minorEastAsia" w:eastAsiaTheme="minorEastAsia"/>
          <w:color w:val="auto"/>
          <w:szCs w:val="21"/>
          <w:highlight w:val="none"/>
          <w:u w:val="single"/>
        </w:rPr>
        <w:t xml:space="preserve">     </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（供应商名称）的法定代表人，现委托</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（姓名）为我方代理人。代理人根据授权，以我方名义签署、澄清、说明、补正、</w:t>
      </w:r>
      <w:r>
        <w:rPr>
          <w:rFonts w:hint="eastAsia" w:asciiTheme="minorEastAsia" w:hAnsiTheme="minorEastAsia" w:eastAsiaTheme="minorEastAsia"/>
          <w:color w:val="auto"/>
          <w:szCs w:val="28"/>
          <w:highlight w:val="none"/>
        </w:rPr>
        <w:t>递交</w:t>
      </w:r>
      <w:r>
        <w:rPr>
          <w:rFonts w:hint="eastAsia" w:cs="仿宋_GB2312" w:asciiTheme="minorEastAsia" w:hAnsiTheme="minorEastAsia" w:eastAsiaTheme="minorEastAsia"/>
          <w:color w:val="auto"/>
          <w:szCs w:val="21"/>
          <w:highlight w:val="none"/>
        </w:rPr>
        <w:t>、撤回、修改</w:t>
      </w:r>
      <w:r>
        <w:rPr>
          <w:rFonts w:hint="eastAsia" w:cs="仿宋_GB2312" w:asciiTheme="minorEastAsia" w:hAnsiTheme="minorEastAsia" w:eastAsiaTheme="minorEastAsia"/>
          <w:color w:val="auto"/>
          <w:szCs w:val="21"/>
          <w:highlight w:val="none"/>
          <w:u w:val="single"/>
        </w:rPr>
        <w:t xml:space="preserve">（项目名称） </w:t>
      </w:r>
      <w:r>
        <w:rPr>
          <w:rFonts w:hint="eastAsia" w:cs="仿宋_GB2312" w:asciiTheme="minorEastAsia" w:hAnsiTheme="minorEastAsia" w:eastAsiaTheme="minorEastAsia"/>
          <w:color w:val="auto"/>
          <w:szCs w:val="21"/>
          <w:highlight w:val="none"/>
        </w:rPr>
        <w:t>的投标文件，其法律后果由我方承担。</w:t>
      </w:r>
    </w:p>
    <w:p w14:paraId="39BB19F9">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委托期限：</w:t>
      </w:r>
      <w:r>
        <w:rPr>
          <w:rFonts w:hint="eastAsia"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rPr>
        <w:t>。</w:t>
      </w:r>
    </w:p>
    <w:p w14:paraId="59E0278B">
      <w:pPr>
        <w:spacing w:line="360" w:lineRule="auto"/>
        <w:ind w:firstLine="420" w:firstLineChars="200"/>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代理人无转委托权。</w:t>
      </w:r>
    </w:p>
    <w:p w14:paraId="0759E148">
      <w:pPr>
        <w:autoSpaceDE w:val="0"/>
        <w:autoSpaceDN w:val="0"/>
        <w:adjustRightInd w:val="0"/>
        <w:spacing w:line="360" w:lineRule="auto"/>
        <w:rPr>
          <w:rFonts w:hint="eastAsia"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 xml:space="preserve">        </w:t>
      </w:r>
    </w:p>
    <w:p w14:paraId="1E243C35">
      <w:pPr>
        <w:autoSpaceDE w:val="0"/>
        <w:autoSpaceDN w:val="0"/>
        <w:adjustRightInd w:val="0"/>
        <w:spacing w:line="360" w:lineRule="auto"/>
        <w:ind w:firstLine="422"/>
        <w:jc w:val="center"/>
        <w:rPr>
          <w:rFonts w:hint="eastAsia"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附：委托代理人身份证的原件扫描件</w:t>
      </w:r>
    </w:p>
    <w:p w14:paraId="6F2687CE">
      <w:pPr>
        <w:spacing w:line="360" w:lineRule="auto"/>
        <w:ind w:firstLine="420" w:firstLineChars="200"/>
        <w:rPr>
          <w:rFonts w:hint="eastAsia" w:cs="仿宋_GB2312" w:asciiTheme="minorEastAsia" w:hAnsiTheme="minorEastAsia" w:eastAsiaTheme="minorEastAsia"/>
          <w:color w:val="auto"/>
          <w:szCs w:val="21"/>
          <w:highlight w:val="none"/>
        </w:rPr>
      </w:pPr>
    </w:p>
    <w:p w14:paraId="3434DFC6">
      <w:pPr>
        <w:spacing w:line="360" w:lineRule="auto"/>
        <w:ind w:firstLine="420" w:firstLineChars="200"/>
        <w:rPr>
          <w:rFonts w:hint="eastAsia" w:cs="仿宋_GB2312" w:asciiTheme="minorEastAsia" w:hAnsiTheme="minorEastAsia" w:eastAsiaTheme="minorEastAsia"/>
          <w:color w:val="auto"/>
          <w:szCs w:val="21"/>
          <w:highlight w:val="none"/>
        </w:rPr>
      </w:pPr>
    </w:p>
    <w:p w14:paraId="6B79852B">
      <w:pPr>
        <w:spacing w:line="360" w:lineRule="auto"/>
        <w:ind w:firstLine="420" w:firstLineChars="200"/>
        <w:rPr>
          <w:rFonts w:hint="eastAsia" w:cs="仿宋_GB2312" w:asciiTheme="minorEastAsia" w:hAnsiTheme="minorEastAsia" w:eastAsiaTheme="minorEastAsia"/>
          <w:color w:val="auto"/>
          <w:szCs w:val="21"/>
          <w:highlight w:val="none"/>
        </w:rPr>
      </w:pPr>
    </w:p>
    <w:p w14:paraId="2FF6C572">
      <w:pPr>
        <w:spacing w:line="360" w:lineRule="auto"/>
        <w:rPr>
          <w:rFonts w:hint="eastAsia" w:cs="仿宋_GB2312" w:asciiTheme="minorEastAsia" w:hAnsiTheme="minorEastAsia" w:eastAsiaTheme="minorEastAsia"/>
          <w:color w:val="auto"/>
          <w:szCs w:val="21"/>
          <w:highlight w:val="none"/>
        </w:rPr>
      </w:pPr>
    </w:p>
    <w:p w14:paraId="290185F3">
      <w:pPr>
        <w:spacing w:line="360" w:lineRule="auto"/>
        <w:ind w:firstLine="420" w:firstLineChars="200"/>
        <w:rPr>
          <w:rFonts w:hint="eastAsia" w:cs="仿宋_GB2312" w:asciiTheme="minorEastAsia" w:hAnsiTheme="minorEastAsia" w:eastAsiaTheme="minorEastAsia"/>
          <w:color w:val="auto"/>
          <w:szCs w:val="21"/>
          <w:highlight w:val="none"/>
        </w:rPr>
      </w:pPr>
    </w:p>
    <w:p w14:paraId="3A7C8575">
      <w:pPr>
        <w:spacing w:line="360" w:lineRule="auto"/>
        <w:ind w:firstLine="539" w:firstLineChars="257"/>
        <w:rPr>
          <w:rFonts w:hint="eastAsia" w:cs="仿宋_GB2312" w:asciiTheme="minorEastAsia" w:hAnsiTheme="minorEastAsia" w:eastAsiaTheme="minorEastAsia"/>
          <w:color w:val="auto"/>
          <w:szCs w:val="21"/>
          <w:highlight w:val="none"/>
        </w:rPr>
      </w:pPr>
    </w:p>
    <w:p w14:paraId="5618AC99">
      <w:pPr>
        <w:spacing w:line="360" w:lineRule="auto"/>
        <w:ind w:firstLine="539" w:firstLineChars="257"/>
        <w:rPr>
          <w:rFonts w:hint="eastAsia" w:cs="仿宋_GB2312" w:asciiTheme="minorEastAsia" w:hAnsiTheme="minorEastAsia" w:eastAsiaTheme="minorEastAsia"/>
          <w:color w:val="auto"/>
          <w:szCs w:val="21"/>
          <w:highlight w:val="none"/>
        </w:rPr>
      </w:pPr>
    </w:p>
    <w:p w14:paraId="0BA25449">
      <w:pPr>
        <w:spacing w:line="360" w:lineRule="auto"/>
        <w:ind w:firstLine="539" w:firstLineChars="257"/>
        <w:rPr>
          <w:rFonts w:hint="eastAsia" w:cs="仿宋_GB2312" w:asciiTheme="minorEastAsia" w:hAnsiTheme="minorEastAsia" w:eastAsiaTheme="minorEastAsia"/>
          <w:color w:val="auto"/>
          <w:szCs w:val="21"/>
          <w:highlight w:val="none"/>
        </w:rPr>
      </w:pPr>
    </w:p>
    <w:p w14:paraId="6D881ACE">
      <w:pPr>
        <w:spacing w:line="360" w:lineRule="auto"/>
        <w:ind w:firstLine="539" w:firstLineChars="257"/>
        <w:rPr>
          <w:rFonts w:hint="eastAsia" w:cs="仿宋_GB2312" w:asciiTheme="minorEastAsia" w:hAnsiTheme="minorEastAsia" w:eastAsiaTheme="minorEastAsia"/>
          <w:color w:val="auto"/>
          <w:szCs w:val="21"/>
          <w:highlight w:val="none"/>
        </w:rPr>
      </w:pPr>
    </w:p>
    <w:p w14:paraId="19794A13">
      <w:pPr>
        <w:spacing w:line="360" w:lineRule="auto"/>
        <w:ind w:right="420" w:firstLine="4095" w:firstLineChars="1950"/>
        <w:jc w:val="left"/>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供应商：</w:t>
      </w:r>
      <w:r>
        <w:rPr>
          <w:rFonts w:hint="eastAsia" w:cs="仿宋_GB2312"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电子签章</w:t>
      </w:r>
      <w:r>
        <w:rPr>
          <w:rFonts w:hint="eastAsia" w:cs="仿宋_GB2312" w:asciiTheme="minorEastAsia" w:hAnsiTheme="minorEastAsia" w:eastAsiaTheme="minorEastAsia"/>
          <w:color w:val="auto"/>
          <w:szCs w:val="21"/>
          <w:highlight w:val="none"/>
          <w:u w:val="single"/>
        </w:rPr>
        <w:t>）</w:t>
      </w:r>
    </w:p>
    <w:p w14:paraId="5D1B6A7B">
      <w:pPr>
        <w:wordWrap w:val="0"/>
        <w:spacing w:line="360" w:lineRule="auto"/>
        <w:ind w:right="420" w:firstLine="4095" w:firstLineChars="1950"/>
        <w:jc w:val="left"/>
        <w:rPr>
          <w:rFonts w:hint="eastAsia" w:cs="仿宋_GB2312" w:asciiTheme="minorEastAsia" w:hAnsiTheme="minorEastAsia" w:eastAsiaTheme="minorEastAsia"/>
          <w:color w:val="auto"/>
          <w:szCs w:val="21"/>
          <w:highlight w:val="none"/>
          <w:u w:val="single"/>
        </w:rPr>
      </w:pPr>
      <w:r>
        <w:rPr>
          <w:rFonts w:hint="eastAsia" w:cs="仿宋_GB2312" w:asciiTheme="minorEastAsia" w:hAnsiTheme="minorEastAsia" w:eastAsiaTheme="minorEastAsia"/>
          <w:color w:val="auto"/>
          <w:szCs w:val="21"/>
          <w:highlight w:val="none"/>
        </w:rPr>
        <w:t>法定代表人：</w:t>
      </w:r>
      <w:r>
        <w:rPr>
          <w:rFonts w:hint="eastAsia" w:cs="仿宋_GB2312" w:asciiTheme="minorEastAsia" w:hAnsiTheme="minorEastAsia" w:eastAsiaTheme="minorEastAsia"/>
          <w:color w:val="auto"/>
          <w:szCs w:val="21"/>
          <w:highlight w:val="none"/>
          <w:u w:val="single"/>
        </w:rPr>
        <w:t xml:space="preserve">           </w:t>
      </w:r>
      <w:r>
        <w:rPr>
          <w:rFonts w:cs="仿宋_GB2312" w:asciiTheme="minorEastAsia" w:hAnsiTheme="minorEastAsia" w:eastAsiaTheme="minorEastAsia"/>
          <w:color w:val="auto"/>
          <w:szCs w:val="21"/>
          <w:highlight w:val="none"/>
          <w:u w:val="single"/>
        </w:rPr>
        <w:t xml:space="preserve">  </w:t>
      </w:r>
      <w:r>
        <w:rPr>
          <w:rFonts w:hint="eastAsia" w:cs="仿宋_GB2312" w:asciiTheme="minorEastAsia" w:hAnsiTheme="minorEastAsia" w:eastAsiaTheme="minorEastAsia"/>
          <w:color w:val="auto"/>
          <w:szCs w:val="21"/>
          <w:highlight w:val="none"/>
          <w:u w:val="single"/>
        </w:rPr>
        <w:t>（</w:t>
      </w:r>
      <w:r>
        <w:rPr>
          <w:rFonts w:hint="eastAsia" w:asciiTheme="minorEastAsia" w:hAnsiTheme="minorEastAsia" w:eastAsiaTheme="minorEastAsia"/>
          <w:color w:val="auto"/>
          <w:szCs w:val="21"/>
          <w:highlight w:val="none"/>
          <w:u w:val="single"/>
        </w:rPr>
        <w:t>电子签章</w:t>
      </w:r>
      <w:r>
        <w:rPr>
          <w:rFonts w:hint="eastAsia" w:cs="仿宋_GB2312" w:asciiTheme="minorEastAsia" w:hAnsiTheme="minorEastAsia" w:eastAsiaTheme="minorEastAsia"/>
          <w:color w:val="auto"/>
          <w:szCs w:val="21"/>
          <w:highlight w:val="none"/>
          <w:u w:val="single"/>
        </w:rPr>
        <w:t>）</w:t>
      </w:r>
    </w:p>
    <w:p w14:paraId="7FD0D7A2">
      <w:pPr>
        <w:wordWrap w:val="0"/>
        <w:spacing w:line="360" w:lineRule="auto"/>
        <w:ind w:right="464" w:firstLine="4095" w:firstLineChars="1950"/>
        <w:jc w:val="left"/>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身份证号码：</w:t>
      </w:r>
      <w:r>
        <w:rPr>
          <w:rFonts w:hint="eastAsia" w:cs="仿宋_GB2312" w:asciiTheme="minorEastAsia" w:hAnsiTheme="minorEastAsia" w:eastAsiaTheme="minorEastAsia"/>
          <w:color w:val="auto"/>
          <w:szCs w:val="21"/>
          <w:highlight w:val="none"/>
          <w:u w:val="single"/>
        </w:rPr>
        <w:t xml:space="preserve">                         </w:t>
      </w:r>
    </w:p>
    <w:p w14:paraId="09ED51B9">
      <w:pPr>
        <w:wordWrap w:val="0"/>
        <w:spacing w:line="360" w:lineRule="auto"/>
        <w:ind w:right="420" w:firstLine="4095" w:firstLineChars="1950"/>
        <w:jc w:val="left"/>
        <w:rPr>
          <w:rFonts w:hint="eastAsia" w:cs="仿宋_GB2312"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授权委托人：</w:t>
      </w:r>
      <w:r>
        <w:rPr>
          <w:rFonts w:hint="eastAsia" w:cs="仿宋_GB2312" w:asciiTheme="minorEastAsia" w:hAnsiTheme="minorEastAsia" w:eastAsiaTheme="minorEastAsia"/>
          <w:color w:val="auto"/>
          <w:szCs w:val="21"/>
          <w:highlight w:val="none"/>
          <w:u w:val="single"/>
        </w:rPr>
        <w:t xml:space="preserve">                 </w:t>
      </w:r>
      <w:r>
        <w:rPr>
          <w:rFonts w:cs="仿宋_GB2312" w:asciiTheme="minorEastAsia" w:hAnsiTheme="minorEastAsia" w:eastAsiaTheme="minorEastAsia"/>
          <w:color w:val="auto"/>
          <w:szCs w:val="21"/>
          <w:highlight w:val="none"/>
          <w:u w:val="single"/>
        </w:rPr>
        <w:t xml:space="preserve">        </w:t>
      </w:r>
    </w:p>
    <w:p w14:paraId="7064E106">
      <w:pPr>
        <w:wordWrap w:val="0"/>
        <w:spacing w:line="360" w:lineRule="auto"/>
        <w:ind w:right="464" w:firstLine="4095" w:firstLineChars="1950"/>
        <w:jc w:val="left"/>
        <w:rPr>
          <w:rFonts w:hint="eastAsia" w:cs="仿宋_GB2312" w:asciiTheme="minorEastAsia" w:hAnsiTheme="minorEastAsia" w:eastAsiaTheme="minorEastAsia"/>
          <w:color w:val="auto"/>
          <w:szCs w:val="21"/>
          <w:highlight w:val="none"/>
          <w:u w:val="single"/>
        </w:rPr>
      </w:pPr>
      <w:r>
        <w:rPr>
          <w:rFonts w:hint="eastAsia" w:cs="仿宋_GB2312" w:asciiTheme="minorEastAsia" w:hAnsiTheme="minorEastAsia" w:eastAsiaTheme="minorEastAsia"/>
          <w:color w:val="auto"/>
          <w:szCs w:val="21"/>
          <w:highlight w:val="none"/>
        </w:rPr>
        <w:t>身份证号码：</w:t>
      </w:r>
      <w:r>
        <w:rPr>
          <w:rFonts w:hint="eastAsia" w:cs="仿宋_GB2312" w:asciiTheme="minorEastAsia" w:hAnsiTheme="minorEastAsia" w:eastAsiaTheme="minorEastAsia"/>
          <w:color w:val="auto"/>
          <w:szCs w:val="21"/>
          <w:highlight w:val="none"/>
          <w:u w:val="single"/>
        </w:rPr>
        <w:t xml:space="preserve">                         </w:t>
      </w:r>
    </w:p>
    <w:p w14:paraId="69199392">
      <w:pPr>
        <w:wordWrap w:val="0"/>
        <w:spacing w:line="360" w:lineRule="auto"/>
        <w:ind w:right="464" w:firstLine="4095" w:firstLineChars="1950"/>
        <w:jc w:val="left"/>
        <w:rPr>
          <w:rFonts w:hint="eastAsia" w:cs="仿宋_GB2312"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 期：</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年</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月</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日</w:t>
      </w:r>
    </w:p>
    <w:p w14:paraId="153F3390">
      <w:pPr>
        <w:spacing w:before="60" w:after="60" w:line="360" w:lineRule="auto"/>
        <w:ind w:right="840"/>
        <w:jc w:val="center"/>
        <w:rPr>
          <w:rFonts w:hint="eastAsia" w:asciiTheme="minorEastAsia" w:hAnsiTheme="minorEastAsia" w:eastAsiaTheme="minorEastAsia"/>
          <w:color w:val="auto"/>
          <w:szCs w:val="21"/>
          <w:highlight w:val="none"/>
        </w:rPr>
      </w:pPr>
    </w:p>
    <w:p w14:paraId="34A9E7E4">
      <w:pPr>
        <w:spacing w:line="360" w:lineRule="auto"/>
        <w:ind w:right="420" w:firstLine="422"/>
        <w:rPr>
          <w:rFonts w:hint="eastAsia" w:cs="仿宋_GB2312" w:asciiTheme="minorEastAsia" w:hAnsiTheme="minorEastAsia" w:eastAsiaTheme="minorEastAsia"/>
          <w:b/>
          <w:color w:val="auto"/>
          <w:szCs w:val="21"/>
          <w:highlight w:val="none"/>
        </w:rPr>
      </w:pPr>
    </w:p>
    <w:p w14:paraId="7531E1BA">
      <w:pPr>
        <w:spacing w:line="360" w:lineRule="auto"/>
        <w:ind w:right="420" w:firstLine="422" w:firstLineChars="200"/>
        <w:rPr>
          <w:rFonts w:hint="eastAsia"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注：1.如供应商由法定代表人亲自签署投标文件并参与相关活动，则不需要办理授权；如有被授权的代理人签署上述文件，则必须按本格式规定填报并递交授权书，否则被授权的代理人将不被认可。</w:t>
      </w:r>
    </w:p>
    <w:p w14:paraId="15AD9CDA">
      <w:pPr>
        <w:spacing w:line="360" w:lineRule="auto"/>
        <w:ind w:right="420" w:firstLine="738" w:firstLineChars="350"/>
        <w:rPr>
          <w:rFonts w:hint="eastAsia"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2.本授权委托书配合法定代表人身份证明使用方可生效。</w:t>
      </w:r>
    </w:p>
    <w:p w14:paraId="40670979">
      <w:pPr>
        <w:spacing w:line="360" w:lineRule="auto"/>
        <w:ind w:right="420" w:firstLine="738" w:firstLineChars="350"/>
        <w:rPr>
          <w:rFonts w:hint="eastAsia" w:cs="仿宋_GB2312" w:asciiTheme="minorEastAsia" w:hAnsiTheme="minorEastAsia" w:eastAsiaTheme="minorEastAsia"/>
          <w:b/>
          <w:bCs/>
          <w:color w:val="auto"/>
          <w:szCs w:val="21"/>
          <w:highlight w:val="none"/>
        </w:rPr>
      </w:pPr>
    </w:p>
    <w:p w14:paraId="3E0BB6B5">
      <w:pPr>
        <w:pStyle w:val="14"/>
        <w:spacing w:line="360" w:lineRule="auto"/>
        <w:rPr>
          <w:rFonts w:hint="eastAsia" w:asciiTheme="minorEastAsia" w:hAnsiTheme="minorEastAsia" w:eastAsiaTheme="minorEastAsia"/>
          <w:color w:val="auto"/>
          <w:highlight w:val="none"/>
        </w:rPr>
        <w:sectPr>
          <w:pgSz w:w="11906" w:h="16838"/>
          <w:pgMar w:top="1440" w:right="1474" w:bottom="1440" w:left="1474" w:header="851" w:footer="851" w:gutter="0"/>
          <w:cols w:space="720" w:num="1"/>
          <w:docGrid w:linePitch="312" w:charSpace="0"/>
        </w:sectPr>
      </w:pPr>
    </w:p>
    <w:p w14:paraId="678A4BAB">
      <w:pPr>
        <w:spacing w:line="360" w:lineRule="auto"/>
        <w:jc w:val="center"/>
        <w:outlineLvl w:val="2"/>
        <w:rPr>
          <w:rFonts w:hint="eastAsia" w:asciiTheme="minorEastAsia" w:hAnsiTheme="minorEastAsia" w:eastAsiaTheme="minorEastAsia"/>
          <w:b/>
          <w:color w:val="auto"/>
          <w:sz w:val="28"/>
          <w:szCs w:val="28"/>
          <w:highlight w:val="none"/>
        </w:rPr>
      </w:pPr>
      <w:bookmarkStart w:id="1140" w:name="_Toc116584076"/>
      <w:bookmarkStart w:id="1141" w:name="_Toc116584077"/>
      <w:r>
        <w:rPr>
          <w:rFonts w:hint="eastAsia" w:asciiTheme="minorEastAsia" w:hAnsiTheme="minorEastAsia" w:eastAsiaTheme="minorEastAsia"/>
          <w:b/>
          <w:color w:val="auto"/>
          <w:sz w:val="28"/>
          <w:szCs w:val="28"/>
          <w:highlight w:val="none"/>
        </w:rPr>
        <w:t>（三）投标保证金</w:t>
      </w:r>
      <w:bookmarkEnd w:id="1140"/>
    </w:p>
    <w:p w14:paraId="3F85CDB7">
      <w:pPr>
        <w:spacing w:line="360" w:lineRule="auto"/>
        <w:ind w:firstLine="420" w:firstLineChars="20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注：附投标保证金的汇款凭证或保证保险或</w:t>
      </w:r>
      <w:r>
        <w:rPr>
          <w:rFonts w:hint="eastAsia" w:asciiTheme="minorEastAsia" w:hAnsiTheme="minorEastAsia" w:eastAsiaTheme="minorEastAsia"/>
          <w:color w:val="auto"/>
          <w:szCs w:val="21"/>
          <w:highlight w:val="none"/>
        </w:rPr>
        <w:t>担保保函</w:t>
      </w:r>
      <w:r>
        <w:rPr>
          <w:rFonts w:hint="eastAsia" w:asciiTheme="minorEastAsia" w:hAnsiTheme="minorEastAsia" w:eastAsiaTheme="minorEastAsia"/>
          <w:color w:val="auto"/>
          <w:highlight w:val="none"/>
        </w:rPr>
        <w:t>、开户许可证（基本存款账户信息）的原件扫描件。</w:t>
      </w:r>
    </w:p>
    <w:p w14:paraId="458AC5A4">
      <w:pPr>
        <w:pStyle w:val="21"/>
        <w:rPr>
          <w:rFonts w:hint="eastAsia"/>
          <w:color w:val="auto"/>
          <w:highlight w:val="none"/>
        </w:rPr>
        <w:sectPr>
          <w:pgSz w:w="11906" w:h="16838"/>
          <w:pgMar w:top="1440" w:right="1474" w:bottom="1440" w:left="1474" w:header="851" w:footer="851" w:gutter="0"/>
          <w:cols w:space="720" w:num="1"/>
          <w:docGrid w:linePitch="312" w:charSpace="0"/>
        </w:sectPr>
      </w:pPr>
    </w:p>
    <w:p w14:paraId="0F1AF7BD">
      <w:pPr>
        <w:spacing w:line="360" w:lineRule="auto"/>
        <w:jc w:val="center"/>
        <w:outlineLvl w:val="2"/>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（四）供应商承诺</w:t>
      </w:r>
      <w:r>
        <w:rPr>
          <w:rFonts w:asciiTheme="minorEastAsia" w:hAnsiTheme="minorEastAsia" w:eastAsiaTheme="minorEastAsia"/>
          <w:b/>
          <w:color w:val="auto"/>
          <w:sz w:val="28"/>
          <w:szCs w:val="28"/>
          <w:highlight w:val="none"/>
        </w:rPr>
        <w:t>书</w:t>
      </w:r>
      <w:bookmarkEnd w:id="1141"/>
    </w:p>
    <w:p w14:paraId="189ED093">
      <w:pPr>
        <w:pStyle w:val="134"/>
        <w:spacing w:line="360" w:lineRule="auto"/>
        <w:ind w:firstLine="420" w:firstLineChars="200"/>
        <w:rPr>
          <w:rFonts w:hint="eastAsia" w:asciiTheme="minorEastAsia" w:hAnsiTheme="minorEastAsia" w:eastAsiaTheme="minorEastAsia"/>
          <w:color w:val="auto"/>
          <w:highlight w:val="none"/>
          <w:lang w:val="zh-CN"/>
        </w:rPr>
      </w:pPr>
    </w:p>
    <w:p w14:paraId="1FB452BF">
      <w:pPr>
        <w:pStyle w:val="134"/>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我方</w:t>
      </w:r>
      <w:r>
        <w:rPr>
          <w:rFonts w:hint="eastAsia" w:cs="宋体" w:asciiTheme="minorEastAsia" w:hAnsiTheme="minorEastAsia" w:eastAsiaTheme="minorEastAsia"/>
          <w:color w:val="auto"/>
          <w:szCs w:val="21"/>
          <w:highlight w:val="none"/>
          <w:u w:val="single"/>
        </w:rPr>
        <w:t xml:space="preserve">   （供应商名称）   </w:t>
      </w:r>
      <w:r>
        <w:rPr>
          <w:rFonts w:hint="eastAsia" w:asciiTheme="minorEastAsia" w:hAnsiTheme="minorEastAsia" w:eastAsiaTheme="minorEastAsia"/>
          <w:color w:val="auto"/>
          <w:highlight w:val="none"/>
          <w:lang w:val="zh-CN"/>
        </w:rPr>
        <w:t>参与</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highlight w:val="none"/>
          <w:u w:val="single"/>
        </w:rPr>
        <w:t>项目</w:t>
      </w:r>
      <w:r>
        <w:rPr>
          <w:rFonts w:hint="eastAsia" w:asciiTheme="minorEastAsia" w:hAnsiTheme="minorEastAsia" w:eastAsiaTheme="minorEastAsia"/>
          <w:color w:val="auto"/>
          <w:highlight w:val="none"/>
          <w:u w:val="single"/>
          <w:lang w:val="zh-CN"/>
        </w:rPr>
        <w:t xml:space="preserve">名称） </w:t>
      </w:r>
      <w:r>
        <w:rPr>
          <w:rFonts w:asciiTheme="minorEastAsia" w:hAnsiTheme="minorEastAsia" w:eastAsiaTheme="minorEastAsia"/>
          <w:color w:val="auto"/>
          <w:highlight w:val="none"/>
          <w:u w:val="single"/>
          <w:lang w:val="zh-CN"/>
        </w:rPr>
        <w:t xml:space="preserve">  </w:t>
      </w:r>
      <w:r>
        <w:rPr>
          <w:rFonts w:hint="eastAsia" w:asciiTheme="minorEastAsia" w:hAnsiTheme="minorEastAsia" w:eastAsiaTheme="minorEastAsia"/>
          <w:color w:val="auto"/>
          <w:highlight w:val="none"/>
          <w:lang w:val="zh-CN"/>
        </w:rPr>
        <w:t>的投标，现作如下承诺：</w:t>
      </w:r>
    </w:p>
    <w:p w14:paraId="63D73DD4">
      <w:pPr>
        <w:pStyle w:val="134"/>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1、我方参与此次投标活动所递交的所有资料都是合法、真实、有效的。</w:t>
      </w:r>
    </w:p>
    <w:p w14:paraId="536BE30E">
      <w:pPr>
        <w:pStyle w:val="134"/>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2、不与其他</w:t>
      </w:r>
      <w:r>
        <w:rPr>
          <w:rFonts w:hint="eastAsia" w:asciiTheme="minorEastAsia" w:hAnsiTheme="minorEastAsia" w:eastAsiaTheme="minorEastAsia"/>
          <w:bCs/>
          <w:color w:val="auto"/>
          <w:szCs w:val="21"/>
          <w:highlight w:val="none"/>
        </w:rPr>
        <w:t>供应商</w:t>
      </w:r>
      <w:r>
        <w:rPr>
          <w:rFonts w:hint="eastAsia" w:asciiTheme="minorEastAsia" w:hAnsiTheme="minorEastAsia" w:eastAsiaTheme="minorEastAsia"/>
          <w:color w:val="auto"/>
          <w:highlight w:val="none"/>
          <w:lang w:val="zh-CN"/>
        </w:rPr>
        <w:t>串通投标、围标，依法、依规公平竞争，不损害采购人或其他供应商的合法权益。</w:t>
      </w:r>
    </w:p>
    <w:p w14:paraId="6CF25F48">
      <w:pPr>
        <w:pStyle w:val="134"/>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3、不转让、出租、出借资质证书、人员岗位证书，不以法律、法规禁止的方式投标。</w:t>
      </w:r>
    </w:p>
    <w:p w14:paraId="293E4D23">
      <w:pPr>
        <w:pStyle w:val="134"/>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4、不与采购人或采购代理机构串通投标，不损害国家利益、社会公共利益或其他当事人的合法权益。</w:t>
      </w:r>
    </w:p>
    <w:p w14:paraId="5621F47B">
      <w:pPr>
        <w:pStyle w:val="134"/>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5、不向采购人、评标委员会成员、监督人员行贿。</w:t>
      </w:r>
    </w:p>
    <w:p w14:paraId="6FACF86F">
      <w:pPr>
        <w:pStyle w:val="134"/>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6、不扰乱交易活动正常秩序。</w:t>
      </w:r>
    </w:p>
    <w:p w14:paraId="59C3ADCA">
      <w:pPr>
        <w:pStyle w:val="134"/>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7、不进行虚假恶意投诉。</w:t>
      </w:r>
    </w:p>
    <w:p w14:paraId="42EEF4C6">
      <w:pPr>
        <w:pStyle w:val="134"/>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8、因违反法律、法规或相关规定被查处的，不干预案件查处。</w:t>
      </w:r>
    </w:p>
    <w:p w14:paraId="64313A53">
      <w:pPr>
        <w:pStyle w:val="134"/>
        <w:spacing w:line="360" w:lineRule="auto"/>
        <w:ind w:firstLine="420" w:firstLineChars="200"/>
        <w:rPr>
          <w:rFonts w:hint="eastAsia" w:asciiTheme="minorEastAsia" w:hAnsiTheme="minorEastAsia" w:eastAsiaTheme="minorEastAsia"/>
          <w:color w:val="auto"/>
          <w:highlight w:val="none"/>
          <w:lang w:val="zh-CN"/>
        </w:rPr>
      </w:pPr>
      <w:r>
        <w:rPr>
          <w:rFonts w:hint="eastAsia" w:asciiTheme="minorEastAsia" w:hAnsiTheme="minorEastAsia" w:eastAsiaTheme="minorEastAsia"/>
          <w:color w:val="auto"/>
          <w:highlight w:val="none"/>
          <w:lang w:val="zh-CN"/>
        </w:rPr>
        <w:t>如出现违法、违规或不良行为，甘愿接受监督管理部门、纪检监察机关或司法机关调查处理。违法、违规或不良行为事实成立的，我方不再要求退还投标时所递交的投标保证金，并承担相关责任。给采购人造成损失的，依法承担赔偿责任。</w:t>
      </w:r>
    </w:p>
    <w:p w14:paraId="4F977FA8">
      <w:pPr>
        <w:pStyle w:val="134"/>
        <w:spacing w:line="360" w:lineRule="auto"/>
        <w:rPr>
          <w:rFonts w:hint="eastAsia" w:asciiTheme="minorEastAsia" w:hAnsiTheme="minorEastAsia" w:eastAsiaTheme="minorEastAsia"/>
          <w:color w:val="auto"/>
          <w:highlight w:val="none"/>
          <w:lang w:val="zh-CN"/>
        </w:rPr>
      </w:pPr>
    </w:p>
    <w:p w14:paraId="02093364">
      <w:pPr>
        <w:pStyle w:val="134"/>
        <w:spacing w:line="360" w:lineRule="auto"/>
        <w:rPr>
          <w:rFonts w:hint="eastAsia" w:asciiTheme="minorEastAsia" w:hAnsiTheme="minorEastAsia" w:eastAsiaTheme="minorEastAsia"/>
          <w:color w:val="auto"/>
          <w:highlight w:val="none"/>
          <w:lang w:val="zh-CN"/>
        </w:rPr>
      </w:pPr>
    </w:p>
    <w:p w14:paraId="36053143">
      <w:pPr>
        <w:pStyle w:val="134"/>
        <w:spacing w:line="360" w:lineRule="auto"/>
        <w:rPr>
          <w:rFonts w:hint="eastAsia" w:asciiTheme="minorEastAsia" w:hAnsiTheme="minorEastAsia" w:eastAsiaTheme="minorEastAsia"/>
          <w:color w:val="auto"/>
          <w:highlight w:val="none"/>
          <w:lang w:val="zh-CN"/>
        </w:rPr>
      </w:pPr>
    </w:p>
    <w:p w14:paraId="003F9816">
      <w:pPr>
        <w:autoSpaceDE w:val="0"/>
        <w:autoSpaceDN w:val="0"/>
        <w:adjustRightInd w:val="0"/>
        <w:spacing w:line="360" w:lineRule="auto"/>
        <w:ind w:firstLine="4252" w:firstLineChars="2025"/>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供应商：</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w:t>
      </w:r>
      <w:r>
        <w:rPr>
          <w:rFonts w:hint="eastAsia" w:asciiTheme="minorEastAsia" w:hAnsiTheme="minorEastAsia" w:eastAsiaTheme="minorEastAsia"/>
          <w:color w:val="auto"/>
          <w:szCs w:val="21"/>
          <w:highlight w:val="none"/>
          <w:u w:val="single"/>
        </w:rPr>
        <w:t>电子签章</w:t>
      </w:r>
      <w:r>
        <w:rPr>
          <w:rFonts w:hint="eastAsia" w:asciiTheme="minorEastAsia" w:hAnsiTheme="minorEastAsia" w:eastAsiaTheme="minorEastAsia"/>
          <w:bCs/>
          <w:color w:val="auto"/>
          <w:szCs w:val="21"/>
          <w:highlight w:val="none"/>
          <w:u w:val="single"/>
        </w:rPr>
        <w:t>）</w:t>
      </w:r>
    </w:p>
    <w:p w14:paraId="22BA25B6">
      <w:pPr>
        <w:autoSpaceDE w:val="0"/>
        <w:autoSpaceDN w:val="0"/>
        <w:adjustRightInd w:val="0"/>
        <w:spacing w:line="360" w:lineRule="auto"/>
        <w:ind w:firstLine="4252" w:firstLineChars="2025"/>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法定代表人：</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(电子签章)</w:t>
      </w:r>
      <w:r>
        <w:rPr>
          <w:rFonts w:asciiTheme="minorEastAsia" w:hAnsiTheme="minorEastAsia" w:eastAsiaTheme="minorEastAsia"/>
          <w:bCs/>
          <w:color w:val="auto"/>
          <w:szCs w:val="21"/>
          <w:highlight w:val="none"/>
          <w:u w:val="single"/>
        </w:rPr>
        <w:t xml:space="preserve"> </w:t>
      </w:r>
    </w:p>
    <w:p w14:paraId="5A4586EA">
      <w:pPr>
        <w:autoSpaceDE w:val="0"/>
        <w:autoSpaceDN w:val="0"/>
        <w:adjustRightInd w:val="0"/>
        <w:spacing w:line="360" w:lineRule="auto"/>
        <w:ind w:firstLine="4252" w:firstLineChars="2025"/>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日期：</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年</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月</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日</w:t>
      </w:r>
    </w:p>
    <w:p w14:paraId="3855B864">
      <w:pPr>
        <w:autoSpaceDE w:val="0"/>
        <w:autoSpaceDN w:val="0"/>
        <w:adjustRightInd w:val="0"/>
        <w:spacing w:line="480" w:lineRule="auto"/>
        <w:jc w:val="left"/>
        <w:rPr>
          <w:rFonts w:hint="eastAsia" w:asciiTheme="minorEastAsia" w:hAnsiTheme="minorEastAsia" w:eastAsiaTheme="minorEastAsia"/>
          <w:bCs/>
          <w:color w:val="auto"/>
          <w:szCs w:val="21"/>
          <w:highlight w:val="none"/>
        </w:rPr>
      </w:pPr>
    </w:p>
    <w:p w14:paraId="2DE66168">
      <w:pPr>
        <w:pStyle w:val="14"/>
        <w:spacing w:line="360" w:lineRule="auto"/>
        <w:ind w:firstLine="0"/>
        <w:rPr>
          <w:rFonts w:hint="eastAsia" w:asciiTheme="minorEastAsia" w:hAnsiTheme="minorEastAsia" w:eastAsiaTheme="minorEastAsia"/>
          <w:color w:val="auto"/>
          <w:highlight w:val="none"/>
        </w:rPr>
        <w:sectPr>
          <w:pgSz w:w="11906" w:h="16838"/>
          <w:pgMar w:top="1440" w:right="1474" w:bottom="1440" w:left="1474" w:header="851" w:footer="851" w:gutter="0"/>
          <w:cols w:space="720" w:num="1"/>
          <w:docGrid w:linePitch="312" w:charSpace="0"/>
        </w:sectPr>
      </w:pPr>
    </w:p>
    <w:bookmarkEnd w:id="1132"/>
    <w:bookmarkEnd w:id="1133"/>
    <w:p w14:paraId="6394E838">
      <w:pPr>
        <w:spacing w:line="360" w:lineRule="auto"/>
        <w:jc w:val="center"/>
        <w:outlineLvl w:val="2"/>
        <w:rPr>
          <w:rFonts w:hint="eastAsia" w:asciiTheme="minorEastAsia" w:hAnsiTheme="minorEastAsia" w:eastAsiaTheme="minorEastAsia"/>
          <w:b/>
          <w:color w:val="auto"/>
          <w:sz w:val="28"/>
          <w:szCs w:val="28"/>
          <w:highlight w:val="none"/>
        </w:rPr>
      </w:pPr>
      <w:bookmarkStart w:id="1142" w:name="_Toc65244969"/>
      <w:bookmarkStart w:id="1143" w:name="_Toc77683060"/>
      <w:bookmarkStart w:id="1144" w:name="_Toc110405209"/>
      <w:bookmarkStart w:id="1145" w:name="_Toc89820110"/>
      <w:bookmarkStart w:id="1146" w:name="_Toc103586119"/>
      <w:bookmarkStart w:id="1147" w:name="_Toc91516421"/>
      <w:bookmarkStart w:id="1148" w:name="_Toc103579236"/>
      <w:bookmarkStart w:id="1149" w:name="_Toc103586010"/>
      <w:bookmarkStart w:id="1150" w:name="_Toc56502683"/>
      <w:bookmarkStart w:id="1151" w:name="_Toc45976970"/>
      <w:bookmarkStart w:id="1152" w:name="_Toc20609"/>
      <w:bookmarkStart w:id="1153" w:name="_Toc116584080"/>
      <w:bookmarkStart w:id="1154" w:name="_Toc109809397"/>
      <w:r>
        <w:rPr>
          <w:rFonts w:hint="eastAsia" w:asciiTheme="minorEastAsia" w:hAnsiTheme="minorEastAsia" w:eastAsiaTheme="minorEastAsia"/>
          <w:b/>
          <w:color w:val="auto"/>
          <w:sz w:val="28"/>
          <w:szCs w:val="28"/>
          <w:highlight w:val="none"/>
        </w:rPr>
        <w:t>（五）</w:t>
      </w:r>
      <w:bookmarkEnd w:id="1142"/>
      <w:bookmarkEnd w:id="1143"/>
      <w:bookmarkEnd w:id="1144"/>
      <w:bookmarkEnd w:id="1145"/>
      <w:bookmarkEnd w:id="1146"/>
      <w:bookmarkEnd w:id="1147"/>
      <w:bookmarkEnd w:id="1148"/>
      <w:bookmarkEnd w:id="1149"/>
      <w:bookmarkEnd w:id="1150"/>
      <w:bookmarkEnd w:id="1151"/>
      <w:bookmarkStart w:id="1155" w:name="_Toc513923170"/>
      <w:bookmarkStart w:id="1156" w:name="_Toc516246160"/>
      <w:bookmarkStart w:id="1157" w:name="_Toc330828144"/>
      <w:bookmarkStart w:id="1158" w:name="_Toc364244845"/>
      <w:bookmarkStart w:id="1159" w:name="_Toc419473139"/>
      <w:r>
        <w:rPr>
          <w:rFonts w:hint="eastAsia" w:asciiTheme="minorEastAsia" w:hAnsiTheme="minorEastAsia" w:eastAsiaTheme="minorEastAsia"/>
          <w:b/>
          <w:color w:val="auto"/>
          <w:sz w:val="28"/>
          <w:szCs w:val="28"/>
          <w:highlight w:val="none"/>
        </w:rPr>
        <w:t>投标报价</w:t>
      </w:r>
      <w:bookmarkEnd w:id="1152"/>
      <w:bookmarkEnd w:id="1153"/>
      <w:bookmarkEnd w:id="1155"/>
      <w:bookmarkEnd w:id="1156"/>
    </w:p>
    <w:p w14:paraId="629DA534">
      <w:pPr>
        <w:spacing w:line="360" w:lineRule="auto"/>
        <w:jc w:val="center"/>
        <w:outlineLvl w:val="3"/>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1.开标一览表</w:t>
      </w:r>
    </w:p>
    <w:bookmarkEnd w:id="1157"/>
    <w:bookmarkEnd w:id="1158"/>
    <w:bookmarkEnd w:id="1159"/>
    <w:tbl>
      <w:tblPr>
        <w:tblStyle w:val="53"/>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895"/>
      </w:tblGrid>
      <w:tr w14:paraId="763C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122" w:type="dxa"/>
            <w:vAlign w:val="center"/>
          </w:tcPr>
          <w:p w14:paraId="54D79534">
            <w:pPr>
              <w:spacing w:before="120" w:after="12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供应商名称</w:t>
            </w:r>
          </w:p>
        </w:tc>
        <w:tc>
          <w:tcPr>
            <w:tcW w:w="6895" w:type="dxa"/>
            <w:vAlign w:val="center"/>
          </w:tcPr>
          <w:p w14:paraId="6D83D982">
            <w:pPr>
              <w:wordWrap w:val="0"/>
              <w:rPr>
                <w:rFonts w:hint="eastAsia" w:asciiTheme="minorEastAsia" w:hAnsiTheme="minorEastAsia" w:eastAsiaTheme="minorEastAsia"/>
                <w:color w:val="auto"/>
                <w:szCs w:val="21"/>
                <w:highlight w:val="none"/>
              </w:rPr>
            </w:pPr>
          </w:p>
        </w:tc>
      </w:tr>
      <w:tr w14:paraId="5CC4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122" w:type="dxa"/>
            <w:vAlign w:val="center"/>
          </w:tcPr>
          <w:p w14:paraId="01680EFD">
            <w:pPr>
              <w:spacing w:before="120" w:after="120"/>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投标总报价</w:t>
            </w:r>
          </w:p>
        </w:tc>
        <w:tc>
          <w:tcPr>
            <w:tcW w:w="6895" w:type="dxa"/>
            <w:vAlign w:val="center"/>
          </w:tcPr>
          <w:p w14:paraId="1013A59A">
            <w:pPr>
              <w:spacing w:line="360" w:lineRule="auto"/>
              <w:jc w:val="center"/>
              <w:rPr>
                <w:rFonts w:hint="eastAsia" w:asciiTheme="minorEastAsia" w:hAnsiTheme="minorEastAsia" w:eastAsiaTheme="minorEastAsia"/>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元（大写：</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w:t>
            </w:r>
          </w:p>
        </w:tc>
      </w:tr>
      <w:tr w14:paraId="6F15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122" w:type="dxa"/>
            <w:vAlign w:val="center"/>
          </w:tcPr>
          <w:p w14:paraId="03FD6C3A">
            <w:pPr>
              <w:spacing w:line="276" w:lineRule="auto"/>
              <w:jc w:val="center"/>
              <w:rPr>
                <w:rFonts w:hint="eastAsia" w:asciiTheme="minorEastAsia" w:hAnsiTheme="minorEastAsia" w:eastAsiaTheme="minorEastAsia"/>
                <w:color w:val="auto"/>
                <w:szCs w:val="21"/>
                <w:highlight w:val="none"/>
              </w:rPr>
            </w:pPr>
            <w:r>
              <w:rPr>
                <w:rFonts w:hint="eastAsia" w:ascii="宋体" w:hAnsi="宋体"/>
                <w:color w:val="auto"/>
                <w:szCs w:val="21"/>
                <w:highlight w:val="none"/>
              </w:rPr>
              <w:t>交货期</w:t>
            </w:r>
          </w:p>
        </w:tc>
        <w:tc>
          <w:tcPr>
            <w:tcW w:w="6895" w:type="dxa"/>
            <w:vAlign w:val="center"/>
          </w:tcPr>
          <w:p w14:paraId="2C2DAB6A">
            <w:pPr>
              <w:spacing w:line="360" w:lineRule="auto"/>
              <w:jc w:val="left"/>
              <w:rPr>
                <w:rFonts w:hint="eastAsia" w:asciiTheme="minorEastAsia" w:hAnsiTheme="minorEastAsia" w:eastAsiaTheme="minorEastAsia"/>
                <w:color w:val="auto"/>
                <w:szCs w:val="21"/>
                <w:highlight w:val="none"/>
              </w:rPr>
            </w:pPr>
          </w:p>
        </w:tc>
      </w:tr>
      <w:tr w14:paraId="45CC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122" w:type="dxa"/>
            <w:vAlign w:val="center"/>
          </w:tcPr>
          <w:p w14:paraId="2F84F0F1">
            <w:pPr>
              <w:spacing w:line="276" w:lineRule="auto"/>
              <w:jc w:val="center"/>
              <w:rPr>
                <w:rFonts w:hint="eastAsia" w:asciiTheme="minorEastAsia" w:hAnsiTheme="minorEastAsia" w:eastAsiaTheme="minorEastAsia"/>
                <w:color w:val="auto"/>
                <w:szCs w:val="21"/>
                <w:highlight w:val="none"/>
              </w:rPr>
            </w:pPr>
            <w:r>
              <w:rPr>
                <w:rFonts w:hint="eastAsia" w:ascii="宋体" w:hAnsi="宋体"/>
                <w:color w:val="auto"/>
                <w:szCs w:val="21"/>
                <w:highlight w:val="none"/>
              </w:rPr>
              <w:t>质量标准</w:t>
            </w:r>
          </w:p>
        </w:tc>
        <w:tc>
          <w:tcPr>
            <w:tcW w:w="6895" w:type="dxa"/>
            <w:vAlign w:val="center"/>
          </w:tcPr>
          <w:p w14:paraId="1A1C2BE3">
            <w:pPr>
              <w:spacing w:line="360" w:lineRule="auto"/>
              <w:jc w:val="left"/>
              <w:rPr>
                <w:rFonts w:hint="eastAsia" w:asciiTheme="minorEastAsia" w:hAnsiTheme="minorEastAsia" w:eastAsiaTheme="minorEastAsia"/>
                <w:color w:val="auto"/>
                <w:szCs w:val="21"/>
                <w:highlight w:val="none"/>
              </w:rPr>
            </w:pPr>
          </w:p>
        </w:tc>
      </w:tr>
      <w:tr w14:paraId="515C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122" w:type="dxa"/>
            <w:vAlign w:val="center"/>
          </w:tcPr>
          <w:p w14:paraId="4F211FD4">
            <w:pPr>
              <w:spacing w:line="276" w:lineRule="auto"/>
              <w:jc w:val="center"/>
              <w:rPr>
                <w:rFonts w:hint="eastAsia" w:asciiTheme="minorEastAsia" w:hAnsiTheme="minorEastAsia" w:eastAsiaTheme="minorEastAsia"/>
                <w:color w:val="auto"/>
                <w:szCs w:val="21"/>
                <w:highlight w:val="none"/>
              </w:rPr>
            </w:pPr>
            <w:r>
              <w:rPr>
                <w:rFonts w:ascii="宋体" w:hAnsi="宋体"/>
                <w:color w:val="auto"/>
                <w:szCs w:val="21"/>
                <w:highlight w:val="none"/>
              </w:rPr>
              <w:t>质保期</w:t>
            </w:r>
          </w:p>
        </w:tc>
        <w:tc>
          <w:tcPr>
            <w:tcW w:w="6895" w:type="dxa"/>
            <w:vAlign w:val="center"/>
          </w:tcPr>
          <w:p w14:paraId="44CEECB8">
            <w:pPr>
              <w:spacing w:line="360" w:lineRule="auto"/>
              <w:jc w:val="left"/>
              <w:rPr>
                <w:rFonts w:hint="eastAsia" w:asciiTheme="minorEastAsia" w:hAnsiTheme="minorEastAsia" w:eastAsiaTheme="minorEastAsia"/>
                <w:color w:val="auto"/>
                <w:szCs w:val="21"/>
                <w:highlight w:val="none"/>
              </w:rPr>
            </w:pPr>
          </w:p>
        </w:tc>
      </w:tr>
      <w:tr w14:paraId="1865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9017" w:type="dxa"/>
            <w:gridSpan w:val="2"/>
            <w:vAlign w:val="center"/>
          </w:tcPr>
          <w:p w14:paraId="58498AF8">
            <w:pPr>
              <w:spacing w:before="120" w:after="1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供应商（电子签章）：</w:t>
            </w:r>
          </w:p>
        </w:tc>
      </w:tr>
      <w:tr w14:paraId="5AFF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9017" w:type="dxa"/>
            <w:gridSpan w:val="2"/>
            <w:vAlign w:val="bottom"/>
          </w:tcPr>
          <w:p w14:paraId="7C13CBFE">
            <w:pPr>
              <w:spacing w:before="120" w:after="120"/>
              <w:ind w:right="48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法定代表人（电子签章）：</w:t>
            </w:r>
          </w:p>
          <w:p w14:paraId="1E85C630">
            <w:pPr>
              <w:spacing w:before="120" w:after="120"/>
              <w:jc w:val="right"/>
              <w:rPr>
                <w:rFonts w:hint="eastAsia" w:asciiTheme="minorEastAsia" w:hAnsiTheme="minorEastAsia" w:eastAsiaTheme="minorEastAsia"/>
                <w:color w:val="auto"/>
                <w:szCs w:val="21"/>
                <w:highlight w:val="none"/>
              </w:rPr>
            </w:pPr>
          </w:p>
          <w:p w14:paraId="0D10DD1B">
            <w:pPr>
              <w:spacing w:before="120" w:after="120"/>
              <w:jc w:val="righ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 期：    年    月    日</w:t>
            </w:r>
          </w:p>
        </w:tc>
      </w:tr>
    </w:tbl>
    <w:p w14:paraId="07BF29BC">
      <w:pPr>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br w:type="page"/>
      </w:r>
      <w:bookmarkStart w:id="1160" w:name="_Toc25238"/>
    </w:p>
    <w:p w14:paraId="4BB0C5BF">
      <w:pPr>
        <w:spacing w:line="360" w:lineRule="auto"/>
        <w:jc w:val="center"/>
        <w:outlineLvl w:val="3"/>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2.分项报价一览表</w:t>
      </w:r>
    </w:p>
    <w:tbl>
      <w:tblPr>
        <w:tblStyle w:val="53"/>
        <w:tblW w:w="46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283"/>
        <w:gridCol w:w="665"/>
        <w:gridCol w:w="675"/>
        <w:gridCol w:w="675"/>
        <w:gridCol w:w="745"/>
        <w:gridCol w:w="870"/>
        <w:gridCol w:w="872"/>
        <w:gridCol w:w="1016"/>
        <w:gridCol w:w="1308"/>
      </w:tblGrid>
      <w:tr w14:paraId="1ACF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67" w:type="pct"/>
            <w:shd w:val="clear" w:color="auto" w:fill="auto"/>
            <w:noWrap/>
            <w:vAlign w:val="center"/>
          </w:tcPr>
          <w:p w14:paraId="579F0FEB">
            <w:pPr>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748" w:type="pct"/>
            <w:shd w:val="clear" w:color="auto" w:fill="auto"/>
            <w:noWrap/>
            <w:vAlign w:val="center"/>
          </w:tcPr>
          <w:p w14:paraId="0C329AEB">
            <w:pPr>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名称</w:t>
            </w:r>
          </w:p>
        </w:tc>
        <w:tc>
          <w:tcPr>
            <w:tcW w:w="388" w:type="pct"/>
            <w:shd w:val="clear" w:color="auto" w:fill="auto"/>
            <w:noWrap/>
            <w:vAlign w:val="center"/>
          </w:tcPr>
          <w:p w14:paraId="0C6DD61B">
            <w:pPr>
              <w:jc w:val="center"/>
              <w:textAlignment w:val="center"/>
              <w:rPr>
                <w:rFonts w:hint="eastAsia" w:ascii="宋体" w:hAnsi="宋体" w:cs="宋体"/>
                <w:b/>
                <w:bCs/>
                <w:color w:val="auto"/>
                <w:szCs w:val="21"/>
                <w:highlight w:val="none"/>
              </w:rPr>
            </w:pPr>
            <w:r>
              <w:rPr>
                <w:rFonts w:hint="eastAsia" w:ascii="宋体" w:hAnsi="宋体" w:cs="宋体"/>
                <w:b/>
                <w:bCs/>
                <w:color w:val="auto"/>
                <w:szCs w:val="21"/>
                <w:highlight w:val="none"/>
              </w:rPr>
              <w:t>品牌</w:t>
            </w:r>
          </w:p>
        </w:tc>
        <w:tc>
          <w:tcPr>
            <w:tcW w:w="393" w:type="pct"/>
            <w:shd w:val="clear" w:color="auto" w:fill="auto"/>
            <w:vAlign w:val="center"/>
          </w:tcPr>
          <w:p w14:paraId="6CBB8E24">
            <w:pPr>
              <w:jc w:val="center"/>
              <w:textAlignment w:val="center"/>
              <w:rPr>
                <w:rFonts w:hint="eastAsia" w:ascii="宋体" w:hAnsi="宋体" w:cs="宋体"/>
                <w:b/>
                <w:bCs/>
                <w:color w:val="auto"/>
                <w:szCs w:val="21"/>
                <w:highlight w:val="none"/>
              </w:rPr>
            </w:pPr>
            <w:r>
              <w:rPr>
                <w:rFonts w:hint="eastAsia" w:ascii="宋体" w:hAnsi="宋体" w:cs="宋体"/>
                <w:b/>
                <w:bCs/>
                <w:color w:val="auto"/>
                <w:szCs w:val="21"/>
                <w:highlight w:val="none"/>
              </w:rPr>
              <w:t>型号</w:t>
            </w:r>
          </w:p>
        </w:tc>
        <w:tc>
          <w:tcPr>
            <w:tcW w:w="393" w:type="pct"/>
            <w:shd w:val="clear" w:color="auto" w:fill="auto"/>
            <w:noWrap/>
            <w:vAlign w:val="center"/>
          </w:tcPr>
          <w:p w14:paraId="7248EE17">
            <w:pPr>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单位</w:t>
            </w:r>
          </w:p>
        </w:tc>
        <w:tc>
          <w:tcPr>
            <w:tcW w:w="434" w:type="pct"/>
            <w:shd w:val="clear" w:color="auto" w:fill="auto"/>
            <w:noWrap/>
            <w:vAlign w:val="center"/>
          </w:tcPr>
          <w:p w14:paraId="72E2E1A9">
            <w:pPr>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数量</w:t>
            </w:r>
          </w:p>
        </w:tc>
        <w:tc>
          <w:tcPr>
            <w:tcW w:w="507" w:type="pct"/>
            <w:shd w:val="clear" w:color="auto" w:fill="auto"/>
            <w:vAlign w:val="center"/>
          </w:tcPr>
          <w:p w14:paraId="04F81399">
            <w:pPr>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单价（元）</w:t>
            </w:r>
          </w:p>
        </w:tc>
        <w:tc>
          <w:tcPr>
            <w:tcW w:w="508" w:type="pct"/>
            <w:shd w:val="clear" w:color="auto" w:fill="auto"/>
            <w:vAlign w:val="center"/>
          </w:tcPr>
          <w:p w14:paraId="3C148A28">
            <w:pPr>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合价（元）</w:t>
            </w:r>
          </w:p>
        </w:tc>
        <w:tc>
          <w:tcPr>
            <w:tcW w:w="592" w:type="pct"/>
            <w:vAlign w:val="center"/>
          </w:tcPr>
          <w:p w14:paraId="7B04F57F">
            <w:pPr>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生产商/制造商</w:t>
            </w:r>
          </w:p>
        </w:tc>
        <w:tc>
          <w:tcPr>
            <w:tcW w:w="763" w:type="pct"/>
            <w:vAlign w:val="center"/>
          </w:tcPr>
          <w:p w14:paraId="419561A5">
            <w:pPr>
              <w:jc w:val="center"/>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是否为小微企业</w:t>
            </w:r>
          </w:p>
        </w:tc>
      </w:tr>
      <w:tr w14:paraId="7831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67" w:type="pct"/>
            <w:shd w:val="clear" w:color="auto" w:fill="auto"/>
            <w:noWrap/>
            <w:vAlign w:val="center"/>
          </w:tcPr>
          <w:p w14:paraId="32F0AA2A">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748" w:type="pct"/>
            <w:shd w:val="clear" w:color="auto" w:fill="auto"/>
            <w:noWrap/>
            <w:vAlign w:val="center"/>
          </w:tcPr>
          <w:p w14:paraId="55BCD63D">
            <w:pP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智能化学吊装系统</w:t>
            </w:r>
          </w:p>
        </w:tc>
        <w:tc>
          <w:tcPr>
            <w:tcW w:w="388" w:type="pct"/>
            <w:shd w:val="clear" w:color="auto" w:fill="auto"/>
            <w:vAlign w:val="center"/>
          </w:tcPr>
          <w:p w14:paraId="4873B8DA">
            <w:pPr>
              <w:jc w:val="center"/>
              <w:textAlignment w:val="center"/>
              <w:rPr>
                <w:rFonts w:hint="eastAsia" w:ascii="宋体" w:hAnsi="宋体" w:cs="宋体"/>
                <w:color w:val="auto"/>
                <w:szCs w:val="21"/>
                <w:highlight w:val="none"/>
              </w:rPr>
            </w:pPr>
          </w:p>
        </w:tc>
        <w:tc>
          <w:tcPr>
            <w:tcW w:w="393" w:type="pct"/>
            <w:shd w:val="clear" w:color="auto" w:fill="auto"/>
            <w:vAlign w:val="center"/>
          </w:tcPr>
          <w:p w14:paraId="1A87631B">
            <w:pPr>
              <w:jc w:val="center"/>
              <w:textAlignment w:val="center"/>
              <w:rPr>
                <w:rFonts w:hint="eastAsia" w:ascii="宋体" w:hAnsi="宋体" w:cs="宋体"/>
                <w:color w:val="auto"/>
                <w:szCs w:val="21"/>
                <w:highlight w:val="none"/>
              </w:rPr>
            </w:pPr>
          </w:p>
        </w:tc>
        <w:tc>
          <w:tcPr>
            <w:tcW w:w="393" w:type="pct"/>
            <w:shd w:val="clear" w:color="auto" w:fill="auto"/>
            <w:noWrap/>
            <w:vAlign w:val="center"/>
          </w:tcPr>
          <w:p w14:paraId="56F1C977">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34" w:type="pct"/>
            <w:shd w:val="clear" w:color="auto" w:fill="auto"/>
            <w:noWrap/>
            <w:vAlign w:val="center"/>
          </w:tcPr>
          <w:p w14:paraId="14CABF16">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07" w:type="pct"/>
            <w:shd w:val="clear" w:color="auto" w:fill="auto"/>
            <w:noWrap/>
            <w:vAlign w:val="center"/>
          </w:tcPr>
          <w:p w14:paraId="41117533">
            <w:pPr>
              <w:jc w:val="center"/>
              <w:textAlignment w:val="center"/>
              <w:rPr>
                <w:rFonts w:hint="eastAsia" w:ascii="宋体" w:hAnsi="宋体" w:cs="宋体"/>
                <w:color w:val="auto"/>
                <w:szCs w:val="21"/>
                <w:highlight w:val="none"/>
              </w:rPr>
            </w:pPr>
          </w:p>
        </w:tc>
        <w:tc>
          <w:tcPr>
            <w:tcW w:w="508" w:type="pct"/>
            <w:shd w:val="clear" w:color="auto" w:fill="auto"/>
            <w:noWrap/>
            <w:vAlign w:val="center"/>
          </w:tcPr>
          <w:p w14:paraId="55CA06EF">
            <w:pPr>
              <w:jc w:val="center"/>
              <w:textAlignment w:val="center"/>
              <w:rPr>
                <w:rFonts w:hint="eastAsia" w:ascii="宋体" w:hAnsi="宋体" w:cs="宋体"/>
                <w:color w:val="auto"/>
                <w:szCs w:val="21"/>
                <w:highlight w:val="none"/>
              </w:rPr>
            </w:pPr>
          </w:p>
        </w:tc>
        <w:tc>
          <w:tcPr>
            <w:tcW w:w="592" w:type="pct"/>
          </w:tcPr>
          <w:p w14:paraId="4278DDC2">
            <w:pPr>
              <w:jc w:val="center"/>
              <w:textAlignment w:val="center"/>
              <w:rPr>
                <w:rFonts w:hint="eastAsia" w:ascii="宋体" w:hAnsi="宋体" w:cs="宋体"/>
                <w:color w:val="auto"/>
                <w:szCs w:val="21"/>
                <w:highlight w:val="none"/>
              </w:rPr>
            </w:pPr>
          </w:p>
        </w:tc>
        <w:tc>
          <w:tcPr>
            <w:tcW w:w="763" w:type="pct"/>
          </w:tcPr>
          <w:p w14:paraId="02364CEB">
            <w:pPr>
              <w:jc w:val="center"/>
              <w:textAlignment w:val="center"/>
              <w:rPr>
                <w:rFonts w:hint="eastAsia" w:ascii="宋体" w:hAnsi="宋体" w:cs="宋体"/>
                <w:color w:val="auto"/>
                <w:szCs w:val="21"/>
                <w:highlight w:val="none"/>
              </w:rPr>
            </w:pPr>
          </w:p>
        </w:tc>
      </w:tr>
      <w:tr w14:paraId="2519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67" w:type="pct"/>
            <w:shd w:val="clear" w:color="auto" w:fill="auto"/>
            <w:noWrap/>
            <w:vAlign w:val="center"/>
          </w:tcPr>
          <w:p w14:paraId="2122CC95">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748" w:type="pct"/>
            <w:shd w:val="clear" w:color="auto" w:fill="auto"/>
            <w:noWrap/>
            <w:vAlign w:val="center"/>
          </w:tcPr>
          <w:p w14:paraId="4F0F3F07">
            <w:pP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智能生物吊装系统</w:t>
            </w:r>
          </w:p>
        </w:tc>
        <w:tc>
          <w:tcPr>
            <w:tcW w:w="388" w:type="pct"/>
            <w:shd w:val="clear" w:color="auto" w:fill="auto"/>
            <w:vAlign w:val="center"/>
          </w:tcPr>
          <w:p w14:paraId="16F1D3A6">
            <w:pPr>
              <w:jc w:val="center"/>
              <w:textAlignment w:val="center"/>
              <w:rPr>
                <w:rFonts w:hint="eastAsia" w:ascii="宋体" w:hAnsi="宋体" w:cs="宋体"/>
                <w:color w:val="auto"/>
                <w:szCs w:val="21"/>
                <w:highlight w:val="none"/>
              </w:rPr>
            </w:pPr>
          </w:p>
        </w:tc>
        <w:tc>
          <w:tcPr>
            <w:tcW w:w="393" w:type="pct"/>
            <w:shd w:val="clear" w:color="auto" w:fill="auto"/>
            <w:vAlign w:val="center"/>
          </w:tcPr>
          <w:p w14:paraId="5651548E">
            <w:pPr>
              <w:jc w:val="center"/>
              <w:textAlignment w:val="center"/>
              <w:rPr>
                <w:rFonts w:hint="eastAsia" w:ascii="宋体" w:hAnsi="宋体" w:cs="宋体"/>
                <w:color w:val="auto"/>
                <w:szCs w:val="21"/>
                <w:highlight w:val="none"/>
              </w:rPr>
            </w:pPr>
          </w:p>
        </w:tc>
        <w:tc>
          <w:tcPr>
            <w:tcW w:w="393" w:type="pct"/>
            <w:shd w:val="clear" w:color="auto" w:fill="auto"/>
            <w:noWrap/>
            <w:vAlign w:val="center"/>
          </w:tcPr>
          <w:p w14:paraId="0925AFD8">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34" w:type="pct"/>
            <w:shd w:val="clear" w:color="auto" w:fill="auto"/>
            <w:noWrap/>
            <w:vAlign w:val="center"/>
          </w:tcPr>
          <w:p w14:paraId="05D7A64C">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07" w:type="pct"/>
            <w:shd w:val="clear" w:color="auto" w:fill="auto"/>
            <w:noWrap/>
            <w:vAlign w:val="center"/>
          </w:tcPr>
          <w:p w14:paraId="3D136742">
            <w:pPr>
              <w:jc w:val="center"/>
              <w:textAlignment w:val="center"/>
              <w:rPr>
                <w:rFonts w:hint="eastAsia" w:ascii="宋体" w:hAnsi="宋体" w:cs="宋体"/>
                <w:color w:val="auto"/>
                <w:szCs w:val="21"/>
                <w:highlight w:val="none"/>
              </w:rPr>
            </w:pPr>
          </w:p>
        </w:tc>
        <w:tc>
          <w:tcPr>
            <w:tcW w:w="508" w:type="pct"/>
            <w:shd w:val="clear" w:color="auto" w:fill="auto"/>
            <w:noWrap/>
            <w:vAlign w:val="center"/>
          </w:tcPr>
          <w:p w14:paraId="2C6D2AEA">
            <w:pPr>
              <w:jc w:val="center"/>
              <w:textAlignment w:val="center"/>
              <w:rPr>
                <w:rFonts w:hint="eastAsia" w:ascii="宋体" w:hAnsi="宋体" w:cs="宋体"/>
                <w:color w:val="auto"/>
                <w:szCs w:val="21"/>
                <w:highlight w:val="none"/>
              </w:rPr>
            </w:pPr>
          </w:p>
        </w:tc>
        <w:tc>
          <w:tcPr>
            <w:tcW w:w="592" w:type="pct"/>
          </w:tcPr>
          <w:p w14:paraId="731427F9">
            <w:pPr>
              <w:jc w:val="center"/>
              <w:textAlignment w:val="center"/>
              <w:rPr>
                <w:rFonts w:hint="eastAsia" w:ascii="宋体" w:hAnsi="宋体" w:cs="宋体"/>
                <w:color w:val="auto"/>
                <w:szCs w:val="21"/>
                <w:highlight w:val="none"/>
              </w:rPr>
            </w:pPr>
          </w:p>
        </w:tc>
        <w:tc>
          <w:tcPr>
            <w:tcW w:w="763" w:type="pct"/>
          </w:tcPr>
          <w:p w14:paraId="48CE156F">
            <w:pPr>
              <w:jc w:val="center"/>
              <w:textAlignment w:val="center"/>
              <w:rPr>
                <w:rFonts w:hint="eastAsia" w:ascii="宋体" w:hAnsi="宋体" w:cs="宋体"/>
                <w:color w:val="auto"/>
                <w:szCs w:val="21"/>
                <w:highlight w:val="none"/>
              </w:rPr>
            </w:pPr>
          </w:p>
        </w:tc>
      </w:tr>
      <w:tr w14:paraId="00A9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67" w:type="pct"/>
            <w:shd w:val="clear" w:color="auto" w:fill="auto"/>
            <w:noWrap/>
            <w:vAlign w:val="center"/>
          </w:tcPr>
          <w:p w14:paraId="50E7F5C3">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48" w:type="pct"/>
            <w:shd w:val="clear" w:color="auto" w:fill="auto"/>
            <w:noWrap/>
            <w:vAlign w:val="center"/>
          </w:tcPr>
          <w:p w14:paraId="6DCC292E">
            <w:pP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智能物理吊装系统</w:t>
            </w:r>
          </w:p>
        </w:tc>
        <w:tc>
          <w:tcPr>
            <w:tcW w:w="388" w:type="pct"/>
            <w:shd w:val="clear" w:color="auto" w:fill="auto"/>
            <w:vAlign w:val="center"/>
          </w:tcPr>
          <w:p w14:paraId="4C54C6C4">
            <w:pPr>
              <w:jc w:val="center"/>
              <w:textAlignment w:val="center"/>
              <w:rPr>
                <w:rFonts w:hint="eastAsia" w:ascii="宋体" w:hAnsi="宋体" w:cs="宋体"/>
                <w:color w:val="auto"/>
                <w:szCs w:val="21"/>
                <w:highlight w:val="none"/>
              </w:rPr>
            </w:pPr>
          </w:p>
        </w:tc>
        <w:tc>
          <w:tcPr>
            <w:tcW w:w="393" w:type="pct"/>
            <w:shd w:val="clear" w:color="auto" w:fill="auto"/>
            <w:vAlign w:val="center"/>
          </w:tcPr>
          <w:p w14:paraId="6B5A2D2F">
            <w:pPr>
              <w:jc w:val="center"/>
              <w:textAlignment w:val="center"/>
              <w:rPr>
                <w:rFonts w:hint="eastAsia" w:ascii="宋体" w:hAnsi="宋体" w:cs="宋体"/>
                <w:color w:val="auto"/>
                <w:szCs w:val="21"/>
                <w:highlight w:val="none"/>
              </w:rPr>
            </w:pPr>
          </w:p>
        </w:tc>
        <w:tc>
          <w:tcPr>
            <w:tcW w:w="393" w:type="pct"/>
            <w:shd w:val="clear" w:color="auto" w:fill="auto"/>
            <w:noWrap/>
            <w:vAlign w:val="center"/>
          </w:tcPr>
          <w:p w14:paraId="7D84580F">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434" w:type="pct"/>
            <w:shd w:val="clear" w:color="auto" w:fill="auto"/>
            <w:noWrap/>
            <w:vAlign w:val="center"/>
          </w:tcPr>
          <w:p w14:paraId="59333E8B">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507" w:type="pct"/>
            <w:shd w:val="clear" w:color="auto" w:fill="auto"/>
            <w:noWrap/>
            <w:vAlign w:val="center"/>
          </w:tcPr>
          <w:p w14:paraId="1DF34785">
            <w:pPr>
              <w:jc w:val="center"/>
              <w:textAlignment w:val="center"/>
              <w:rPr>
                <w:rFonts w:hint="eastAsia" w:ascii="宋体" w:hAnsi="宋体" w:cs="宋体"/>
                <w:color w:val="auto"/>
                <w:szCs w:val="21"/>
                <w:highlight w:val="none"/>
              </w:rPr>
            </w:pPr>
          </w:p>
        </w:tc>
        <w:tc>
          <w:tcPr>
            <w:tcW w:w="508" w:type="pct"/>
            <w:shd w:val="clear" w:color="auto" w:fill="auto"/>
            <w:noWrap/>
            <w:vAlign w:val="center"/>
          </w:tcPr>
          <w:p w14:paraId="190B77CF">
            <w:pPr>
              <w:jc w:val="center"/>
              <w:textAlignment w:val="center"/>
              <w:rPr>
                <w:rFonts w:hint="eastAsia" w:ascii="宋体" w:hAnsi="宋体" w:cs="宋体"/>
                <w:color w:val="auto"/>
                <w:szCs w:val="21"/>
                <w:highlight w:val="none"/>
              </w:rPr>
            </w:pPr>
          </w:p>
        </w:tc>
        <w:tc>
          <w:tcPr>
            <w:tcW w:w="592" w:type="pct"/>
          </w:tcPr>
          <w:p w14:paraId="68000668">
            <w:pPr>
              <w:jc w:val="center"/>
              <w:textAlignment w:val="center"/>
              <w:rPr>
                <w:rFonts w:hint="eastAsia" w:ascii="宋体" w:hAnsi="宋体" w:cs="宋体"/>
                <w:color w:val="auto"/>
                <w:szCs w:val="21"/>
                <w:highlight w:val="none"/>
              </w:rPr>
            </w:pPr>
          </w:p>
        </w:tc>
        <w:tc>
          <w:tcPr>
            <w:tcW w:w="763" w:type="pct"/>
          </w:tcPr>
          <w:p w14:paraId="5488015F">
            <w:pPr>
              <w:jc w:val="center"/>
              <w:textAlignment w:val="center"/>
              <w:rPr>
                <w:rFonts w:hint="eastAsia" w:ascii="宋体" w:hAnsi="宋体" w:cs="宋体"/>
                <w:color w:val="auto"/>
                <w:szCs w:val="21"/>
                <w:highlight w:val="none"/>
              </w:rPr>
            </w:pPr>
          </w:p>
        </w:tc>
      </w:tr>
      <w:tr w14:paraId="0050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67" w:type="pct"/>
            <w:shd w:val="clear" w:color="auto" w:fill="auto"/>
            <w:noWrap/>
            <w:vAlign w:val="center"/>
          </w:tcPr>
          <w:p w14:paraId="00872C30">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48" w:type="pct"/>
            <w:shd w:val="clear" w:color="auto" w:fill="auto"/>
            <w:noWrap/>
            <w:vAlign w:val="center"/>
          </w:tcPr>
          <w:p w14:paraId="5CB6EEC6">
            <w:pP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高中物理新课标实验仪器</w:t>
            </w:r>
          </w:p>
        </w:tc>
        <w:tc>
          <w:tcPr>
            <w:tcW w:w="388" w:type="pct"/>
            <w:shd w:val="clear" w:color="auto" w:fill="auto"/>
            <w:noWrap/>
            <w:vAlign w:val="center"/>
          </w:tcPr>
          <w:p w14:paraId="70F31640">
            <w:pPr>
              <w:jc w:val="center"/>
              <w:textAlignment w:val="center"/>
              <w:rPr>
                <w:rFonts w:hint="eastAsia" w:ascii="宋体" w:hAnsi="宋体" w:cs="宋体"/>
                <w:color w:val="auto"/>
                <w:szCs w:val="21"/>
                <w:highlight w:val="none"/>
              </w:rPr>
            </w:pPr>
          </w:p>
        </w:tc>
        <w:tc>
          <w:tcPr>
            <w:tcW w:w="393" w:type="pct"/>
            <w:shd w:val="clear" w:color="auto" w:fill="auto"/>
            <w:vAlign w:val="center"/>
          </w:tcPr>
          <w:p w14:paraId="38A9918F">
            <w:pPr>
              <w:jc w:val="center"/>
              <w:textAlignment w:val="center"/>
              <w:rPr>
                <w:rFonts w:hint="eastAsia" w:ascii="宋体" w:hAnsi="宋体" w:cs="宋体"/>
                <w:color w:val="auto"/>
                <w:szCs w:val="21"/>
                <w:highlight w:val="none"/>
              </w:rPr>
            </w:pPr>
          </w:p>
        </w:tc>
        <w:tc>
          <w:tcPr>
            <w:tcW w:w="393" w:type="pct"/>
            <w:shd w:val="clear" w:color="auto" w:fill="auto"/>
            <w:noWrap/>
            <w:vAlign w:val="center"/>
          </w:tcPr>
          <w:p w14:paraId="5C41DB9C">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434" w:type="pct"/>
            <w:shd w:val="clear" w:color="auto" w:fill="auto"/>
            <w:noWrap/>
            <w:vAlign w:val="center"/>
          </w:tcPr>
          <w:p w14:paraId="6592E682">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07" w:type="pct"/>
            <w:shd w:val="clear" w:color="auto" w:fill="auto"/>
            <w:noWrap/>
            <w:vAlign w:val="center"/>
          </w:tcPr>
          <w:p w14:paraId="4FA1E636">
            <w:pPr>
              <w:jc w:val="center"/>
              <w:textAlignment w:val="center"/>
              <w:rPr>
                <w:rFonts w:hint="eastAsia" w:ascii="宋体" w:hAnsi="宋体" w:cs="宋体"/>
                <w:color w:val="auto"/>
                <w:szCs w:val="21"/>
                <w:highlight w:val="none"/>
              </w:rPr>
            </w:pPr>
          </w:p>
        </w:tc>
        <w:tc>
          <w:tcPr>
            <w:tcW w:w="508" w:type="pct"/>
            <w:shd w:val="clear" w:color="auto" w:fill="auto"/>
            <w:noWrap/>
            <w:vAlign w:val="center"/>
          </w:tcPr>
          <w:p w14:paraId="11098F6B">
            <w:pPr>
              <w:jc w:val="center"/>
              <w:textAlignment w:val="center"/>
              <w:rPr>
                <w:rFonts w:hint="eastAsia" w:ascii="宋体" w:hAnsi="宋体" w:cs="宋体"/>
                <w:color w:val="auto"/>
                <w:szCs w:val="21"/>
                <w:highlight w:val="none"/>
              </w:rPr>
            </w:pPr>
          </w:p>
        </w:tc>
        <w:tc>
          <w:tcPr>
            <w:tcW w:w="592" w:type="pct"/>
          </w:tcPr>
          <w:p w14:paraId="36CFC1A1">
            <w:pPr>
              <w:jc w:val="center"/>
              <w:textAlignment w:val="center"/>
              <w:rPr>
                <w:rFonts w:hint="eastAsia" w:ascii="宋体" w:hAnsi="宋体" w:cs="宋体"/>
                <w:color w:val="auto"/>
                <w:szCs w:val="21"/>
                <w:highlight w:val="none"/>
              </w:rPr>
            </w:pPr>
          </w:p>
        </w:tc>
        <w:tc>
          <w:tcPr>
            <w:tcW w:w="763" w:type="pct"/>
          </w:tcPr>
          <w:p w14:paraId="5EDDDC13">
            <w:pPr>
              <w:jc w:val="center"/>
              <w:textAlignment w:val="center"/>
              <w:rPr>
                <w:rFonts w:hint="eastAsia" w:ascii="宋体" w:hAnsi="宋体" w:cs="宋体"/>
                <w:color w:val="auto"/>
                <w:szCs w:val="21"/>
                <w:highlight w:val="none"/>
              </w:rPr>
            </w:pPr>
          </w:p>
        </w:tc>
      </w:tr>
      <w:tr w14:paraId="34BA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67" w:type="pct"/>
            <w:shd w:val="clear" w:color="auto" w:fill="auto"/>
            <w:noWrap/>
            <w:vAlign w:val="center"/>
          </w:tcPr>
          <w:p w14:paraId="305C8B65">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748" w:type="pct"/>
            <w:shd w:val="clear" w:color="auto" w:fill="auto"/>
            <w:noWrap/>
            <w:vAlign w:val="center"/>
          </w:tcPr>
          <w:p w14:paraId="695C6B92">
            <w:pP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高中化学新课标实验仪器</w:t>
            </w:r>
          </w:p>
        </w:tc>
        <w:tc>
          <w:tcPr>
            <w:tcW w:w="388" w:type="pct"/>
            <w:shd w:val="clear" w:color="auto" w:fill="auto"/>
            <w:noWrap/>
            <w:vAlign w:val="center"/>
          </w:tcPr>
          <w:p w14:paraId="1997AC03">
            <w:pPr>
              <w:jc w:val="center"/>
              <w:textAlignment w:val="center"/>
              <w:rPr>
                <w:rFonts w:hint="eastAsia" w:ascii="宋体" w:hAnsi="宋体" w:cs="宋体"/>
                <w:color w:val="auto"/>
                <w:szCs w:val="21"/>
                <w:highlight w:val="none"/>
              </w:rPr>
            </w:pPr>
          </w:p>
        </w:tc>
        <w:tc>
          <w:tcPr>
            <w:tcW w:w="393" w:type="pct"/>
            <w:shd w:val="clear" w:color="auto" w:fill="auto"/>
            <w:vAlign w:val="center"/>
          </w:tcPr>
          <w:p w14:paraId="6AAEBF1C">
            <w:pPr>
              <w:jc w:val="center"/>
              <w:textAlignment w:val="center"/>
              <w:rPr>
                <w:rFonts w:hint="eastAsia" w:ascii="宋体" w:hAnsi="宋体" w:cs="宋体"/>
                <w:color w:val="auto"/>
                <w:szCs w:val="21"/>
                <w:highlight w:val="none"/>
              </w:rPr>
            </w:pPr>
          </w:p>
        </w:tc>
        <w:tc>
          <w:tcPr>
            <w:tcW w:w="393" w:type="pct"/>
            <w:shd w:val="clear" w:color="auto" w:fill="auto"/>
            <w:noWrap/>
            <w:vAlign w:val="center"/>
          </w:tcPr>
          <w:p w14:paraId="4CE69513">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434" w:type="pct"/>
            <w:shd w:val="clear" w:color="auto" w:fill="auto"/>
            <w:noWrap/>
            <w:vAlign w:val="center"/>
          </w:tcPr>
          <w:p w14:paraId="44F1D610">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07" w:type="pct"/>
            <w:shd w:val="clear" w:color="auto" w:fill="auto"/>
            <w:noWrap/>
            <w:vAlign w:val="center"/>
          </w:tcPr>
          <w:p w14:paraId="0CAE0DB1">
            <w:pPr>
              <w:jc w:val="center"/>
              <w:textAlignment w:val="center"/>
              <w:rPr>
                <w:rFonts w:hint="eastAsia" w:ascii="宋体" w:hAnsi="宋体" w:cs="宋体"/>
                <w:color w:val="auto"/>
                <w:szCs w:val="21"/>
                <w:highlight w:val="none"/>
              </w:rPr>
            </w:pPr>
          </w:p>
        </w:tc>
        <w:tc>
          <w:tcPr>
            <w:tcW w:w="508" w:type="pct"/>
            <w:shd w:val="clear" w:color="auto" w:fill="auto"/>
            <w:noWrap/>
            <w:vAlign w:val="center"/>
          </w:tcPr>
          <w:p w14:paraId="0C4FE5AB">
            <w:pPr>
              <w:jc w:val="center"/>
              <w:textAlignment w:val="center"/>
              <w:rPr>
                <w:rFonts w:hint="eastAsia" w:ascii="宋体" w:hAnsi="宋体" w:cs="宋体"/>
                <w:color w:val="auto"/>
                <w:szCs w:val="21"/>
                <w:highlight w:val="none"/>
              </w:rPr>
            </w:pPr>
          </w:p>
        </w:tc>
        <w:tc>
          <w:tcPr>
            <w:tcW w:w="592" w:type="pct"/>
          </w:tcPr>
          <w:p w14:paraId="702A8498">
            <w:pPr>
              <w:jc w:val="center"/>
              <w:textAlignment w:val="center"/>
              <w:rPr>
                <w:rFonts w:hint="eastAsia" w:ascii="宋体" w:hAnsi="宋体" w:cs="宋体"/>
                <w:color w:val="auto"/>
                <w:szCs w:val="21"/>
                <w:highlight w:val="none"/>
              </w:rPr>
            </w:pPr>
          </w:p>
        </w:tc>
        <w:tc>
          <w:tcPr>
            <w:tcW w:w="763" w:type="pct"/>
          </w:tcPr>
          <w:p w14:paraId="36429E27">
            <w:pPr>
              <w:jc w:val="center"/>
              <w:textAlignment w:val="center"/>
              <w:rPr>
                <w:rFonts w:hint="eastAsia" w:ascii="宋体" w:hAnsi="宋体" w:cs="宋体"/>
                <w:color w:val="auto"/>
                <w:szCs w:val="21"/>
                <w:highlight w:val="none"/>
              </w:rPr>
            </w:pPr>
          </w:p>
        </w:tc>
      </w:tr>
      <w:tr w14:paraId="1EF6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67" w:type="pct"/>
            <w:shd w:val="clear" w:color="auto" w:fill="auto"/>
            <w:noWrap/>
            <w:vAlign w:val="center"/>
          </w:tcPr>
          <w:p w14:paraId="6290F263">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748" w:type="pct"/>
            <w:shd w:val="clear" w:color="auto" w:fill="auto"/>
            <w:noWrap/>
            <w:vAlign w:val="center"/>
          </w:tcPr>
          <w:p w14:paraId="6DAFB30D">
            <w:pP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高中生物新课标实验仪器</w:t>
            </w:r>
          </w:p>
        </w:tc>
        <w:tc>
          <w:tcPr>
            <w:tcW w:w="388" w:type="pct"/>
            <w:shd w:val="clear" w:color="auto" w:fill="auto"/>
            <w:noWrap/>
            <w:vAlign w:val="center"/>
          </w:tcPr>
          <w:p w14:paraId="0874F9EE">
            <w:pPr>
              <w:jc w:val="center"/>
              <w:textAlignment w:val="center"/>
              <w:rPr>
                <w:rFonts w:hint="eastAsia" w:ascii="宋体" w:hAnsi="宋体" w:cs="宋体"/>
                <w:color w:val="auto"/>
                <w:szCs w:val="21"/>
                <w:highlight w:val="none"/>
              </w:rPr>
            </w:pPr>
          </w:p>
        </w:tc>
        <w:tc>
          <w:tcPr>
            <w:tcW w:w="393" w:type="pct"/>
            <w:shd w:val="clear" w:color="auto" w:fill="auto"/>
            <w:vAlign w:val="center"/>
          </w:tcPr>
          <w:p w14:paraId="0AA4CAD9">
            <w:pPr>
              <w:jc w:val="center"/>
              <w:textAlignment w:val="center"/>
              <w:rPr>
                <w:rFonts w:hint="eastAsia" w:ascii="宋体" w:hAnsi="宋体" w:cs="宋体"/>
                <w:color w:val="auto"/>
                <w:szCs w:val="21"/>
                <w:highlight w:val="none"/>
              </w:rPr>
            </w:pPr>
          </w:p>
        </w:tc>
        <w:tc>
          <w:tcPr>
            <w:tcW w:w="393" w:type="pct"/>
            <w:shd w:val="clear" w:color="auto" w:fill="auto"/>
            <w:noWrap/>
            <w:vAlign w:val="center"/>
          </w:tcPr>
          <w:p w14:paraId="6F06A0D3">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434" w:type="pct"/>
            <w:shd w:val="clear" w:color="auto" w:fill="auto"/>
            <w:noWrap/>
            <w:vAlign w:val="center"/>
          </w:tcPr>
          <w:p w14:paraId="6C54AF1E">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507" w:type="pct"/>
            <w:shd w:val="clear" w:color="auto" w:fill="auto"/>
            <w:noWrap/>
            <w:vAlign w:val="center"/>
          </w:tcPr>
          <w:p w14:paraId="07CF0478">
            <w:pPr>
              <w:jc w:val="center"/>
              <w:textAlignment w:val="center"/>
              <w:rPr>
                <w:rFonts w:hint="eastAsia" w:ascii="宋体" w:hAnsi="宋体" w:cs="宋体"/>
                <w:color w:val="auto"/>
                <w:szCs w:val="21"/>
                <w:highlight w:val="none"/>
              </w:rPr>
            </w:pPr>
          </w:p>
        </w:tc>
        <w:tc>
          <w:tcPr>
            <w:tcW w:w="508" w:type="pct"/>
            <w:shd w:val="clear" w:color="auto" w:fill="auto"/>
            <w:noWrap/>
            <w:vAlign w:val="center"/>
          </w:tcPr>
          <w:p w14:paraId="2BEB18BB">
            <w:pPr>
              <w:jc w:val="center"/>
              <w:textAlignment w:val="center"/>
              <w:rPr>
                <w:rFonts w:hint="eastAsia" w:ascii="宋体" w:hAnsi="宋体" w:cs="宋体"/>
                <w:color w:val="auto"/>
                <w:szCs w:val="21"/>
                <w:highlight w:val="none"/>
              </w:rPr>
            </w:pPr>
          </w:p>
        </w:tc>
        <w:tc>
          <w:tcPr>
            <w:tcW w:w="592" w:type="pct"/>
          </w:tcPr>
          <w:p w14:paraId="75208D0E">
            <w:pPr>
              <w:jc w:val="center"/>
              <w:textAlignment w:val="center"/>
              <w:rPr>
                <w:rFonts w:hint="eastAsia" w:ascii="宋体" w:hAnsi="宋体" w:cs="宋体"/>
                <w:color w:val="auto"/>
                <w:szCs w:val="21"/>
                <w:highlight w:val="none"/>
              </w:rPr>
            </w:pPr>
          </w:p>
        </w:tc>
        <w:tc>
          <w:tcPr>
            <w:tcW w:w="763" w:type="pct"/>
          </w:tcPr>
          <w:p w14:paraId="5DDDBF0B">
            <w:pPr>
              <w:jc w:val="center"/>
              <w:textAlignment w:val="center"/>
              <w:rPr>
                <w:rFonts w:hint="eastAsia" w:ascii="宋体" w:hAnsi="宋体" w:cs="宋体"/>
                <w:color w:val="auto"/>
                <w:szCs w:val="21"/>
                <w:highlight w:val="none"/>
              </w:rPr>
            </w:pPr>
          </w:p>
        </w:tc>
      </w:tr>
      <w:tr w14:paraId="0286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34" w:type="pct"/>
            <w:gridSpan w:val="7"/>
            <w:shd w:val="clear" w:color="auto" w:fill="auto"/>
            <w:noWrap/>
            <w:vAlign w:val="center"/>
          </w:tcPr>
          <w:p w14:paraId="0331DD58">
            <w:pPr>
              <w:jc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合计</w:t>
            </w:r>
          </w:p>
        </w:tc>
        <w:tc>
          <w:tcPr>
            <w:tcW w:w="1865" w:type="pct"/>
            <w:gridSpan w:val="3"/>
            <w:shd w:val="clear" w:color="auto" w:fill="auto"/>
            <w:noWrap/>
            <w:vAlign w:val="center"/>
          </w:tcPr>
          <w:p w14:paraId="2B0539C9">
            <w:pPr>
              <w:jc w:val="center"/>
              <w:textAlignment w:val="center"/>
              <w:rPr>
                <w:rFonts w:hint="eastAsia" w:ascii="宋体" w:hAnsi="宋体" w:cs="宋体"/>
                <w:b/>
                <w:bCs/>
                <w:color w:val="auto"/>
                <w:szCs w:val="21"/>
                <w:highlight w:val="none"/>
              </w:rPr>
            </w:pPr>
          </w:p>
        </w:tc>
      </w:tr>
    </w:tbl>
    <w:p w14:paraId="7EB853EB">
      <w:pPr>
        <w:rPr>
          <w:color w:val="auto"/>
          <w:highlight w:val="none"/>
        </w:rPr>
      </w:pPr>
    </w:p>
    <w:p w14:paraId="00786639">
      <w:pPr>
        <w:rPr>
          <w:color w:val="auto"/>
          <w:highlight w:val="none"/>
        </w:rPr>
      </w:pPr>
    </w:p>
    <w:p w14:paraId="25F648E3">
      <w:pPr>
        <w:rPr>
          <w:color w:val="auto"/>
          <w:highlight w:val="none"/>
        </w:rPr>
      </w:pPr>
    </w:p>
    <w:p w14:paraId="7456FE6F">
      <w:pPr>
        <w:rPr>
          <w:color w:val="auto"/>
          <w:highlight w:val="none"/>
        </w:rPr>
      </w:pPr>
    </w:p>
    <w:p w14:paraId="486BE917">
      <w:pPr>
        <w:rPr>
          <w:color w:val="auto"/>
          <w:highlight w:val="none"/>
        </w:rPr>
      </w:pPr>
    </w:p>
    <w:p w14:paraId="6ED9E3DB">
      <w:pPr>
        <w:autoSpaceDE w:val="0"/>
        <w:autoSpaceDN w:val="0"/>
        <w:adjustRightInd w:val="0"/>
        <w:spacing w:line="360" w:lineRule="auto"/>
        <w:ind w:firstLine="4676" w:firstLineChars="2227"/>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供应商：</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w:t>
      </w:r>
      <w:r>
        <w:rPr>
          <w:rFonts w:hint="eastAsia" w:asciiTheme="minorEastAsia" w:hAnsiTheme="minorEastAsia" w:eastAsiaTheme="minorEastAsia"/>
          <w:color w:val="auto"/>
          <w:szCs w:val="21"/>
          <w:highlight w:val="none"/>
          <w:u w:val="single"/>
        </w:rPr>
        <w:t>电子签章</w:t>
      </w:r>
      <w:r>
        <w:rPr>
          <w:rFonts w:hint="eastAsia" w:asciiTheme="minorEastAsia" w:hAnsiTheme="minorEastAsia" w:eastAsiaTheme="minorEastAsia"/>
          <w:bCs/>
          <w:color w:val="auto"/>
          <w:szCs w:val="21"/>
          <w:highlight w:val="none"/>
          <w:u w:val="single"/>
        </w:rPr>
        <w:t>）</w:t>
      </w:r>
    </w:p>
    <w:p w14:paraId="380733DB">
      <w:pPr>
        <w:autoSpaceDE w:val="0"/>
        <w:autoSpaceDN w:val="0"/>
        <w:adjustRightInd w:val="0"/>
        <w:spacing w:line="360" w:lineRule="auto"/>
        <w:ind w:firstLine="4676" w:firstLineChars="2227"/>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法定代表人：</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(电子签章)</w:t>
      </w:r>
      <w:r>
        <w:rPr>
          <w:rFonts w:asciiTheme="minorEastAsia" w:hAnsiTheme="minorEastAsia" w:eastAsiaTheme="minorEastAsia"/>
          <w:bCs/>
          <w:color w:val="auto"/>
          <w:szCs w:val="21"/>
          <w:highlight w:val="none"/>
          <w:u w:val="single"/>
        </w:rPr>
        <w:t xml:space="preserve"> </w:t>
      </w:r>
    </w:p>
    <w:p w14:paraId="075D3699">
      <w:pPr>
        <w:autoSpaceDE w:val="0"/>
        <w:autoSpaceDN w:val="0"/>
        <w:adjustRightInd w:val="0"/>
        <w:spacing w:line="360" w:lineRule="auto"/>
        <w:ind w:firstLine="4676" w:firstLineChars="2227"/>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日期：</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年</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月</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日</w:t>
      </w:r>
    </w:p>
    <w:p w14:paraId="1E043D7D">
      <w:pPr>
        <w:spacing w:line="360" w:lineRule="auto"/>
        <w:jc w:val="center"/>
        <w:outlineLvl w:val="3"/>
        <w:rPr>
          <w:rFonts w:hint="eastAsia" w:asciiTheme="minorEastAsia" w:hAnsiTheme="minorEastAsia" w:eastAsiaTheme="minorEastAsia"/>
          <w:color w:val="auto"/>
          <w:highlight w:val="none"/>
        </w:rPr>
      </w:pPr>
      <w:r>
        <w:rPr>
          <w:rFonts w:asciiTheme="minorEastAsia" w:hAnsiTheme="minorEastAsia" w:eastAsiaTheme="minorEastAsia"/>
          <w:color w:val="auto"/>
          <w:highlight w:val="none"/>
        </w:rPr>
        <w:br w:type="page"/>
      </w:r>
      <w:r>
        <w:rPr>
          <w:rFonts w:hint="eastAsia" w:asciiTheme="minorEastAsia" w:hAnsiTheme="minorEastAsia" w:eastAsiaTheme="minorEastAsia"/>
          <w:b/>
          <w:color w:val="auto"/>
          <w:sz w:val="28"/>
          <w:szCs w:val="28"/>
          <w:highlight w:val="none"/>
        </w:rPr>
        <w:t>3.投标产品技术参数</w:t>
      </w:r>
      <w:bookmarkEnd w:id="1160"/>
    </w:p>
    <w:tbl>
      <w:tblPr>
        <w:tblStyle w:val="53"/>
        <w:tblW w:w="9209" w:type="dxa"/>
        <w:jc w:val="center"/>
        <w:tblLayout w:type="fixed"/>
        <w:tblCellMar>
          <w:top w:w="0" w:type="dxa"/>
          <w:left w:w="108" w:type="dxa"/>
          <w:bottom w:w="0" w:type="dxa"/>
          <w:right w:w="108" w:type="dxa"/>
        </w:tblCellMar>
      </w:tblPr>
      <w:tblGrid>
        <w:gridCol w:w="620"/>
        <w:gridCol w:w="935"/>
        <w:gridCol w:w="1134"/>
        <w:gridCol w:w="2693"/>
        <w:gridCol w:w="850"/>
        <w:gridCol w:w="993"/>
        <w:gridCol w:w="1984"/>
      </w:tblGrid>
      <w:tr w14:paraId="65F5CB40">
        <w:tblPrEx>
          <w:tblCellMar>
            <w:top w:w="0" w:type="dxa"/>
            <w:left w:w="108" w:type="dxa"/>
            <w:bottom w:w="0" w:type="dxa"/>
            <w:right w:w="108" w:type="dxa"/>
          </w:tblCellMar>
        </w:tblPrEx>
        <w:trPr>
          <w:trHeight w:val="22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796D7">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272F2">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重要性</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09AA3">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产品名称</w:t>
            </w: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92833">
            <w:pPr>
              <w:ind w:firstLine="360"/>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技术参数</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7DCDC">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品牌</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09D78">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型号</w:t>
            </w:r>
          </w:p>
        </w:tc>
        <w:tc>
          <w:tcPr>
            <w:tcW w:w="1984" w:type="dxa"/>
            <w:tcBorders>
              <w:top w:val="single" w:color="000000" w:sz="4" w:space="0"/>
              <w:left w:val="single" w:color="000000" w:sz="4" w:space="0"/>
              <w:bottom w:val="single" w:color="000000" w:sz="4" w:space="0"/>
              <w:right w:val="single" w:color="000000" w:sz="4" w:space="0"/>
            </w:tcBorders>
            <w:shd w:val="clear" w:color="auto" w:fill="FFFFFF"/>
          </w:tcPr>
          <w:p w14:paraId="1FE82936">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页码及条目号等（投标产品技术支持资料）</w:t>
            </w:r>
          </w:p>
        </w:tc>
      </w:tr>
      <w:tr w14:paraId="5522DEDA">
        <w:tblPrEx>
          <w:tblCellMar>
            <w:top w:w="0" w:type="dxa"/>
            <w:left w:w="108" w:type="dxa"/>
            <w:bottom w:w="0" w:type="dxa"/>
            <w:right w:w="108" w:type="dxa"/>
          </w:tblCellMar>
        </w:tblPrEx>
        <w:trPr>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3497E">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72830">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D82DE">
            <w:pPr>
              <w:jc w:val="center"/>
              <w:textAlignment w:val="center"/>
              <w:rPr>
                <w:rFonts w:hint="eastAsia" w:ascii="宋体" w:hAnsi="宋体" w:cs="宋体"/>
                <w:color w:val="auto"/>
                <w:szCs w:val="21"/>
                <w:highlight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258CA">
            <w:pPr>
              <w:jc w:val="center"/>
              <w:textAlignment w:val="center"/>
              <w:rPr>
                <w:rFonts w:hint="eastAsia" w:ascii="宋体" w:hAnsi="宋体" w:cs="宋体"/>
                <w:color w:val="auto"/>
                <w:szCs w:val="21"/>
                <w:highlight w:val="none"/>
              </w:rPr>
            </w:pPr>
          </w:p>
        </w:tc>
        <w:tc>
          <w:tcPr>
            <w:tcW w:w="850" w:type="dxa"/>
            <w:tcBorders>
              <w:top w:val="single" w:color="000000" w:sz="4" w:space="0"/>
              <w:left w:val="single" w:color="000000" w:sz="4" w:space="0"/>
              <w:right w:val="single" w:color="000000" w:sz="4" w:space="0"/>
            </w:tcBorders>
            <w:shd w:val="clear" w:color="auto" w:fill="FFFFFF"/>
            <w:noWrap/>
            <w:vAlign w:val="center"/>
          </w:tcPr>
          <w:p w14:paraId="42250491">
            <w:pPr>
              <w:ind w:firstLine="360"/>
              <w:jc w:val="center"/>
              <w:rPr>
                <w:rFonts w:hint="eastAsia" w:ascii="宋体" w:hAnsi="宋体" w:cs="宋体"/>
                <w:color w:val="auto"/>
                <w:szCs w:val="21"/>
                <w:highlight w:val="none"/>
              </w:rPr>
            </w:pPr>
          </w:p>
        </w:tc>
        <w:tc>
          <w:tcPr>
            <w:tcW w:w="993" w:type="dxa"/>
            <w:tcBorders>
              <w:top w:val="single" w:color="000000" w:sz="4" w:space="0"/>
              <w:left w:val="single" w:color="000000" w:sz="4" w:space="0"/>
              <w:right w:val="single" w:color="000000" w:sz="4" w:space="0"/>
            </w:tcBorders>
            <w:shd w:val="clear" w:color="auto" w:fill="FFFFFF"/>
            <w:noWrap/>
            <w:vAlign w:val="center"/>
          </w:tcPr>
          <w:p w14:paraId="212CF795">
            <w:pPr>
              <w:ind w:firstLine="360"/>
              <w:jc w:val="center"/>
              <w:rPr>
                <w:rFonts w:hint="eastAsia" w:ascii="宋体" w:hAnsi="宋体" w:cs="宋体"/>
                <w:color w:val="auto"/>
                <w:szCs w:val="21"/>
                <w:highlight w:val="none"/>
              </w:rPr>
            </w:pPr>
          </w:p>
        </w:tc>
        <w:tc>
          <w:tcPr>
            <w:tcW w:w="1984" w:type="dxa"/>
            <w:tcBorders>
              <w:top w:val="single" w:color="000000" w:sz="4" w:space="0"/>
              <w:left w:val="single" w:color="000000" w:sz="4" w:space="0"/>
              <w:right w:val="single" w:color="000000" w:sz="4" w:space="0"/>
            </w:tcBorders>
            <w:shd w:val="clear" w:color="auto" w:fill="FFFFFF"/>
          </w:tcPr>
          <w:p w14:paraId="12029DC2">
            <w:pPr>
              <w:ind w:firstLine="360"/>
              <w:jc w:val="center"/>
              <w:rPr>
                <w:rFonts w:hint="eastAsia" w:ascii="宋体" w:hAnsi="宋体" w:cs="宋体"/>
                <w:color w:val="auto"/>
                <w:szCs w:val="21"/>
                <w:highlight w:val="none"/>
              </w:rPr>
            </w:pPr>
          </w:p>
        </w:tc>
      </w:tr>
      <w:tr w14:paraId="3DB9F169">
        <w:tblPrEx>
          <w:tblCellMar>
            <w:top w:w="0" w:type="dxa"/>
            <w:left w:w="108" w:type="dxa"/>
            <w:bottom w:w="0" w:type="dxa"/>
            <w:right w:w="108" w:type="dxa"/>
          </w:tblCellMar>
        </w:tblPrEx>
        <w:trPr>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C353A">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2B85A">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73D12">
            <w:pPr>
              <w:jc w:val="center"/>
              <w:textAlignment w:val="center"/>
              <w:rPr>
                <w:rFonts w:hint="eastAsia" w:ascii="宋体" w:hAnsi="宋体" w:cs="宋体"/>
                <w:color w:val="auto"/>
                <w:szCs w:val="21"/>
                <w:highlight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EB66E">
            <w:pPr>
              <w:jc w:val="center"/>
              <w:textAlignment w:val="center"/>
              <w:rPr>
                <w:rFonts w:hint="eastAsia" w:ascii="宋体" w:hAnsi="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695A19">
            <w:pPr>
              <w:ind w:firstLine="360"/>
              <w:jc w:val="center"/>
              <w:rPr>
                <w:rFonts w:hint="eastAsia" w:ascii="宋体" w:hAnsi="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B25D82">
            <w:pPr>
              <w:ind w:firstLine="360"/>
              <w:jc w:val="center"/>
              <w:rPr>
                <w:rFonts w:hint="eastAsia" w:ascii="宋体" w:hAnsi="宋体" w:cs="宋体"/>
                <w:color w:val="auto"/>
                <w:szCs w:val="21"/>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Pr>
          <w:p w14:paraId="605046CC">
            <w:pPr>
              <w:ind w:firstLine="360"/>
              <w:jc w:val="center"/>
              <w:rPr>
                <w:rFonts w:hint="eastAsia" w:ascii="宋体" w:hAnsi="宋体" w:cs="宋体"/>
                <w:color w:val="auto"/>
                <w:szCs w:val="21"/>
                <w:highlight w:val="none"/>
              </w:rPr>
            </w:pPr>
          </w:p>
        </w:tc>
      </w:tr>
      <w:tr w14:paraId="5A7D4DA1">
        <w:tblPrEx>
          <w:tblCellMar>
            <w:top w:w="0" w:type="dxa"/>
            <w:left w:w="108" w:type="dxa"/>
            <w:bottom w:w="0" w:type="dxa"/>
            <w:right w:w="108" w:type="dxa"/>
          </w:tblCellMar>
        </w:tblPrEx>
        <w:trPr>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F10EE">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92E63">
            <w:pPr>
              <w:jc w:val="center"/>
              <w:textAlignment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56115">
            <w:pPr>
              <w:jc w:val="center"/>
              <w:textAlignment w:val="center"/>
              <w:rPr>
                <w:rFonts w:hint="eastAsia" w:ascii="宋体" w:hAnsi="宋体" w:cs="宋体"/>
                <w:color w:val="auto"/>
                <w:szCs w:val="21"/>
                <w:highlight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A49A7">
            <w:pPr>
              <w:jc w:val="center"/>
              <w:textAlignment w:val="center"/>
              <w:rPr>
                <w:rFonts w:hint="eastAsia" w:ascii="宋体" w:hAnsi="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88281">
            <w:pPr>
              <w:ind w:firstLine="360"/>
              <w:jc w:val="center"/>
              <w:rPr>
                <w:rFonts w:hint="eastAsia" w:ascii="宋体" w:hAnsi="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36BDA">
            <w:pPr>
              <w:ind w:firstLine="360"/>
              <w:jc w:val="center"/>
              <w:rPr>
                <w:rFonts w:hint="eastAsia" w:ascii="宋体" w:hAnsi="宋体" w:cs="宋体"/>
                <w:color w:val="auto"/>
                <w:szCs w:val="21"/>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Pr>
          <w:p w14:paraId="08AACFA9">
            <w:pPr>
              <w:ind w:firstLine="360"/>
              <w:jc w:val="center"/>
              <w:rPr>
                <w:rFonts w:hint="eastAsia" w:ascii="宋体" w:hAnsi="宋体" w:cs="宋体"/>
                <w:color w:val="auto"/>
                <w:szCs w:val="21"/>
                <w:highlight w:val="none"/>
              </w:rPr>
            </w:pPr>
          </w:p>
        </w:tc>
      </w:tr>
      <w:tr w14:paraId="4595816A">
        <w:tblPrEx>
          <w:tblCellMar>
            <w:top w:w="0" w:type="dxa"/>
            <w:left w:w="108" w:type="dxa"/>
            <w:bottom w:w="0" w:type="dxa"/>
            <w:right w:w="108" w:type="dxa"/>
          </w:tblCellMar>
        </w:tblPrEx>
        <w:trPr>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8059D">
            <w:pPr>
              <w:jc w:val="center"/>
              <w:textAlignment w:val="center"/>
              <w:rPr>
                <w:rFonts w:hint="eastAsia" w:ascii="宋体" w:hAnsi="宋体" w:cs="宋体"/>
                <w:color w:val="auto"/>
                <w:szCs w:val="21"/>
                <w:highlight w:val="none"/>
              </w:rPr>
            </w:pPr>
            <w:r>
              <w:rPr>
                <w:rFonts w:ascii="宋体" w:hAnsi="宋体" w:cs="宋体"/>
                <w:color w:val="auto"/>
                <w:szCs w:val="21"/>
                <w:highlight w:val="none"/>
              </w:rPr>
              <w:t>…</w:t>
            </w: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C0FA1">
            <w:pPr>
              <w:jc w:val="center"/>
              <w:textAlignment w:val="center"/>
              <w:rPr>
                <w:rFonts w:hint="eastAsia" w:ascii="宋体" w:hAnsi="宋体" w:cs="宋体"/>
                <w:color w:val="auto"/>
                <w:szCs w:val="21"/>
                <w:highlight w:val="none"/>
              </w:rPr>
            </w:pPr>
            <w:r>
              <w:rPr>
                <w:rFonts w:ascii="宋体" w:hAnsi="宋体" w:cs="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08B27">
            <w:pPr>
              <w:jc w:val="center"/>
              <w:textAlignment w:val="center"/>
              <w:rPr>
                <w:rFonts w:hint="eastAsia" w:ascii="宋体" w:hAnsi="宋体" w:cs="宋体"/>
                <w:color w:val="auto"/>
                <w:szCs w:val="21"/>
                <w:highlight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70DCB">
            <w:pPr>
              <w:jc w:val="center"/>
              <w:textAlignment w:val="center"/>
              <w:rPr>
                <w:rFonts w:hint="eastAsia" w:ascii="宋体" w:hAnsi="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8E82E">
            <w:pPr>
              <w:ind w:firstLine="360"/>
              <w:jc w:val="center"/>
              <w:rPr>
                <w:rFonts w:hint="eastAsia" w:ascii="宋体" w:hAnsi="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018D5">
            <w:pPr>
              <w:ind w:firstLine="360"/>
              <w:jc w:val="center"/>
              <w:rPr>
                <w:rFonts w:hint="eastAsia" w:ascii="宋体" w:hAnsi="宋体" w:cs="宋体"/>
                <w:color w:val="auto"/>
                <w:szCs w:val="21"/>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Pr>
          <w:p w14:paraId="76538E5D">
            <w:pPr>
              <w:ind w:firstLine="360"/>
              <w:jc w:val="center"/>
              <w:rPr>
                <w:rFonts w:hint="eastAsia" w:ascii="宋体" w:hAnsi="宋体" w:cs="宋体"/>
                <w:color w:val="auto"/>
                <w:szCs w:val="21"/>
                <w:highlight w:val="none"/>
              </w:rPr>
            </w:pPr>
          </w:p>
        </w:tc>
      </w:tr>
      <w:tr w14:paraId="30458EB2">
        <w:tblPrEx>
          <w:tblCellMar>
            <w:top w:w="0" w:type="dxa"/>
            <w:left w:w="108" w:type="dxa"/>
            <w:bottom w:w="0" w:type="dxa"/>
            <w:right w:w="108" w:type="dxa"/>
          </w:tblCellMar>
        </w:tblPrEx>
        <w:trPr>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297C7">
            <w:pPr>
              <w:jc w:val="center"/>
              <w:textAlignment w:val="center"/>
              <w:rPr>
                <w:rFonts w:hint="eastAsia" w:ascii="宋体" w:hAnsi="宋体" w:cs="宋体"/>
                <w:color w:val="auto"/>
                <w:szCs w:val="21"/>
                <w:highlight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55FB7">
            <w:pPr>
              <w:jc w:val="center"/>
              <w:textAlignment w:val="center"/>
              <w:rPr>
                <w:rFonts w:hint="eastAsia"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5F90D">
            <w:pPr>
              <w:jc w:val="center"/>
              <w:textAlignment w:val="center"/>
              <w:rPr>
                <w:rFonts w:hint="eastAsia" w:ascii="宋体" w:hAnsi="宋体" w:cs="宋体"/>
                <w:color w:val="auto"/>
                <w:szCs w:val="21"/>
                <w:highlight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02E15">
            <w:pPr>
              <w:jc w:val="center"/>
              <w:textAlignment w:val="center"/>
              <w:rPr>
                <w:rFonts w:hint="eastAsia" w:ascii="宋体" w:hAnsi="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4A49C">
            <w:pPr>
              <w:ind w:firstLine="360"/>
              <w:jc w:val="center"/>
              <w:rPr>
                <w:rFonts w:hint="eastAsia" w:ascii="宋体" w:hAnsi="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BCB5E">
            <w:pPr>
              <w:ind w:firstLine="360"/>
              <w:jc w:val="center"/>
              <w:rPr>
                <w:rFonts w:hint="eastAsia" w:ascii="宋体" w:hAnsi="宋体" w:cs="宋体"/>
                <w:color w:val="auto"/>
                <w:szCs w:val="21"/>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Pr>
          <w:p w14:paraId="7D5D5753">
            <w:pPr>
              <w:ind w:firstLine="360"/>
              <w:jc w:val="center"/>
              <w:rPr>
                <w:rFonts w:hint="eastAsia" w:ascii="宋体" w:hAnsi="宋体" w:cs="宋体"/>
                <w:color w:val="auto"/>
                <w:szCs w:val="21"/>
                <w:highlight w:val="none"/>
              </w:rPr>
            </w:pPr>
          </w:p>
        </w:tc>
      </w:tr>
      <w:tr w14:paraId="020807EA">
        <w:tblPrEx>
          <w:tblCellMar>
            <w:top w:w="0" w:type="dxa"/>
            <w:left w:w="108" w:type="dxa"/>
            <w:bottom w:w="0" w:type="dxa"/>
            <w:right w:w="108" w:type="dxa"/>
          </w:tblCellMar>
        </w:tblPrEx>
        <w:trPr>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00952">
            <w:pPr>
              <w:jc w:val="center"/>
              <w:textAlignment w:val="center"/>
              <w:rPr>
                <w:rFonts w:hint="eastAsia" w:ascii="宋体" w:hAnsi="宋体" w:cs="宋体"/>
                <w:color w:val="auto"/>
                <w:szCs w:val="21"/>
                <w:highlight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273A5">
            <w:pPr>
              <w:jc w:val="center"/>
              <w:textAlignment w:val="center"/>
              <w:rPr>
                <w:rFonts w:hint="eastAsia"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B474D">
            <w:pPr>
              <w:jc w:val="center"/>
              <w:textAlignment w:val="center"/>
              <w:rPr>
                <w:rFonts w:hint="eastAsia" w:ascii="宋体" w:hAnsi="宋体" w:cs="宋体"/>
                <w:color w:val="auto"/>
                <w:szCs w:val="21"/>
                <w:highlight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B1DF3">
            <w:pPr>
              <w:jc w:val="center"/>
              <w:textAlignment w:val="center"/>
              <w:rPr>
                <w:rFonts w:hint="eastAsia" w:ascii="宋体" w:hAnsi="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8F055">
            <w:pPr>
              <w:ind w:firstLine="360"/>
              <w:jc w:val="center"/>
              <w:rPr>
                <w:rFonts w:hint="eastAsia" w:ascii="宋体" w:hAnsi="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8CCDC">
            <w:pPr>
              <w:ind w:firstLine="360"/>
              <w:jc w:val="center"/>
              <w:rPr>
                <w:rFonts w:hint="eastAsia" w:ascii="宋体" w:hAnsi="宋体" w:cs="宋体"/>
                <w:color w:val="auto"/>
                <w:szCs w:val="21"/>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Pr>
          <w:p w14:paraId="795D00BC">
            <w:pPr>
              <w:ind w:firstLine="360"/>
              <w:jc w:val="center"/>
              <w:rPr>
                <w:rFonts w:hint="eastAsia" w:ascii="宋体" w:hAnsi="宋体" w:cs="宋体"/>
                <w:color w:val="auto"/>
                <w:szCs w:val="21"/>
                <w:highlight w:val="none"/>
              </w:rPr>
            </w:pPr>
          </w:p>
        </w:tc>
      </w:tr>
      <w:tr w14:paraId="08A626DA">
        <w:tblPrEx>
          <w:tblCellMar>
            <w:top w:w="0" w:type="dxa"/>
            <w:left w:w="108" w:type="dxa"/>
            <w:bottom w:w="0" w:type="dxa"/>
            <w:right w:w="108" w:type="dxa"/>
          </w:tblCellMar>
        </w:tblPrEx>
        <w:trPr>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45661">
            <w:pPr>
              <w:jc w:val="center"/>
              <w:textAlignment w:val="center"/>
              <w:rPr>
                <w:rFonts w:hint="eastAsia" w:ascii="宋体" w:hAnsi="宋体" w:cs="宋体"/>
                <w:color w:val="auto"/>
                <w:szCs w:val="21"/>
                <w:highlight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28DD3">
            <w:pPr>
              <w:jc w:val="center"/>
              <w:textAlignment w:val="center"/>
              <w:rPr>
                <w:rFonts w:hint="eastAsia"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7A62B">
            <w:pPr>
              <w:jc w:val="center"/>
              <w:textAlignment w:val="center"/>
              <w:rPr>
                <w:rFonts w:hint="eastAsia" w:ascii="宋体" w:hAnsi="宋体" w:cs="宋体"/>
                <w:color w:val="auto"/>
                <w:szCs w:val="21"/>
                <w:highlight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E97F6">
            <w:pPr>
              <w:jc w:val="center"/>
              <w:textAlignment w:val="center"/>
              <w:rPr>
                <w:rFonts w:hint="eastAsia" w:ascii="宋体" w:hAnsi="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89821">
            <w:pPr>
              <w:ind w:firstLine="360"/>
              <w:jc w:val="center"/>
              <w:rPr>
                <w:rFonts w:hint="eastAsia" w:ascii="宋体" w:hAnsi="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0E2B7">
            <w:pPr>
              <w:ind w:firstLine="360"/>
              <w:jc w:val="center"/>
              <w:rPr>
                <w:rFonts w:hint="eastAsia" w:ascii="宋体" w:hAnsi="宋体" w:cs="宋体"/>
                <w:color w:val="auto"/>
                <w:szCs w:val="21"/>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Pr>
          <w:p w14:paraId="0820AD89">
            <w:pPr>
              <w:ind w:firstLine="360"/>
              <w:jc w:val="center"/>
              <w:rPr>
                <w:rFonts w:hint="eastAsia" w:ascii="宋体" w:hAnsi="宋体" w:cs="宋体"/>
                <w:color w:val="auto"/>
                <w:szCs w:val="21"/>
                <w:highlight w:val="none"/>
              </w:rPr>
            </w:pPr>
          </w:p>
        </w:tc>
      </w:tr>
      <w:tr w14:paraId="4F815F2C">
        <w:tblPrEx>
          <w:tblCellMar>
            <w:top w:w="0" w:type="dxa"/>
            <w:left w:w="108" w:type="dxa"/>
            <w:bottom w:w="0" w:type="dxa"/>
            <w:right w:w="108" w:type="dxa"/>
          </w:tblCellMar>
        </w:tblPrEx>
        <w:trPr>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D3EA7">
            <w:pPr>
              <w:jc w:val="center"/>
              <w:textAlignment w:val="center"/>
              <w:rPr>
                <w:rFonts w:hint="eastAsia" w:ascii="宋体" w:hAnsi="宋体" w:cs="宋体"/>
                <w:color w:val="auto"/>
                <w:szCs w:val="21"/>
                <w:highlight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98380">
            <w:pPr>
              <w:jc w:val="center"/>
              <w:textAlignment w:val="center"/>
              <w:rPr>
                <w:rFonts w:hint="eastAsia"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66CD6">
            <w:pPr>
              <w:jc w:val="center"/>
              <w:textAlignment w:val="center"/>
              <w:rPr>
                <w:rFonts w:hint="eastAsia" w:ascii="宋体" w:hAnsi="宋体" w:cs="宋体"/>
                <w:color w:val="auto"/>
                <w:szCs w:val="21"/>
                <w:highlight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A3571">
            <w:pPr>
              <w:jc w:val="center"/>
              <w:textAlignment w:val="center"/>
              <w:rPr>
                <w:rFonts w:hint="eastAsia" w:ascii="宋体" w:hAnsi="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118DF">
            <w:pPr>
              <w:ind w:firstLine="360"/>
              <w:jc w:val="center"/>
              <w:rPr>
                <w:rFonts w:hint="eastAsia" w:ascii="宋体" w:hAnsi="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427A2">
            <w:pPr>
              <w:ind w:firstLine="360"/>
              <w:jc w:val="center"/>
              <w:rPr>
                <w:rFonts w:hint="eastAsia" w:ascii="宋体" w:hAnsi="宋体" w:cs="宋体"/>
                <w:color w:val="auto"/>
                <w:szCs w:val="21"/>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Pr>
          <w:p w14:paraId="78209401">
            <w:pPr>
              <w:ind w:firstLine="360"/>
              <w:jc w:val="center"/>
              <w:rPr>
                <w:rFonts w:hint="eastAsia" w:ascii="宋体" w:hAnsi="宋体" w:cs="宋体"/>
                <w:color w:val="auto"/>
                <w:szCs w:val="21"/>
                <w:highlight w:val="none"/>
              </w:rPr>
            </w:pPr>
          </w:p>
        </w:tc>
      </w:tr>
      <w:tr w14:paraId="2E676217">
        <w:tblPrEx>
          <w:tblCellMar>
            <w:top w:w="0" w:type="dxa"/>
            <w:left w:w="108" w:type="dxa"/>
            <w:bottom w:w="0" w:type="dxa"/>
            <w:right w:w="108" w:type="dxa"/>
          </w:tblCellMar>
        </w:tblPrEx>
        <w:trPr>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CF56D">
            <w:pPr>
              <w:jc w:val="center"/>
              <w:textAlignment w:val="center"/>
              <w:rPr>
                <w:rFonts w:hint="eastAsia" w:ascii="宋体" w:hAnsi="宋体" w:cs="宋体"/>
                <w:color w:val="auto"/>
                <w:szCs w:val="21"/>
                <w:highlight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0134B">
            <w:pPr>
              <w:jc w:val="center"/>
              <w:textAlignment w:val="center"/>
              <w:rPr>
                <w:rFonts w:hint="eastAsia"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0DCAA">
            <w:pPr>
              <w:jc w:val="center"/>
              <w:textAlignment w:val="center"/>
              <w:rPr>
                <w:rFonts w:hint="eastAsia" w:ascii="宋体" w:hAnsi="宋体" w:cs="宋体"/>
                <w:color w:val="auto"/>
                <w:szCs w:val="21"/>
                <w:highlight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E5D58">
            <w:pPr>
              <w:jc w:val="center"/>
              <w:textAlignment w:val="center"/>
              <w:rPr>
                <w:rFonts w:hint="eastAsia" w:ascii="宋体" w:hAnsi="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FCEE9">
            <w:pPr>
              <w:ind w:firstLine="360"/>
              <w:jc w:val="center"/>
              <w:rPr>
                <w:rFonts w:hint="eastAsia" w:ascii="宋体" w:hAnsi="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1A799">
            <w:pPr>
              <w:ind w:firstLine="360"/>
              <w:jc w:val="center"/>
              <w:rPr>
                <w:rFonts w:hint="eastAsia" w:ascii="宋体" w:hAnsi="宋体" w:cs="宋体"/>
                <w:color w:val="auto"/>
                <w:szCs w:val="21"/>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Pr>
          <w:p w14:paraId="2E5143D2">
            <w:pPr>
              <w:ind w:firstLine="360"/>
              <w:jc w:val="center"/>
              <w:rPr>
                <w:rFonts w:hint="eastAsia" w:ascii="宋体" w:hAnsi="宋体" w:cs="宋体"/>
                <w:color w:val="auto"/>
                <w:szCs w:val="21"/>
                <w:highlight w:val="none"/>
              </w:rPr>
            </w:pPr>
          </w:p>
        </w:tc>
      </w:tr>
      <w:tr w14:paraId="2B62A308">
        <w:tblPrEx>
          <w:tblCellMar>
            <w:top w:w="0" w:type="dxa"/>
            <w:left w:w="108" w:type="dxa"/>
            <w:bottom w:w="0" w:type="dxa"/>
            <w:right w:w="108" w:type="dxa"/>
          </w:tblCellMar>
        </w:tblPrEx>
        <w:trPr>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AC719">
            <w:pPr>
              <w:jc w:val="center"/>
              <w:textAlignment w:val="center"/>
              <w:rPr>
                <w:rFonts w:hint="eastAsia" w:ascii="宋体" w:hAnsi="宋体" w:cs="宋体"/>
                <w:color w:val="auto"/>
                <w:szCs w:val="21"/>
                <w:highlight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4F382">
            <w:pPr>
              <w:jc w:val="center"/>
              <w:textAlignment w:val="center"/>
              <w:rPr>
                <w:rFonts w:hint="eastAsia" w:ascii="宋体" w:hAnsi="宋体" w:cs="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E8B82">
            <w:pPr>
              <w:jc w:val="center"/>
              <w:textAlignment w:val="center"/>
              <w:rPr>
                <w:rFonts w:hint="eastAsia" w:ascii="宋体" w:hAnsi="宋体" w:cs="宋体"/>
                <w:color w:val="auto"/>
                <w:szCs w:val="21"/>
                <w:highlight w:val="none"/>
              </w:rPr>
            </w:pPr>
          </w:p>
        </w:tc>
        <w:tc>
          <w:tcPr>
            <w:tcW w:w="2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AC66E">
            <w:pPr>
              <w:jc w:val="center"/>
              <w:textAlignment w:val="center"/>
              <w:rPr>
                <w:rFonts w:hint="eastAsia" w:ascii="宋体" w:hAnsi="宋体" w:cs="宋体"/>
                <w:color w:val="auto"/>
                <w:szCs w:val="21"/>
                <w:highlight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B3962">
            <w:pPr>
              <w:ind w:firstLine="360"/>
              <w:jc w:val="center"/>
              <w:rPr>
                <w:rFonts w:hint="eastAsia" w:ascii="宋体" w:hAnsi="宋体" w:cs="宋体"/>
                <w:color w:val="auto"/>
                <w:szCs w:val="21"/>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5531E">
            <w:pPr>
              <w:ind w:firstLine="360"/>
              <w:jc w:val="center"/>
              <w:rPr>
                <w:rFonts w:hint="eastAsia" w:ascii="宋体" w:hAnsi="宋体" w:cs="宋体"/>
                <w:color w:val="auto"/>
                <w:szCs w:val="21"/>
                <w:highlight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FFFFFF"/>
          </w:tcPr>
          <w:p w14:paraId="63F032F3">
            <w:pPr>
              <w:ind w:firstLine="360"/>
              <w:jc w:val="center"/>
              <w:rPr>
                <w:rFonts w:hint="eastAsia" w:ascii="宋体" w:hAnsi="宋体" w:cs="宋体"/>
                <w:color w:val="auto"/>
                <w:szCs w:val="21"/>
                <w:highlight w:val="none"/>
              </w:rPr>
            </w:pPr>
          </w:p>
        </w:tc>
      </w:tr>
    </w:tbl>
    <w:p w14:paraId="02152A93">
      <w:pPr>
        <w:pStyle w:val="28"/>
        <w:spacing w:before="120" w:beforeLines="50" w:line="360" w:lineRule="auto"/>
        <w:ind w:firstLine="420" w:firstLineChars="200"/>
        <w:rPr>
          <w:rFonts w:hint="eastAsia" w:hAnsi="宋体"/>
          <w:bCs/>
          <w:color w:val="auto"/>
          <w:highlight w:val="none"/>
        </w:rPr>
      </w:pPr>
      <w:r>
        <w:rPr>
          <w:rFonts w:hint="eastAsia" w:hAnsi="宋体"/>
          <w:bCs/>
          <w:color w:val="auto"/>
          <w:highlight w:val="none"/>
        </w:rPr>
        <w:t>表格填写说明：</w:t>
      </w:r>
    </w:p>
    <w:p w14:paraId="010EF384">
      <w:pPr>
        <w:pStyle w:val="28"/>
        <w:spacing w:line="360" w:lineRule="auto"/>
        <w:ind w:firstLine="420" w:firstLineChars="200"/>
        <w:rPr>
          <w:rFonts w:hint="eastAsia" w:hAnsi="宋体"/>
          <w:bCs/>
          <w:color w:val="auto"/>
          <w:highlight w:val="none"/>
        </w:rPr>
      </w:pPr>
      <w:r>
        <w:rPr>
          <w:rFonts w:hint="eastAsia" w:hAnsi="宋体"/>
          <w:bCs/>
          <w:color w:val="auto"/>
          <w:highlight w:val="none"/>
        </w:rPr>
        <w:t>1.供应商如果不提供投标产品技术参数将视为未实质性响应采购文件的要求，否则其投标文件将作否决投标处理。</w:t>
      </w:r>
    </w:p>
    <w:p w14:paraId="35A0C594">
      <w:pPr>
        <w:pStyle w:val="28"/>
        <w:spacing w:line="360" w:lineRule="auto"/>
        <w:ind w:firstLine="420" w:firstLineChars="200"/>
        <w:rPr>
          <w:rFonts w:hint="eastAsia" w:hAnsi="宋体"/>
          <w:bCs/>
          <w:color w:val="auto"/>
          <w:highlight w:val="none"/>
        </w:rPr>
      </w:pPr>
      <w:r>
        <w:rPr>
          <w:rFonts w:hint="eastAsia" w:hAnsi="宋体"/>
          <w:bCs/>
          <w:color w:val="auto"/>
          <w:highlight w:val="none"/>
        </w:rPr>
        <w:t>2.供应商应对照采购文件技术参数要求，并逐条说明所提供货物已对采购文件的技术参数做出了响应。特别对有具体参数要求的指标，供应商必须提供所投产品的具体参数值。</w:t>
      </w:r>
    </w:p>
    <w:p w14:paraId="73C89932">
      <w:pPr>
        <w:pStyle w:val="28"/>
        <w:spacing w:line="360" w:lineRule="auto"/>
        <w:ind w:firstLine="420" w:firstLineChars="200"/>
        <w:rPr>
          <w:rFonts w:hint="eastAsia" w:hAnsi="宋体"/>
          <w:bCs/>
          <w:color w:val="auto"/>
          <w:highlight w:val="none"/>
        </w:rPr>
      </w:pPr>
      <w:r>
        <w:rPr>
          <w:rFonts w:hint="eastAsia" w:hAnsi="宋体"/>
          <w:bCs/>
          <w:color w:val="auto"/>
          <w:highlight w:val="none"/>
        </w:rPr>
        <w:t>3.供应商应如实填写本表，不得复制采购文件的参数填写。</w:t>
      </w:r>
    </w:p>
    <w:p w14:paraId="71AA0979">
      <w:pPr>
        <w:pStyle w:val="28"/>
        <w:spacing w:line="360" w:lineRule="auto"/>
        <w:ind w:firstLine="420" w:firstLineChars="200"/>
        <w:rPr>
          <w:rFonts w:hint="eastAsia" w:hAnsi="宋体"/>
          <w:bCs/>
          <w:color w:val="auto"/>
          <w:highlight w:val="none"/>
        </w:rPr>
      </w:pPr>
      <w:r>
        <w:rPr>
          <w:rFonts w:hint="eastAsia" w:hAnsi="宋体"/>
          <w:bCs/>
          <w:color w:val="auto"/>
          <w:highlight w:val="none"/>
        </w:rPr>
        <w:t>4.请供应商对采购文件第五章“采购清单及要求”中的产品技术参数要求作出全面、真实的反映。</w:t>
      </w:r>
    </w:p>
    <w:p w14:paraId="233A5FF8">
      <w:pPr>
        <w:pStyle w:val="28"/>
        <w:spacing w:line="360" w:lineRule="auto"/>
        <w:ind w:firstLine="420" w:firstLineChars="200"/>
        <w:rPr>
          <w:rFonts w:hint="eastAsia" w:hAnsi="宋体" w:cs="宋体"/>
          <w:color w:val="auto"/>
          <w:highlight w:val="none"/>
        </w:rPr>
      </w:pPr>
      <w:r>
        <w:rPr>
          <w:rFonts w:hint="eastAsia" w:hAnsi="宋体"/>
          <w:bCs/>
          <w:color w:val="auto"/>
          <w:szCs w:val="21"/>
          <w:highlight w:val="none"/>
        </w:rPr>
        <w:t>5.</w:t>
      </w:r>
      <w:r>
        <w:rPr>
          <w:rFonts w:hint="eastAsia" w:hAnsi="宋体"/>
          <w:color w:val="auto"/>
          <w:szCs w:val="21"/>
          <w:highlight w:val="none"/>
        </w:rPr>
        <w:t>技术参数表格中带“▲”的参数为关键性技术参数；</w:t>
      </w:r>
      <w:r>
        <w:rPr>
          <w:rFonts w:hint="eastAsia" w:hAnsi="宋体" w:cs="宋体"/>
          <w:color w:val="auto"/>
          <w:highlight w:val="none"/>
        </w:rPr>
        <w:t>投标产品的关键性技术参数，必须满足或优于采购文件第五章“采购清单及要求”中的“技术参数要求”，</w:t>
      </w:r>
      <w:r>
        <w:rPr>
          <w:rFonts w:hint="eastAsia" w:hAnsi="宋体"/>
          <w:bCs/>
          <w:color w:val="auto"/>
          <w:highlight w:val="none"/>
        </w:rPr>
        <w:t>否则其投标文件将作否决投标处理。</w:t>
      </w:r>
    </w:p>
    <w:p w14:paraId="11806E0F">
      <w:pPr>
        <w:pStyle w:val="28"/>
        <w:spacing w:line="360" w:lineRule="auto"/>
        <w:ind w:firstLine="420" w:firstLineChars="200"/>
        <w:rPr>
          <w:rFonts w:hint="eastAsia" w:hAnsi="宋体" w:cs="宋体"/>
          <w:color w:val="auto"/>
          <w:highlight w:val="none"/>
        </w:rPr>
      </w:pPr>
      <w:r>
        <w:rPr>
          <w:rFonts w:hint="eastAsia" w:hAnsi="宋体" w:cs="宋体"/>
          <w:color w:val="auto"/>
          <w:highlight w:val="none"/>
        </w:rPr>
        <w:t>6.本表后应附</w:t>
      </w:r>
      <w:r>
        <w:rPr>
          <w:rFonts w:hint="eastAsia" w:hAnsi="宋体"/>
          <w:bCs/>
          <w:color w:val="auto"/>
          <w:highlight w:val="none"/>
        </w:rPr>
        <w:t>采购文件第五章“采购清单及要求”中要求供应商提供的证明材料，且应将</w:t>
      </w:r>
      <w:r>
        <w:rPr>
          <w:rFonts w:hint="eastAsia" w:hAnsi="宋体" w:cs="宋体"/>
          <w:color w:val="auto"/>
          <w:szCs w:val="21"/>
          <w:highlight w:val="none"/>
        </w:rPr>
        <w:t>投标产品技术支持资料中的参数的页码及条目号填报至上表</w:t>
      </w:r>
      <w:r>
        <w:rPr>
          <w:rFonts w:hint="eastAsia" w:hAnsi="宋体"/>
          <w:bCs/>
          <w:color w:val="auto"/>
          <w:highlight w:val="none"/>
        </w:rPr>
        <w:t>。</w:t>
      </w:r>
    </w:p>
    <w:p w14:paraId="070AFB70">
      <w:pPr>
        <w:pStyle w:val="28"/>
        <w:spacing w:line="360" w:lineRule="auto"/>
        <w:ind w:firstLine="420" w:firstLineChars="200"/>
        <w:rPr>
          <w:rFonts w:hint="eastAsia" w:hAnsi="宋体"/>
          <w:bCs/>
          <w:color w:val="auto"/>
          <w:highlight w:val="none"/>
        </w:rPr>
      </w:pPr>
    </w:p>
    <w:p w14:paraId="4B5C9DD3">
      <w:pPr>
        <w:pStyle w:val="28"/>
        <w:spacing w:line="360" w:lineRule="auto"/>
        <w:ind w:firstLine="420" w:firstLineChars="200"/>
        <w:rPr>
          <w:rFonts w:hint="eastAsia" w:hAnsi="宋体"/>
          <w:color w:val="auto"/>
          <w:highlight w:val="none"/>
        </w:rPr>
      </w:pPr>
    </w:p>
    <w:p w14:paraId="3B1F92F3">
      <w:pPr>
        <w:pStyle w:val="28"/>
        <w:spacing w:line="360" w:lineRule="auto"/>
        <w:ind w:firstLine="420" w:firstLineChars="200"/>
        <w:rPr>
          <w:rFonts w:hint="eastAsia" w:hAnsi="宋体"/>
          <w:color w:val="auto"/>
          <w:highlight w:val="none"/>
        </w:rPr>
      </w:pPr>
    </w:p>
    <w:p w14:paraId="45555250">
      <w:pPr>
        <w:pStyle w:val="28"/>
        <w:spacing w:line="360" w:lineRule="auto"/>
        <w:ind w:left="5250"/>
        <w:rPr>
          <w:rFonts w:hint="eastAsia" w:hAnsi="宋体" w:cs="宋体"/>
          <w:color w:val="auto"/>
          <w:highlight w:val="none"/>
        </w:rPr>
      </w:pPr>
    </w:p>
    <w:p w14:paraId="75439F53">
      <w:pPr>
        <w:autoSpaceDE w:val="0"/>
        <w:autoSpaceDN w:val="0"/>
        <w:adjustRightInd w:val="0"/>
        <w:spacing w:line="360" w:lineRule="auto"/>
        <w:ind w:firstLine="4252" w:firstLineChars="2025"/>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供应商：</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w:t>
      </w:r>
      <w:r>
        <w:rPr>
          <w:rFonts w:hint="eastAsia" w:asciiTheme="minorEastAsia" w:hAnsiTheme="minorEastAsia" w:eastAsiaTheme="minorEastAsia"/>
          <w:color w:val="auto"/>
          <w:szCs w:val="21"/>
          <w:highlight w:val="none"/>
          <w:u w:val="single"/>
        </w:rPr>
        <w:t>电子签章</w:t>
      </w:r>
      <w:r>
        <w:rPr>
          <w:rFonts w:hint="eastAsia" w:asciiTheme="minorEastAsia" w:hAnsiTheme="minorEastAsia" w:eastAsiaTheme="minorEastAsia"/>
          <w:bCs/>
          <w:color w:val="auto"/>
          <w:szCs w:val="21"/>
          <w:highlight w:val="none"/>
          <w:u w:val="single"/>
        </w:rPr>
        <w:t>）</w:t>
      </w:r>
    </w:p>
    <w:p w14:paraId="3E44324E">
      <w:pPr>
        <w:autoSpaceDE w:val="0"/>
        <w:autoSpaceDN w:val="0"/>
        <w:adjustRightInd w:val="0"/>
        <w:spacing w:line="360" w:lineRule="auto"/>
        <w:ind w:firstLine="4252" w:firstLineChars="2025"/>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法定代表人：</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(电子签章)</w:t>
      </w:r>
      <w:r>
        <w:rPr>
          <w:rFonts w:asciiTheme="minorEastAsia" w:hAnsiTheme="minorEastAsia" w:eastAsiaTheme="minorEastAsia"/>
          <w:bCs/>
          <w:color w:val="auto"/>
          <w:szCs w:val="21"/>
          <w:highlight w:val="none"/>
          <w:u w:val="single"/>
        </w:rPr>
        <w:t xml:space="preserve"> </w:t>
      </w:r>
    </w:p>
    <w:p w14:paraId="594ABD9D">
      <w:pPr>
        <w:autoSpaceDE w:val="0"/>
        <w:autoSpaceDN w:val="0"/>
        <w:adjustRightInd w:val="0"/>
        <w:spacing w:line="360" w:lineRule="auto"/>
        <w:ind w:firstLine="4252" w:firstLineChars="2025"/>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日期：</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年</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月</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日</w:t>
      </w:r>
    </w:p>
    <w:p w14:paraId="235923BA">
      <w:pPr>
        <w:autoSpaceDE w:val="0"/>
        <w:autoSpaceDN w:val="0"/>
        <w:adjustRightInd w:val="0"/>
        <w:spacing w:line="480" w:lineRule="auto"/>
        <w:jc w:val="left"/>
        <w:rPr>
          <w:rFonts w:hint="eastAsia" w:asciiTheme="minorEastAsia" w:hAnsiTheme="minorEastAsia" w:eastAsiaTheme="minorEastAsia"/>
          <w:bCs/>
          <w:color w:val="auto"/>
          <w:szCs w:val="21"/>
          <w:highlight w:val="none"/>
        </w:rPr>
      </w:pPr>
    </w:p>
    <w:p w14:paraId="2DBC5B6E">
      <w:pPr>
        <w:spacing w:line="480" w:lineRule="auto"/>
        <w:ind w:firstLine="4200" w:firstLineChars="2000"/>
        <w:rPr>
          <w:rFonts w:hint="eastAsia" w:ascii="宋体" w:hAnsi="宋体" w:cs="宋体"/>
          <w:color w:val="auto"/>
          <w:szCs w:val="21"/>
          <w:highlight w:val="none"/>
        </w:rPr>
      </w:pPr>
    </w:p>
    <w:p w14:paraId="2C1982EE">
      <w:pPr>
        <w:rPr>
          <w:rFonts w:hint="eastAsia" w:asciiTheme="minorEastAsia" w:hAnsiTheme="minorEastAsia" w:eastAsiaTheme="minorEastAsia"/>
          <w:color w:val="auto"/>
          <w:highlight w:val="none"/>
        </w:rPr>
      </w:pPr>
      <w:bookmarkStart w:id="1161" w:name="_Toc26003487"/>
      <w:bookmarkStart w:id="1162" w:name="_Toc31882"/>
    </w:p>
    <w:p w14:paraId="69C0BCE0">
      <w:pPr>
        <w:spacing w:line="360" w:lineRule="auto"/>
        <w:jc w:val="center"/>
        <w:outlineLvl w:val="3"/>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4.技术参数偏离表</w:t>
      </w:r>
      <w:bookmarkEnd w:id="1161"/>
      <w:bookmarkEnd w:id="1162"/>
    </w:p>
    <w:tbl>
      <w:tblPr>
        <w:tblStyle w:val="5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82"/>
        <w:gridCol w:w="2587"/>
        <w:gridCol w:w="2126"/>
        <w:gridCol w:w="1276"/>
        <w:gridCol w:w="851"/>
      </w:tblGrid>
      <w:tr w14:paraId="6E1C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704" w:type="dxa"/>
            <w:vAlign w:val="center"/>
          </w:tcPr>
          <w:p w14:paraId="221AC41B">
            <w:pPr>
              <w:spacing w:before="120" w:beforeLines="50" w:line="360" w:lineRule="auto"/>
              <w:jc w:val="center"/>
              <w:rPr>
                <w:rFonts w:hint="eastAsia" w:ascii="宋体" w:hAnsi="宋体"/>
                <w:b/>
                <w:color w:val="auto"/>
                <w:highlight w:val="none"/>
              </w:rPr>
            </w:pPr>
            <w:r>
              <w:rPr>
                <w:rFonts w:hint="eastAsia" w:ascii="宋体" w:hAnsi="宋体"/>
                <w:b/>
                <w:color w:val="auto"/>
                <w:highlight w:val="none"/>
              </w:rPr>
              <w:t>序号</w:t>
            </w:r>
          </w:p>
        </w:tc>
        <w:tc>
          <w:tcPr>
            <w:tcW w:w="1382" w:type="dxa"/>
            <w:vAlign w:val="center"/>
          </w:tcPr>
          <w:p w14:paraId="77E1F468">
            <w:pPr>
              <w:spacing w:before="120" w:beforeLines="50" w:line="360" w:lineRule="auto"/>
              <w:jc w:val="center"/>
              <w:rPr>
                <w:rFonts w:hint="eastAsia" w:ascii="宋体" w:hAnsi="宋体"/>
                <w:b/>
                <w:color w:val="auto"/>
                <w:szCs w:val="21"/>
                <w:highlight w:val="none"/>
              </w:rPr>
            </w:pPr>
            <w:r>
              <w:rPr>
                <w:rFonts w:hint="eastAsia" w:ascii="宋体" w:hAnsi="宋体"/>
                <w:b/>
                <w:color w:val="auto"/>
                <w:szCs w:val="21"/>
                <w:highlight w:val="none"/>
              </w:rPr>
              <w:t>产品名称</w:t>
            </w:r>
          </w:p>
        </w:tc>
        <w:tc>
          <w:tcPr>
            <w:tcW w:w="2587" w:type="dxa"/>
            <w:vAlign w:val="center"/>
          </w:tcPr>
          <w:p w14:paraId="326A2741">
            <w:pPr>
              <w:spacing w:before="120" w:beforeLines="50" w:line="360" w:lineRule="auto"/>
              <w:jc w:val="center"/>
              <w:rPr>
                <w:rFonts w:hint="eastAsia" w:ascii="宋体" w:hAnsi="宋体"/>
                <w:b/>
                <w:color w:val="auto"/>
                <w:highlight w:val="none"/>
              </w:rPr>
            </w:pPr>
            <w:r>
              <w:rPr>
                <w:rFonts w:hint="eastAsia" w:ascii="宋体" w:hAnsi="宋体"/>
                <w:b/>
                <w:color w:val="auto"/>
                <w:highlight w:val="none"/>
              </w:rPr>
              <w:t>采购文件的技术参数要求</w:t>
            </w:r>
          </w:p>
        </w:tc>
        <w:tc>
          <w:tcPr>
            <w:tcW w:w="2126" w:type="dxa"/>
            <w:vAlign w:val="center"/>
          </w:tcPr>
          <w:p w14:paraId="2D70AAA0">
            <w:pPr>
              <w:spacing w:before="120" w:beforeLines="50" w:line="360" w:lineRule="auto"/>
              <w:jc w:val="center"/>
              <w:rPr>
                <w:rFonts w:hint="eastAsia" w:ascii="宋体" w:hAnsi="宋体"/>
                <w:b/>
                <w:color w:val="auto"/>
                <w:szCs w:val="21"/>
                <w:highlight w:val="none"/>
              </w:rPr>
            </w:pPr>
            <w:r>
              <w:rPr>
                <w:rFonts w:hint="eastAsia" w:ascii="宋体" w:hAnsi="宋体"/>
                <w:b/>
                <w:color w:val="auto"/>
                <w:highlight w:val="none"/>
              </w:rPr>
              <w:t>投标产品</w:t>
            </w:r>
            <w:r>
              <w:rPr>
                <w:rFonts w:hint="eastAsia" w:ascii="宋体" w:hAnsi="宋体"/>
                <w:b/>
                <w:color w:val="auto"/>
                <w:szCs w:val="21"/>
                <w:highlight w:val="none"/>
              </w:rPr>
              <w:t>技术参数</w:t>
            </w:r>
          </w:p>
        </w:tc>
        <w:tc>
          <w:tcPr>
            <w:tcW w:w="1276" w:type="dxa"/>
            <w:vAlign w:val="center"/>
          </w:tcPr>
          <w:p w14:paraId="564E96F0">
            <w:pPr>
              <w:spacing w:before="120" w:beforeLines="50" w:line="360" w:lineRule="auto"/>
              <w:jc w:val="center"/>
              <w:rPr>
                <w:rFonts w:hint="eastAsia" w:ascii="宋体" w:hAnsi="宋体"/>
                <w:b/>
                <w:color w:val="auto"/>
                <w:highlight w:val="none"/>
              </w:rPr>
            </w:pPr>
            <w:r>
              <w:rPr>
                <w:rFonts w:hint="eastAsia" w:ascii="宋体" w:hAnsi="宋体"/>
                <w:b/>
                <w:color w:val="auto"/>
                <w:highlight w:val="none"/>
              </w:rPr>
              <w:t>偏离情况</w:t>
            </w:r>
          </w:p>
        </w:tc>
        <w:tc>
          <w:tcPr>
            <w:tcW w:w="851" w:type="dxa"/>
            <w:vAlign w:val="center"/>
          </w:tcPr>
          <w:p w14:paraId="200154B9">
            <w:pPr>
              <w:spacing w:before="120" w:beforeLines="50" w:line="360" w:lineRule="auto"/>
              <w:jc w:val="center"/>
              <w:rPr>
                <w:rFonts w:hint="eastAsia" w:ascii="宋体" w:hAnsi="宋体"/>
                <w:b/>
                <w:color w:val="auto"/>
                <w:highlight w:val="none"/>
              </w:rPr>
            </w:pPr>
            <w:r>
              <w:rPr>
                <w:rFonts w:hint="eastAsia" w:ascii="宋体" w:hAnsi="宋体"/>
                <w:b/>
                <w:color w:val="auto"/>
                <w:highlight w:val="none"/>
              </w:rPr>
              <w:t>说明</w:t>
            </w:r>
          </w:p>
        </w:tc>
      </w:tr>
      <w:tr w14:paraId="7FF4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704" w:type="dxa"/>
            <w:vAlign w:val="center"/>
          </w:tcPr>
          <w:p w14:paraId="4454340F">
            <w:pPr>
              <w:spacing w:before="120" w:beforeLines="50" w:line="360" w:lineRule="auto"/>
              <w:jc w:val="center"/>
              <w:rPr>
                <w:rFonts w:hint="eastAsia" w:ascii="宋体" w:hAnsi="宋体"/>
                <w:color w:val="auto"/>
                <w:highlight w:val="none"/>
              </w:rPr>
            </w:pPr>
            <w:r>
              <w:rPr>
                <w:rFonts w:hint="eastAsia" w:ascii="宋体" w:hAnsi="宋体"/>
                <w:color w:val="auto"/>
                <w:highlight w:val="none"/>
              </w:rPr>
              <w:t>1</w:t>
            </w:r>
          </w:p>
        </w:tc>
        <w:tc>
          <w:tcPr>
            <w:tcW w:w="1382" w:type="dxa"/>
            <w:vAlign w:val="center"/>
          </w:tcPr>
          <w:p w14:paraId="6D5E0E38">
            <w:pPr>
              <w:spacing w:line="360" w:lineRule="auto"/>
              <w:jc w:val="left"/>
              <w:rPr>
                <w:rFonts w:hint="eastAsia" w:ascii="宋体" w:hAnsi="宋体"/>
                <w:color w:val="auto"/>
                <w:highlight w:val="none"/>
              </w:rPr>
            </w:pPr>
          </w:p>
        </w:tc>
        <w:tc>
          <w:tcPr>
            <w:tcW w:w="2587" w:type="dxa"/>
            <w:vAlign w:val="center"/>
          </w:tcPr>
          <w:p w14:paraId="4C547454">
            <w:pPr>
              <w:spacing w:line="360" w:lineRule="auto"/>
              <w:jc w:val="left"/>
              <w:rPr>
                <w:rFonts w:hint="eastAsia" w:ascii="宋体" w:hAnsi="宋体"/>
                <w:color w:val="auto"/>
                <w:highlight w:val="none"/>
              </w:rPr>
            </w:pPr>
          </w:p>
        </w:tc>
        <w:tc>
          <w:tcPr>
            <w:tcW w:w="2126" w:type="dxa"/>
            <w:vAlign w:val="center"/>
          </w:tcPr>
          <w:p w14:paraId="5EFF8944">
            <w:pPr>
              <w:spacing w:line="360" w:lineRule="auto"/>
              <w:jc w:val="left"/>
              <w:rPr>
                <w:rFonts w:hint="eastAsia" w:ascii="宋体" w:hAnsi="宋体"/>
                <w:color w:val="auto"/>
                <w:highlight w:val="none"/>
              </w:rPr>
            </w:pPr>
          </w:p>
        </w:tc>
        <w:tc>
          <w:tcPr>
            <w:tcW w:w="1276" w:type="dxa"/>
          </w:tcPr>
          <w:p w14:paraId="0C41CBE0">
            <w:pPr>
              <w:spacing w:line="360" w:lineRule="auto"/>
              <w:jc w:val="left"/>
              <w:rPr>
                <w:rFonts w:hint="eastAsia" w:ascii="宋体" w:hAnsi="宋体"/>
                <w:color w:val="auto"/>
                <w:highlight w:val="none"/>
              </w:rPr>
            </w:pPr>
          </w:p>
        </w:tc>
        <w:tc>
          <w:tcPr>
            <w:tcW w:w="851" w:type="dxa"/>
            <w:vAlign w:val="center"/>
          </w:tcPr>
          <w:p w14:paraId="5336FF81">
            <w:pPr>
              <w:spacing w:line="360" w:lineRule="auto"/>
              <w:jc w:val="left"/>
              <w:rPr>
                <w:rFonts w:hint="eastAsia" w:ascii="宋体" w:hAnsi="宋体"/>
                <w:color w:val="auto"/>
                <w:highlight w:val="none"/>
              </w:rPr>
            </w:pPr>
          </w:p>
        </w:tc>
      </w:tr>
      <w:tr w14:paraId="35A92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704" w:type="dxa"/>
            <w:vAlign w:val="center"/>
          </w:tcPr>
          <w:p w14:paraId="6F908760">
            <w:pPr>
              <w:spacing w:before="120" w:beforeLines="50" w:line="360" w:lineRule="auto"/>
              <w:jc w:val="center"/>
              <w:rPr>
                <w:rFonts w:hint="eastAsia" w:ascii="宋体" w:hAnsi="宋体"/>
                <w:color w:val="auto"/>
                <w:highlight w:val="none"/>
              </w:rPr>
            </w:pPr>
            <w:r>
              <w:rPr>
                <w:rFonts w:hint="eastAsia" w:ascii="宋体" w:hAnsi="宋体"/>
                <w:color w:val="auto"/>
                <w:highlight w:val="none"/>
              </w:rPr>
              <w:t>2</w:t>
            </w:r>
          </w:p>
        </w:tc>
        <w:tc>
          <w:tcPr>
            <w:tcW w:w="1382" w:type="dxa"/>
            <w:vAlign w:val="center"/>
          </w:tcPr>
          <w:p w14:paraId="16A6732D">
            <w:pPr>
              <w:spacing w:line="360" w:lineRule="auto"/>
              <w:jc w:val="left"/>
              <w:rPr>
                <w:rFonts w:hint="eastAsia" w:ascii="宋体" w:hAnsi="宋体"/>
                <w:color w:val="auto"/>
                <w:highlight w:val="none"/>
              </w:rPr>
            </w:pPr>
          </w:p>
        </w:tc>
        <w:tc>
          <w:tcPr>
            <w:tcW w:w="2587" w:type="dxa"/>
            <w:vAlign w:val="center"/>
          </w:tcPr>
          <w:p w14:paraId="0A9D3E39">
            <w:pPr>
              <w:spacing w:line="360" w:lineRule="auto"/>
              <w:jc w:val="left"/>
              <w:rPr>
                <w:rFonts w:hint="eastAsia" w:ascii="宋体" w:hAnsi="宋体"/>
                <w:color w:val="auto"/>
                <w:highlight w:val="none"/>
              </w:rPr>
            </w:pPr>
          </w:p>
        </w:tc>
        <w:tc>
          <w:tcPr>
            <w:tcW w:w="2126" w:type="dxa"/>
            <w:vAlign w:val="center"/>
          </w:tcPr>
          <w:p w14:paraId="4D68BF03">
            <w:pPr>
              <w:spacing w:line="360" w:lineRule="auto"/>
              <w:jc w:val="left"/>
              <w:rPr>
                <w:rFonts w:hint="eastAsia" w:ascii="宋体" w:hAnsi="宋体"/>
                <w:color w:val="auto"/>
                <w:highlight w:val="none"/>
              </w:rPr>
            </w:pPr>
          </w:p>
        </w:tc>
        <w:tc>
          <w:tcPr>
            <w:tcW w:w="1276" w:type="dxa"/>
          </w:tcPr>
          <w:p w14:paraId="4674B9AB">
            <w:pPr>
              <w:spacing w:line="360" w:lineRule="auto"/>
              <w:jc w:val="left"/>
              <w:rPr>
                <w:rFonts w:hint="eastAsia" w:ascii="宋体" w:hAnsi="宋体"/>
                <w:color w:val="auto"/>
                <w:highlight w:val="none"/>
              </w:rPr>
            </w:pPr>
          </w:p>
        </w:tc>
        <w:tc>
          <w:tcPr>
            <w:tcW w:w="851" w:type="dxa"/>
            <w:vAlign w:val="center"/>
          </w:tcPr>
          <w:p w14:paraId="0703BE53">
            <w:pPr>
              <w:spacing w:line="360" w:lineRule="auto"/>
              <w:jc w:val="left"/>
              <w:rPr>
                <w:rFonts w:hint="eastAsia" w:ascii="宋体" w:hAnsi="宋体"/>
                <w:color w:val="auto"/>
                <w:highlight w:val="none"/>
              </w:rPr>
            </w:pPr>
          </w:p>
        </w:tc>
      </w:tr>
      <w:tr w14:paraId="12EB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04" w:type="dxa"/>
            <w:vAlign w:val="center"/>
          </w:tcPr>
          <w:p w14:paraId="35D1559C">
            <w:pPr>
              <w:spacing w:before="120" w:beforeLines="50" w:line="360" w:lineRule="auto"/>
              <w:jc w:val="center"/>
              <w:rPr>
                <w:rFonts w:hint="eastAsia" w:ascii="宋体" w:hAnsi="宋体"/>
                <w:color w:val="auto"/>
                <w:highlight w:val="none"/>
              </w:rPr>
            </w:pPr>
            <w:r>
              <w:rPr>
                <w:rFonts w:hint="eastAsia" w:ascii="宋体" w:hAnsi="宋体"/>
                <w:color w:val="auto"/>
                <w:highlight w:val="none"/>
              </w:rPr>
              <w:t>3</w:t>
            </w:r>
          </w:p>
        </w:tc>
        <w:tc>
          <w:tcPr>
            <w:tcW w:w="1382" w:type="dxa"/>
            <w:vAlign w:val="center"/>
          </w:tcPr>
          <w:p w14:paraId="3ACE0FF9">
            <w:pPr>
              <w:spacing w:line="360" w:lineRule="auto"/>
              <w:jc w:val="left"/>
              <w:rPr>
                <w:rFonts w:hint="eastAsia" w:ascii="宋体" w:hAnsi="宋体"/>
                <w:color w:val="auto"/>
                <w:highlight w:val="none"/>
              </w:rPr>
            </w:pPr>
          </w:p>
        </w:tc>
        <w:tc>
          <w:tcPr>
            <w:tcW w:w="2587" w:type="dxa"/>
            <w:vAlign w:val="center"/>
          </w:tcPr>
          <w:p w14:paraId="0E47962E">
            <w:pPr>
              <w:spacing w:line="360" w:lineRule="auto"/>
              <w:jc w:val="left"/>
              <w:rPr>
                <w:rFonts w:hint="eastAsia" w:ascii="宋体" w:hAnsi="宋体"/>
                <w:color w:val="auto"/>
                <w:highlight w:val="none"/>
              </w:rPr>
            </w:pPr>
          </w:p>
        </w:tc>
        <w:tc>
          <w:tcPr>
            <w:tcW w:w="2126" w:type="dxa"/>
            <w:vAlign w:val="center"/>
          </w:tcPr>
          <w:p w14:paraId="6B592A91">
            <w:pPr>
              <w:spacing w:line="360" w:lineRule="auto"/>
              <w:jc w:val="left"/>
              <w:rPr>
                <w:rFonts w:hint="eastAsia" w:ascii="宋体" w:hAnsi="宋体"/>
                <w:color w:val="auto"/>
                <w:highlight w:val="none"/>
              </w:rPr>
            </w:pPr>
          </w:p>
        </w:tc>
        <w:tc>
          <w:tcPr>
            <w:tcW w:w="1276" w:type="dxa"/>
          </w:tcPr>
          <w:p w14:paraId="56C2DDEF">
            <w:pPr>
              <w:spacing w:line="360" w:lineRule="auto"/>
              <w:jc w:val="left"/>
              <w:rPr>
                <w:rFonts w:hint="eastAsia" w:ascii="宋体" w:hAnsi="宋体"/>
                <w:color w:val="auto"/>
                <w:highlight w:val="none"/>
              </w:rPr>
            </w:pPr>
          </w:p>
        </w:tc>
        <w:tc>
          <w:tcPr>
            <w:tcW w:w="851" w:type="dxa"/>
            <w:vAlign w:val="center"/>
          </w:tcPr>
          <w:p w14:paraId="0CC8EAFA">
            <w:pPr>
              <w:spacing w:line="360" w:lineRule="auto"/>
              <w:jc w:val="left"/>
              <w:rPr>
                <w:rFonts w:hint="eastAsia" w:ascii="宋体" w:hAnsi="宋体"/>
                <w:color w:val="auto"/>
                <w:highlight w:val="none"/>
              </w:rPr>
            </w:pPr>
          </w:p>
        </w:tc>
      </w:tr>
      <w:tr w14:paraId="4805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704" w:type="dxa"/>
            <w:vAlign w:val="center"/>
          </w:tcPr>
          <w:p w14:paraId="616E6408">
            <w:pPr>
              <w:spacing w:before="120" w:beforeLines="50" w:line="360" w:lineRule="auto"/>
              <w:jc w:val="center"/>
              <w:rPr>
                <w:rFonts w:hint="eastAsia" w:ascii="宋体" w:hAnsi="宋体"/>
                <w:color w:val="auto"/>
                <w:highlight w:val="none"/>
              </w:rPr>
            </w:pPr>
            <w:r>
              <w:rPr>
                <w:rFonts w:ascii="宋体" w:hAnsi="宋体"/>
                <w:color w:val="auto"/>
                <w:highlight w:val="none"/>
              </w:rPr>
              <w:t>…</w:t>
            </w:r>
          </w:p>
        </w:tc>
        <w:tc>
          <w:tcPr>
            <w:tcW w:w="1382" w:type="dxa"/>
            <w:vAlign w:val="center"/>
          </w:tcPr>
          <w:p w14:paraId="63007666">
            <w:pPr>
              <w:spacing w:line="360" w:lineRule="auto"/>
              <w:jc w:val="left"/>
              <w:rPr>
                <w:rFonts w:hint="eastAsia" w:ascii="宋体" w:hAnsi="宋体"/>
                <w:color w:val="auto"/>
                <w:highlight w:val="none"/>
              </w:rPr>
            </w:pPr>
          </w:p>
        </w:tc>
        <w:tc>
          <w:tcPr>
            <w:tcW w:w="2587" w:type="dxa"/>
            <w:vAlign w:val="center"/>
          </w:tcPr>
          <w:p w14:paraId="23CB0BAF">
            <w:pPr>
              <w:spacing w:line="360" w:lineRule="auto"/>
              <w:jc w:val="left"/>
              <w:rPr>
                <w:rFonts w:hint="eastAsia" w:ascii="宋体" w:hAnsi="宋体"/>
                <w:color w:val="auto"/>
                <w:highlight w:val="none"/>
              </w:rPr>
            </w:pPr>
          </w:p>
        </w:tc>
        <w:tc>
          <w:tcPr>
            <w:tcW w:w="2126" w:type="dxa"/>
            <w:vAlign w:val="center"/>
          </w:tcPr>
          <w:p w14:paraId="3F8C103E">
            <w:pPr>
              <w:spacing w:line="360" w:lineRule="auto"/>
              <w:jc w:val="left"/>
              <w:rPr>
                <w:rFonts w:hint="eastAsia" w:ascii="宋体" w:hAnsi="宋体"/>
                <w:color w:val="auto"/>
                <w:highlight w:val="none"/>
              </w:rPr>
            </w:pPr>
          </w:p>
        </w:tc>
        <w:tc>
          <w:tcPr>
            <w:tcW w:w="1276" w:type="dxa"/>
          </w:tcPr>
          <w:p w14:paraId="7B57E1ED">
            <w:pPr>
              <w:spacing w:line="360" w:lineRule="auto"/>
              <w:jc w:val="left"/>
              <w:rPr>
                <w:rFonts w:hint="eastAsia" w:ascii="宋体" w:hAnsi="宋体"/>
                <w:color w:val="auto"/>
                <w:highlight w:val="none"/>
              </w:rPr>
            </w:pPr>
          </w:p>
        </w:tc>
        <w:tc>
          <w:tcPr>
            <w:tcW w:w="851" w:type="dxa"/>
            <w:vAlign w:val="center"/>
          </w:tcPr>
          <w:p w14:paraId="75834545">
            <w:pPr>
              <w:spacing w:line="360" w:lineRule="auto"/>
              <w:jc w:val="left"/>
              <w:rPr>
                <w:rFonts w:hint="eastAsia" w:ascii="宋体" w:hAnsi="宋体"/>
                <w:color w:val="auto"/>
                <w:highlight w:val="none"/>
              </w:rPr>
            </w:pPr>
          </w:p>
        </w:tc>
      </w:tr>
    </w:tbl>
    <w:p w14:paraId="0F1F979D">
      <w:pPr>
        <w:pStyle w:val="28"/>
        <w:spacing w:before="120" w:beforeLines="50" w:line="360" w:lineRule="auto"/>
        <w:ind w:firstLine="422" w:firstLineChars="200"/>
        <w:rPr>
          <w:rFonts w:hint="eastAsia" w:hAnsi="宋体"/>
          <w:color w:val="auto"/>
          <w:highlight w:val="none"/>
        </w:rPr>
      </w:pPr>
      <w:r>
        <w:rPr>
          <w:rFonts w:hint="eastAsia" w:hAnsi="宋体"/>
          <w:b/>
          <w:color w:val="auto"/>
          <w:highlight w:val="none"/>
        </w:rPr>
        <w:t>表格填写说明：</w:t>
      </w:r>
      <w:r>
        <w:rPr>
          <w:rFonts w:hint="eastAsia" w:hAnsi="宋体"/>
          <w:color w:val="auto"/>
          <w:highlight w:val="none"/>
        </w:rPr>
        <w:t>供应商应如实填写以上表格，凡投标产品的技术参数与采购文件要求的技术参数存在偏离的，需在“说明”栏中逐条写明标的参数，并逐条应答偏离情况。</w:t>
      </w:r>
    </w:p>
    <w:p w14:paraId="4A0824B9">
      <w:pPr>
        <w:pStyle w:val="28"/>
        <w:spacing w:line="360" w:lineRule="auto"/>
        <w:ind w:firstLine="420" w:firstLineChars="200"/>
        <w:rPr>
          <w:rFonts w:hint="eastAsia" w:hAnsi="宋体"/>
          <w:color w:val="auto"/>
          <w:highlight w:val="none"/>
        </w:rPr>
      </w:pPr>
    </w:p>
    <w:p w14:paraId="35759A02">
      <w:pPr>
        <w:autoSpaceDE w:val="0"/>
        <w:autoSpaceDN w:val="0"/>
        <w:adjustRightInd w:val="0"/>
        <w:spacing w:line="360" w:lineRule="auto"/>
        <w:ind w:firstLine="4252" w:firstLineChars="2025"/>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供应商：</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w:t>
      </w:r>
      <w:r>
        <w:rPr>
          <w:rFonts w:hint="eastAsia" w:asciiTheme="minorEastAsia" w:hAnsiTheme="minorEastAsia" w:eastAsiaTheme="minorEastAsia"/>
          <w:color w:val="auto"/>
          <w:szCs w:val="21"/>
          <w:highlight w:val="none"/>
          <w:u w:val="single"/>
        </w:rPr>
        <w:t>电子签章</w:t>
      </w:r>
      <w:r>
        <w:rPr>
          <w:rFonts w:hint="eastAsia" w:asciiTheme="minorEastAsia" w:hAnsiTheme="minorEastAsia" w:eastAsiaTheme="minorEastAsia"/>
          <w:bCs/>
          <w:color w:val="auto"/>
          <w:szCs w:val="21"/>
          <w:highlight w:val="none"/>
          <w:u w:val="single"/>
        </w:rPr>
        <w:t>）</w:t>
      </w:r>
    </w:p>
    <w:p w14:paraId="7BA21F88">
      <w:pPr>
        <w:autoSpaceDE w:val="0"/>
        <w:autoSpaceDN w:val="0"/>
        <w:adjustRightInd w:val="0"/>
        <w:spacing w:line="360" w:lineRule="auto"/>
        <w:ind w:firstLine="4252" w:firstLineChars="2025"/>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法定代表人：</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(电子签章)</w:t>
      </w:r>
      <w:r>
        <w:rPr>
          <w:rFonts w:asciiTheme="minorEastAsia" w:hAnsiTheme="minorEastAsia" w:eastAsiaTheme="minorEastAsia"/>
          <w:bCs/>
          <w:color w:val="auto"/>
          <w:szCs w:val="21"/>
          <w:highlight w:val="none"/>
          <w:u w:val="single"/>
        </w:rPr>
        <w:t xml:space="preserve"> </w:t>
      </w:r>
    </w:p>
    <w:p w14:paraId="15A09853">
      <w:pPr>
        <w:autoSpaceDE w:val="0"/>
        <w:autoSpaceDN w:val="0"/>
        <w:adjustRightInd w:val="0"/>
        <w:spacing w:line="360" w:lineRule="auto"/>
        <w:ind w:firstLine="4252" w:firstLineChars="2025"/>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日期：</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年</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月</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日</w:t>
      </w:r>
    </w:p>
    <w:p w14:paraId="4D005BA1">
      <w:pPr>
        <w:autoSpaceDE w:val="0"/>
        <w:autoSpaceDN w:val="0"/>
        <w:adjustRightInd w:val="0"/>
        <w:spacing w:line="480" w:lineRule="auto"/>
        <w:jc w:val="left"/>
        <w:rPr>
          <w:rFonts w:hint="eastAsia" w:asciiTheme="minorEastAsia" w:hAnsiTheme="minorEastAsia" w:eastAsiaTheme="minorEastAsia"/>
          <w:bCs/>
          <w:color w:val="auto"/>
          <w:szCs w:val="21"/>
          <w:highlight w:val="none"/>
        </w:rPr>
      </w:pPr>
    </w:p>
    <w:p w14:paraId="21C8012A">
      <w:pPr>
        <w:spacing w:line="480" w:lineRule="auto"/>
        <w:ind w:firstLine="4200" w:firstLineChars="2000"/>
        <w:rPr>
          <w:rFonts w:hint="eastAsia" w:ascii="宋体" w:hAnsi="宋体" w:cs="宋体"/>
          <w:color w:val="auto"/>
          <w:szCs w:val="21"/>
          <w:highlight w:val="none"/>
        </w:rPr>
      </w:pPr>
    </w:p>
    <w:p w14:paraId="10E15B4A">
      <w:pPr>
        <w:spacing w:line="480" w:lineRule="auto"/>
        <w:ind w:firstLine="4200" w:firstLineChars="2000"/>
        <w:rPr>
          <w:rFonts w:hint="eastAsia" w:ascii="宋体" w:hAnsi="宋体" w:cs="宋体"/>
          <w:color w:val="auto"/>
          <w:szCs w:val="21"/>
          <w:highlight w:val="none"/>
        </w:rPr>
      </w:pPr>
    </w:p>
    <w:p w14:paraId="3077CDBF">
      <w:pPr>
        <w:spacing w:line="480" w:lineRule="auto"/>
        <w:ind w:firstLine="4200" w:firstLineChars="2000"/>
        <w:rPr>
          <w:rFonts w:hint="eastAsia" w:ascii="宋体" w:hAnsi="宋体" w:cs="宋体"/>
          <w:color w:val="auto"/>
          <w:szCs w:val="21"/>
          <w:highlight w:val="none"/>
        </w:rPr>
      </w:pPr>
    </w:p>
    <w:p w14:paraId="7F1CE423">
      <w:pPr>
        <w:spacing w:line="480" w:lineRule="auto"/>
        <w:ind w:firstLine="4200" w:firstLineChars="2000"/>
        <w:rPr>
          <w:rFonts w:hint="eastAsia" w:ascii="宋体" w:hAnsi="宋体" w:cs="宋体"/>
          <w:color w:val="auto"/>
          <w:szCs w:val="21"/>
          <w:highlight w:val="none"/>
        </w:rPr>
      </w:pPr>
    </w:p>
    <w:p w14:paraId="1269050F">
      <w:pPr>
        <w:spacing w:line="480" w:lineRule="auto"/>
        <w:ind w:firstLine="4200" w:firstLineChars="2000"/>
        <w:rPr>
          <w:rFonts w:hint="eastAsia" w:ascii="宋体" w:hAnsi="宋体" w:cs="宋体"/>
          <w:color w:val="auto"/>
          <w:szCs w:val="21"/>
          <w:highlight w:val="none"/>
        </w:rPr>
      </w:pPr>
    </w:p>
    <w:p w14:paraId="61F3CB1E">
      <w:pPr>
        <w:spacing w:line="480" w:lineRule="auto"/>
        <w:ind w:firstLine="4200" w:firstLineChars="2000"/>
        <w:rPr>
          <w:rFonts w:hint="eastAsia" w:ascii="宋体" w:hAnsi="宋体" w:cs="宋体"/>
          <w:color w:val="auto"/>
          <w:szCs w:val="21"/>
          <w:highlight w:val="none"/>
        </w:rPr>
      </w:pPr>
    </w:p>
    <w:p w14:paraId="60C4205A">
      <w:pPr>
        <w:spacing w:line="480" w:lineRule="auto"/>
        <w:ind w:firstLine="4200" w:firstLineChars="2000"/>
        <w:rPr>
          <w:rFonts w:hint="eastAsia" w:ascii="宋体" w:hAnsi="宋体" w:cs="宋体"/>
          <w:color w:val="auto"/>
          <w:szCs w:val="21"/>
          <w:highlight w:val="none"/>
        </w:rPr>
      </w:pPr>
    </w:p>
    <w:p w14:paraId="5F1A1075">
      <w:pPr>
        <w:spacing w:line="480" w:lineRule="auto"/>
        <w:ind w:firstLine="4200" w:firstLineChars="2000"/>
        <w:rPr>
          <w:rFonts w:hint="eastAsia" w:ascii="宋体" w:hAnsi="宋体" w:cs="宋体"/>
          <w:color w:val="auto"/>
          <w:szCs w:val="21"/>
          <w:highlight w:val="none"/>
        </w:rPr>
      </w:pPr>
    </w:p>
    <w:p w14:paraId="05F64AB3">
      <w:pPr>
        <w:spacing w:line="480" w:lineRule="auto"/>
        <w:ind w:firstLine="4200" w:firstLineChars="2000"/>
        <w:rPr>
          <w:rFonts w:hint="eastAsia" w:ascii="宋体" w:hAnsi="宋体" w:cs="宋体"/>
          <w:color w:val="auto"/>
          <w:szCs w:val="21"/>
          <w:highlight w:val="none"/>
        </w:rPr>
      </w:pPr>
    </w:p>
    <w:p w14:paraId="549C619C">
      <w:pPr>
        <w:spacing w:line="480" w:lineRule="auto"/>
        <w:ind w:firstLine="4200" w:firstLineChars="2000"/>
        <w:rPr>
          <w:rFonts w:hint="eastAsia" w:ascii="宋体" w:hAnsi="宋体" w:cs="宋体"/>
          <w:color w:val="auto"/>
          <w:szCs w:val="21"/>
          <w:highlight w:val="none"/>
        </w:rPr>
      </w:pPr>
    </w:p>
    <w:p w14:paraId="0E597A70">
      <w:pPr>
        <w:spacing w:line="480" w:lineRule="auto"/>
        <w:ind w:firstLine="4200" w:firstLineChars="2000"/>
        <w:rPr>
          <w:rFonts w:hint="eastAsia" w:ascii="宋体" w:hAnsi="宋体" w:cs="宋体"/>
          <w:color w:val="auto"/>
          <w:szCs w:val="21"/>
          <w:highlight w:val="none"/>
        </w:rPr>
      </w:pPr>
    </w:p>
    <w:p w14:paraId="19BAC938">
      <w:pPr>
        <w:spacing w:line="480" w:lineRule="auto"/>
        <w:ind w:firstLine="4200" w:firstLineChars="2000"/>
        <w:rPr>
          <w:rFonts w:hint="eastAsia" w:ascii="宋体" w:hAnsi="宋体" w:cs="宋体"/>
          <w:color w:val="auto"/>
          <w:szCs w:val="21"/>
          <w:highlight w:val="none"/>
        </w:rPr>
      </w:pPr>
    </w:p>
    <w:p w14:paraId="2DC63B77">
      <w:pPr>
        <w:spacing w:line="480" w:lineRule="auto"/>
        <w:ind w:firstLine="4200" w:firstLineChars="2000"/>
        <w:rPr>
          <w:rFonts w:hint="eastAsia" w:ascii="宋体" w:hAnsi="宋体" w:cs="宋体"/>
          <w:color w:val="auto"/>
          <w:szCs w:val="21"/>
          <w:highlight w:val="none"/>
        </w:rPr>
      </w:pPr>
    </w:p>
    <w:p w14:paraId="28E42111">
      <w:pPr>
        <w:spacing w:line="480" w:lineRule="auto"/>
        <w:ind w:firstLine="4200" w:firstLineChars="2000"/>
        <w:rPr>
          <w:rFonts w:hint="eastAsia" w:ascii="宋体" w:hAnsi="宋体" w:cs="宋体"/>
          <w:color w:val="auto"/>
          <w:szCs w:val="21"/>
          <w:highlight w:val="none"/>
        </w:rPr>
      </w:pPr>
    </w:p>
    <w:bookmarkEnd w:id="1154"/>
    <w:p w14:paraId="52D56509">
      <w:pPr>
        <w:spacing w:line="360" w:lineRule="auto"/>
        <w:jc w:val="center"/>
        <w:outlineLvl w:val="2"/>
        <w:rPr>
          <w:rFonts w:hint="eastAsia" w:asciiTheme="minorEastAsia" w:hAnsiTheme="minorEastAsia" w:eastAsiaTheme="minorEastAsia"/>
          <w:b/>
          <w:color w:val="auto"/>
          <w:sz w:val="28"/>
          <w:szCs w:val="28"/>
          <w:highlight w:val="none"/>
        </w:rPr>
      </w:pPr>
      <w:bookmarkStart w:id="1163" w:name="_Toc75783595"/>
      <w:bookmarkStart w:id="1164" w:name="_Toc116584081"/>
      <w:bookmarkStart w:id="1165" w:name="_Toc53412279"/>
      <w:bookmarkStart w:id="1166" w:name="_Toc110405210"/>
      <w:bookmarkStart w:id="1167" w:name="_Toc42205063"/>
      <w:bookmarkStart w:id="1168" w:name="_Toc69678492"/>
      <w:bookmarkStart w:id="1169" w:name="_Toc98865076"/>
      <w:bookmarkStart w:id="1170" w:name="_Toc109809390"/>
      <w:bookmarkStart w:id="1171" w:name="_Toc45976971"/>
      <w:bookmarkStart w:id="1172" w:name="_Toc8736138"/>
      <w:bookmarkStart w:id="1173" w:name="_Toc29512"/>
      <w:bookmarkStart w:id="1174" w:name="_Toc81331010"/>
      <w:bookmarkStart w:id="1175" w:name="_Toc98865077"/>
      <w:bookmarkStart w:id="1176" w:name="_Toc75783596"/>
      <w:bookmarkStart w:id="1177" w:name="_Toc3268"/>
      <w:bookmarkStart w:id="1178" w:name="_Toc109809391"/>
      <w:bookmarkStart w:id="1179" w:name="_Toc45976972"/>
      <w:bookmarkStart w:id="1180" w:name="_Toc53412280"/>
      <w:bookmarkStart w:id="1181" w:name="_Toc69678493"/>
      <w:bookmarkStart w:id="1182" w:name="_Toc42205064"/>
      <w:bookmarkStart w:id="1183" w:name="_Toc110405211"/>
      <w:bookmarkStart w:id="1184" w:name="_Toc81331011"/>
      <w:bookmarkStart w:id="1185" w:name="_Toc116584082"/>
      <w:bookmarkStart w:id="1186" w:name="_Toc38173197"/>
      <w:bookmarkStart w:id="1187" w:name="_Toc31603098"/>
      <w:r>
        <w:rPr>
          <w:rFonts w:hint="eastAsia" w:asciiTheme="minorEastAsia" w:hAnsiTheme="minorEastAsia" w:eastAsiaTheme="minorEastAsia"/>
          <w:b/>
          <w:color w:val="auto"/>
          <w:sz w:val="28"/>
          <w:szCs w:val="28"/>
          <w:highlight w:val="none"/>
        </w:rPr>
        <w:t>（六）中小企业声明函</w:t>
      </w:r>
      <w:bookmarkEnd w:id="1163"/>
      <w:bookmarkEnd w:id="1164"/>
      <w:bookmarkEnd w:id="1165"/>
      <w:bookmarkEnd w:id="1166"/>
      <w:bookmarkEnd w:id="1167"/>
      <w:bookmarkEnd w:id="1168"/>
      <w:bookmarkEnd w:id="1169"/>
      <w:bookmarkEnd w:id="1170"/>
      <w:bookmarkEnd w:id="1171"/>
      <w:bookmarkEnd w:id="1172"/>
      <w:bookmarkEnd w:id="1173"/>
      <w:bookmarkEnd w:id="1174"/>
    </w:p>
    <w:p w14:paraId="5F91FEA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本公司郑重声明，根据《政府采购促进中小企业发展管理办法》（财库﹝2020﹞46 号）的规定，本公司参加</w:t>
      </w:r>
      <w:r>
        <w:rPr>
          <w:rFonts w:hint="eastAsia" w:ascii="宋体" w:hAnsi="宋体"/>
          <w:color w:val="auto"/>
          <w:szCs w:val="21"/>
          <w:highlight w:val="none"/>
          <w:u w:val="single"/>
        </w:rPr>
        <w:t xml:space="preserve"> （单位名称） </w:t>
      </w:r>
      <w:r>
        <w:rPr>
          <w:rFonts w:hint="eastAsia" w:ascii="宋体" w:hAnsi="宋体"/>
          <w:color w:val="auto"/>
          <w:szCs w:val="21"/>
          <w:highlight w:val="none"/>
        </w:rPr>
        <w:t>的</w:t>
      </w:r>
      <w:r>
        <w:rPr>
          <w:rFonts w:hint="eastAsia" w:ascii="宋体" w:hAnsi="宋体"/>
          <w:color w:val="auto"/>
          <w:szCs w:val="21"/>
          <w:highlight w:val="none"/>
          <w:u w:val="single"/>
        </w:rPr>
        <w:t>（项目名称）</w:t>
      </w:r>
      <w:r>
        <w:rPr>
          <w:rFonts w:hint="eastAsia" w:ascii="宋体" w:hAnsi="宋体"/>
          <w:color w:val="auto"/>
          <w:szCs w:val="21"/>
          <w:highlight w:val="none"/>
        </w:rPr>
        <w:t>采购活动，提供的货物全部由符合政策要求的中小企业制造。企业的具体情况如下：</w:t>
      </w:r>
    </w:p>
    <w:p w14:paraId="7EE26A0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rPr>
        <w:t>（项目名称）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（采购文件中明确的所属行业）行业</w:t>
      </w:r>
      <w:r>
        <w:rPr>
          <w:rFonts w:hint="eastAsia" w:ascii="宋体" w:hAnsi="宋体"/>
          <w:color w:val="auto"/>
          <w:szCs w:val="21"/>
          <w:highlight w:val="none"/>
        </w:rPr>
        <w:t>；制造商为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w:t>
      </w:r>
      <w:r>
        <w:rPr>
          <w:rFonts w:hint="eastAsia" w:ascii="宋体" w:hAnsi="宋体"/>
          <w:color w:val="auto"/>
          <w:szCs w:val="21"/>
          <w:highlight w:val="none"/>
        </w:rPr>
        <w:t>万元，资产总额为</w:t>
      </w:r>
      <w:r>
        <w:rPr>
          <w:rFonts w:hint="eastAsia" w:ascii="宋体" w:hAnsi="宋体"/>
          <w:color w:val="auto"/>
          <w:szCs w:val="21"/>
          <w:highlight w:val="none"/>
          <w:u w:val="single"/>
        </w:rPr>
        <w:t>   </w:t>
      </w:r>
      <w:r>
        <w:rPr>
          <w:rFonts w:hint="eastAsia" w:ascii="宋体" w:hAnsi="宋体"/>
          <w:color w:val="auto"/>
          <w:szCs w:val="21"/>
          <w:highlight w:val="none"/>
        </w:rPr>
        <w:t>万元，属于</w:t>
      </w:r>
      <w:r>
        <w:rPr>
          <w:rFonts w:ascii="宋体" w:hAnsi="宋体"/>
          <w:color w:val="auto"/>
          <w:szCs w:val="21"/>
          <w:highlight w:val="none"/>
          <w:u w:val="single"/>
        </w:rPr>
        <w:t xml:space="preserve">     </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4F0BC02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rPr>
        <w:t>（项目名称）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（采购文件中明确的所属行业）行业</w:t>
      </w:r>
      <w:r>
        <w:rPr>
          <w:rFonts w:hint="eastAsia" w:ascii="宋体" w:hAnsi="宋体"/>
          <w:color w:val="auto"/>
          <w:szCs w:val="21"/>
          <w:highlight w:val="none"/>
        </w:rPr>
        <w:t>；制造商为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w:t>
      </w:r>
      <w:r>
        <w:rPr>
          <w:rFonts w:hint="eastAsia" w:ascii="宋体" w:hAnsi="宋体"/>
          <w:color w:val="auto"/>
          <w:szCs w:val="21"/>
          <w:highlight w:val="none"/>
        </w:rPr>
        <w:t>万元，资产总额为</w:t>
      </w:r>
      <w:r>
        <w:rPr>
          <w:rFonts w:hint="eastAsia" w:ascii="宋体" w:hAnsi="宋体"/>
          <w:color w:val="auto"/>
          <w:szCs w:val="21"/>
          <w:highlight w:val="none"/>
          <w:u w:val="single"/>
        </w:rPr>
        <w:t>   </w:t>
      </w:r>
      <w:r>
        <w:rPr>
          <w:rFonts w:hint="eastAsia" w:ascii="宋体" w:hAnsi="宋体"/>
          <w:color w:val="auto"/>
          <w:szCs w:val="21"/>
          <w:highlight w:val="none"/>
        </w:rPr>
        <w:t>万元，属于</w:t>
      </w:r>
      <w:r>
        <w:rPr>
          <w:rFonts w:ascii="宋体" w:hAnsi="宋体"/>
          <w:color w:val="auto"/>
          <w:szCs w:val="21"/>
          <w:highlight w:val="none"/>
          <w:u w:val="single"/>
        </w:rPr>
        <w:t xml:space="preserve">     </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10D77801">
      <w:pPr>
        <w:spacing w:line="360" w:lineRule="auto"/>
        <w:ind w:firstLine="420" w:firstLineChars="200"/>
        <w:rPr>
          <w:color w:val="auto"/>
          <w:highlight w:val="none"/>
        </w:rPr>
      </w:pPr>
      <w:r>
        <w:rPr>
          <w:rFonts w:hint="eastAsia" w:ascii="宋体" w:hAnsi="宋体"/>
          <w:color w:val="auto"/>
          <w:szCs w:val="21"/>
          <w:highlight w:val="none"/>
          <w:u w:val="single"/>
        </w:rPr>
        <w:t>（项目名称）</w:t>
      </w:r>
      <w:r>
        <w:rPr>
          <w:rFonts w:hint="eastAsia" w:ascii="宋体" w:hAnsi="宋体"/>
          <w:color w:val="auto"/>
          <w:szCs w:val="21"/>
          <w:highlight w:val="none"/>
        </w:rPr>
        <w:t>，属于</w:t>
      </w:r>
      <w:r>
        <w:rPr>
          <w:rFonts w:hint="eastAsia" w:ascii="宋体" w:hAnsi="宋体"/>
          <w:color w:val="auto"/>
          <w:szCs w:val="21"/>
          <w:highlight w:val="none"/>
          <w:u w:val="single"/>
        </w:rPr>
        <w:t>（采购文件中明确的所属行业）行业</w:t>
      </w:r>
      <w:r>
        <w:rPr>
          <w:rFonts w:hint="eastAsia" w:ascii="宋体" w:hAnsi="宋体"/>
          <w:color w:val="auto"/>
          <w:szCs w:val="21"/>
          <w:highlight w:val="none"/>
        </w:rPr>
        <w:t>；制造商为</w:t>
      </w:r>
      <w:r>
        <w:rPr>
          <w:rFonts w:hint="eastAsia" w:ascii="宋体" w:hAnsi="宋体"/>
          <w:color w:val="auto"/>
          <w:szCs w:val="21"/>
          <w:highlight w:val="none"/>
          <w:u w:val="single"/>
        </w:rPr>
        <w:t>（企业名称）</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w:t>
      </w:r>
      <w:r>
        <w:rPr>
          <w:rFonts w:hint="eastAsia" w:ascii="宋体" w:hAnsi="宋体"/>
          <w:color w:val="auto"/>
          <w:szCs w:val="21"/>
          <w:highlight w:val="none"/>
        </w:rPr>
        <w:t>万元，资产总额为</w:t>
      </w:r>
      <w:r>
        <w:rPr>
          <w:rFonts w:hint="eastAsia" w:ascii="宋体" w:hAnsi="宋体"/>
          <w:color w:val="auto"/>
          <w:szCs w:val="21"/>
          <w:highlight w:val="none"/>
          <w:u w:val="single"/>
        </w:rPr>
        <w:t>   </w:t>
      </w:r>
      <w:r>
        <w:rPr>
          <w:rFonts w:hint="eastAsia" w:ascii="宋体" w:hAnsi="宋体"/>
          <w:color w:val="auto"/>
          <w:szCs w:val="21"/>
          <w:highlight w:val="none"/>
        </w:rPr>
        <w:t>万元，属于</w:t>
      </w:r>
      <w:r>
        <w:rPr>
          <w:rFonts w:ascii="宋体" w:hAnsi="宋体"/>
          <w:color w:val="auto"/>
          <w:szCs w:val="21"/>
          <w:highlight w:val="none"/>
          <w:u w:val="single"/>
        </w:rPr>
        <w:t xml:space="preserve">     </w:t>
      </w:r>
      <w:r>
        <w:rPr>
          <w:rFonts w:hint="eastAsia" w:ascii="宋体" w:hAnsi="宋体"/>
          <w:color w:val="auto"/>
          <w:szCs w:val="21"/>
          <w:highlight w:val="none"/>
          <w:u w:val="single"/>
        </w:rPr>
        <w:t>（中型企业、小型企业、微型企业）</w:t>
      </w:r>
      <w:r>
        <w:rPr>
          <w:rFonts w:hint="eastAsia" w:ascii="宋体" w:hAnsi="宋体"/>
          <w:color w:val="auto"/>
          <w:szCs w:val="21"/>
          <w:highlight w:val="none"/>
        </w:rPr>
        <w:t>；</w:t>
      </w:r>
    </w:p>
    <w:p w14:paraId="35237E0E">
      <w:pPr>
        <w:spacing w:line="360" w:lineRule="auto"/>
        <w:ind w:firstLine="420" w:firstLineChars="200"/>
        <w:rPr>
          <w:color w:val="auto"/>
          <w:highlight w:val="none"/>
        </w:rPr>
      </w:pPr>
      <w:r>
        <w:rPr>
          <w:color w:val="auto"/>
          <w:highlight w:val="none"/>
        </w:rPr>
        <w:t>……</w:t>
      </w:r>
    </w:p>
    <w:p w14:paraId="2DA7A1B3">
      <w:pPr>
        <w:rPr>
          <w:color w:val="auto"/>
          <w:highlight w:val="none"/>
        </w:rPr>
      </w:pPr>
    </w:p>
    <w:p w14:paraId="12F315D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以上企业，不属于大企业的分支机构，不存在控股股东为大企业的情形，也不存在与大企业的负责人为同一人的情形。</w:t>
      </w:r>
    </w:p>
    <w:p w14:paraId="129A7DDA">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14:paraId="4BDAE15F">
      <w:pPr>
        <w:widowControl/>
        <w:spacing w:line="360" w:lineRule="auto"/>
        <w:ind w:firstLine="444"/>
        <w:jc w:val="left"/>
        <w:rPr>
          <w:rFonts w:hint="eastAsia" w:asciiTheme="minorEastAsia" w:hAnsiTheme="minorEastAsia" w:eastAsiaTheme="minorEastAsia"/>
          <w:color w:val="auto"/>
          <w:spacing w:val="6"/>
          <w:szCs w:val="21"/>
          <w:highlight w:val="none"/>
        </w:rPr>
      </w:pPr>
    </w:p>
    <w:p w14:paraId="2704D6CD">
      <w:pPr>
        <w:widowControl/>
        <w:spacing w:line="360" w:lineRule="auto"/>
        <w:ind w:firstLine="444"/>
        <w:jc w:val="left"/>
        <w:rPr>
          <w:rFonts w:hint="eastAsia" w:asciiTheme="minorEastAsia" w:hAnsiTheme="minorEastAsia" w:eastAsiaTheme="minorEastAsia"/>
          <w:color w:val="auto"/>
          <w:spacing w:val="6"/>
          <w:szCs w:val="21"/>
          <w:highlight w:val="none"/>
        </w:rPr>
      </w:pPr>
    </w:p>
    <w:p w14:paraId="7FB12F6A">
      <w:pPr>
        <w:widowControl/>
        <w:spacing w:line="360" w:lineRule="auto"/>
        <w:ind w:firstLine="444"/>
        <w:jc w:val="left"/>
        <w:rPr>
          <w:rFonts w:hint="eastAsia" w:asciiTheme="minorEastAsia" w:hAnsiTheme="minorEastAsia" w:eastAsiaTheme="minorEastAsia"/>
          <w:color w:val="auto"/>
          <w:spacing w:val="6"/>
          <w:szCs w:val="21"/>
          <w:highlight w:val="none"/>
        </w:rPr>
      </w:pPr>
    </w:p>
    <w:p w14:paraId="4B74F782">
      <w:pPr>
        <w:widowControl/>
        <w:spacing w:line="360" w:lineRule="auto"/>
        <w:ind w:firstLine="444"/>
        <w:jc w:val="left"/>
        <w:rPr>
          <w:rFonts w:hint="eastAsia" w:asciiTheme="minorEastAsia" w:hAnsiTheme="minorEastAsia" w:eastAsiaTheme="minorEastAsia"/>
          <w:color w:val="auto"/>
          <w:spacing w:val="6"/>
          <w:szCs w:val="21"/>
          <w:highlight w:val="none"/>
        </w:rPr>
      </w:pPr>
    </w:p>
    <w:p w14:paraId="614815C2">
      <w:pPr>
        <w:spacing w:line="480" w:lineRule="auto"/>
        <w:ind w:right="252" w:rightChars="120" w:firstLine="6090" w:firstLineChars="29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企业名称（电子签章）：</w:t>
      </w:r>
    </w:p>
    <w:p w14:paraId="2577A405">
      <w:pPr>
        <w:spacing w:line="480" w:lineRule="auto"/>
        <w:ind w:right="252" w:rightChars="120" w:firstLine="6090" w:firstLineChars="2900"/>
        <w:rPr>
          <w:rFonts w:hint="eastAsia" w:cs="仿宋_GB2312"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日 期：</w:t>
      </w:r>
    </w:p>
    <w:p w14:paraId="79DC26E9">
      <w:pPr>
        <w:spacing w:line="360" w:lineRule="auto"/>
        <w:ind w:right="252" w:rightChars="120" w:firstLine="6510" w:firstLineChars="3100"/>
        <w:rPr>
          <w:rFonts w:hint="eastAsia" w:cs="仿宋_GB2312" w:asciiTheme="minorEastAsia" w:hAnsiTheme="minorEastAsia" w:eastAsiaTheme="minorEastAsia"/>
          <w:color w:val="auto"/>
          <w:szCs w:val="21"/>
          <w:highlight w:val="none"/>
        </w:rPr>
      </w:pPr>
    </w:p>
    <w:p w14:paraId="0DCDA359">
      <w:pPr>
        <w:spacing w:line="360" w:lineRule="auto"/>
        <w:ind w:right="252" w:rightChars="120" w:firstLine="6510" w:firstLineChars="3100"/>
        <w:rPr>
          <w:rFonts w:hint="eastAsia" w:cs="仿宋_GB2312" w:asciiTheme="minorEastAsia" w:hAnsiTheme="minorEastAsia" w:eastAsiaTheme="minorEastAsia"/>
          <w:color w:val="auto"/>
          <w:szCs w:val="21"/>
          <w:highlight w:val="none"/>
        </w:rPr>
      </w:pPr>
    </w:p>
    <w:p w14:paraId="2500339F">
      <w:pPr>
        <w:spacing w:line="360" w:lineRule="auto"/>
        <w:ind w:right="252" w:rightChars="120" w:firstLine="6510" w:firstLineChars="3100"/>
        <w:rPr>
          <w:rFonts w:hint="eastAsia" w:cs="仿宋_GB2312" w:asciiTheme="minorEastAsia" w:hAnsiTheme="minorEastAsia" w:eastAsiaTheme="minorEastAsia"/>
          <w:color w:val="auto"/>
          <w:szCs w:val="21"/>
          <w:highlight w:val="none"/>
        </w:rPr>
      </w:pPr>
    </w:p>
    <w:p w14:paraId="13C92DA3">
      <w:pPr>
        <w:spacing w:line="360" w:lineRule="auto"/>
        <w:ind w:right="252" w:rightChars="120" w:firstLine="422" w:firstLineChars="200"/>
        <w:rPr>
          <w:rFonts w:hint="eastAsia" w:cs="仿宋_GB2312" w:asciiTheme="minorEastAsia" w:hAnsiTheme="minorEastAsia" w:eastAsiaTheme="minorEastAsia"/>
          <w:b/>
          <w:bCs/>
          <w:color w:val="auto"/>
          <w:szCs w:val="21"/>
          <w:highlight w:val="none"/>
        </w:rPr>
      </w:pPr>
      <w:r>
        <w:rPr>
          <w:rFonts w:hint="eastAsia" w:cs="仿宋_GB2312" w:asciiTheme="minorEastAsia" w:hAnsiTheme="minorEastAsia" w:eastAsiaTheme="minorEastAsia"/>
          <w:b/>
          <w:bCs/>
          <w:color w:val="auto"/>
          <w:szCs w:val="21"/>
          <w:highlight w:val="none"/>
        </w:rPr>
        <w:t>注：1.从业人员、营业收入、资产总额填报上一年度数据，无上一年度数据的新成立企业可不填报；</w:t>
      </w:r>
    </w:p>
    <w:p w14:paraId="27E875A5">
      <w:pPr>
        <w:spacing w:line="360" w:lineRule="auto"/>
        <w:ind w:right="252" w:rightChars="120" w:firstLine="891" w:firstLineChars="400"/>
        <w:rPr>
          <w:rFonts w:hint="eastAsia" w:cs="仿宋_GB2312" w:asciiTheme="minorEastAsia" w:hAnsiTheme="minorEastAsia" w:eastAsiaTheme="minorEastAsia"/>
          <w:b/>
          <w:bCs/>
          <w:color w:val="auto"/>
          <w:szCs w:val="21"/>
          <w:highlight w:val="none"/>
        </w:rPr>
      </w:pPr>
      <w:r>
        <w:rPr>
          <w:rFonts w:asciiTheme="minorEastAsia" w:hAnsiTheme="minorEastAsia" w:eastAsiaTheme="minorEastAsia"/>
          <w:b/>
          <w:bCs/>
          <w:color w:val="auto"/>
          <w:spacing w:val="6"/>
          <w:szCs w:val="21"/>
          <w:highlight w:val="none"/>
        </w:rPr>
        <w:t>2</w:t>
      </w:r>
      <w:r>
        <w:rPr>
          <w:rFonts w:hint="eastAsia" w:asciiTheme="minorEastAsia" w:hAnsiTheme="minorEastAsia" w:eastAsiaTheme="minorEastAsia"/>
          <w:b/>
          <w:bCs/>
          <w:color w:val="auto"/>
          <w:spacing w:val="6"/>
          <w:szCs w:val="21"/>
          <w:highlight w:val="none"/>
        </w:rPr>
        <w:t>.</w:t>
      </w:r>
      <w:r>
        <w:rPr>
          <w:rFonts w:hint="eastAsia" w:asciiTheme="minorEastAsia" w:hAnsiTheme="minorEastAsia" w:eastAsiaTheme="minorEastAsia"/>
          <w:b/>
          <w:bCs/>
          <w:color w:val="auto"/>
          <w:spacing w:val="6"/>
          <w:szCs w:val="21"/>
          <w:highlight w:val="none"/>
        </w:rPr>
        <w:t>产品制造企业</w:t>
      </w:r>
      <w:r>
        <w:rPr>
          <w:rFonts w:hint="eastAsia" w:asciiTheme="minorEastAsia" w:hAnsiTheme="minorEastAsia" w:eastAsiaTheme="minorEastAsia"/>
          <w:b/>
          <w:bCs/>
          <w:color w:val="auto"/>
          <w:spacing w:val="6"/>
          <w:szCs w:val="21"/>
          <w:highlight w:val="none"/>
        </w:rPr>
        <w:t>若为中小企业，须按以上要求完整的填写《中小企业声明函》；如不完整或有空缺，则投标报价不予扣除；</w:t>
      </w:r>
    </w:p>
    <w:p w14:paraId="1BF613F5">
      <w:pPr>
        <w:spacing w:line="360" w:lineRule="auto"/>
        <w:ind w:right="252" w:rightChars="120" w:firstLine="891" w:firstLineChars="400"/>
        <w:rPr>
          <w:rFonts w:hint="eastAsia" w:asciiTheme="minorEastAsia" w:hAnsiTheme="minorEastAsia" w:eastAsiaTheme="minorEastAsia"/>
          <w:b/>
          <w:bCs/>
          <w:color w:val="auto"/>
          <w:spacing w:val="6"/>
          <w:szCs w:val="21"/>
          <w:highlight w:val="none"/>
        </w:rPr>
      </w:pPr>
      <w:r>
        <w:rPr>
          <w:rFonts w:hint="eastAsia" w:asciiTheme="minorEastAsia" w:hAnsiTheme="minorEastAsia" w:eastAsiaTheme="minorEastAsia"/>
          <w:b/>
          <w:bCs/>
          <w:color w:val="auto"/>
          <w:spacing w:val="6"/>
          <w:szCs w:val="21"/>
          <w:highlight w:val="none"/>
        </w:rPr>
        <w:t>3.若</w:t>
      </w:r>
      <w:r>
        <w:rPr>
          <w:rFonts w:hint="eastAsia" w:asciiTheme="minorEastAsia" w:hAnsiTheme="minorEastAsia" w:eastAsiaTheme="minorEastAsia"/>
          <w:b/>
          <w:bCs/>
          <w:color w:val="auto"/>
          <w:spacing w:val="6"/>
          <w:szCs w:val="21"/>
          <w:highlight w:val="none"/>
        </w:rPr>
        <w:t>产品制造企业</w:t>
      </w:r>
      <w:r>
        <w:rPr>
          <w:rFonts w:hint="eastAsia" w:asciiTheme="minorEastAsia" w:hAnsiTheme="minorEastAsia" w:eastAsiaTheme="minorEastAsia"/>
          <w:b/>
          <w:bCs/>
          <w:color w:val="auto"/>
          <w:spacing w:val="6"/>
          <w:szCs w:val="21"/>
          <w:highlight w:val="none"/>
        </w:rPr>
        <w:t>为符合政策要求的中小企业，即可填报声明；否则，可不填报及签章。</w:t>
      </w:r>
      <w:r>
        <w:rPr>
          <w:rFonts w:hint="eastAsia" w:asciiTheme="minorEastAsia" w:hAnsiTheme="minorEastAsia" w:eastAsiaTheme="minorEastAsia"/>
          <w:b/>
          <w:bCs/>
          <w:color w:val="auto"/>
          <w:spacing w:val="6"/>
          <w:szCs w:val="21"/>
          <w:highlight w:val="none"/>
        </w:rPr>
        <w:br w:type="page"/>
      </w:r>
    </w:p>
    <w:p w14:paraId="4A686FC0">
      <w:pPr>
        <w:spacing w:line="360" w:lineRule="auto"/>
        <w:jc w:val="center"/>
        <w:outlineLvl w:val="2"/>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（七）残疾人福利性单位声明函</w:t>
      </w:r>
      <w:bookmarkEnd w:id="1175"/>
      <w:bookmarkEnd w:id="1176"/>
      <w:bookmarkEnd w:id="1177"/>
      <w:bookmarkEnd w:id="1178"/>
      <w:bookmarkEnd w:id="1179"/>
      <w:bookmarkEnd w:id="1180"/>
      <w:bookmarkEnd w:id="1181"/>
      <w:bookmarkEnd w:id="1182"/>
      <w:bookmarkEnd w:id="1183"/>
      <w:bookmarkEnd w:id="1184"/>
      <w:bookmarkEnd w:id="1185"/>
    </w:p>
    <w:p w14:paraId="2393F91C">
      <w:pPr>
        <w:spacing w:line="360" w:lineRule="auto"/>
        <w:ind w:firstLine="444" w:firstLineChars="200"/>
        <w:rPr>
          <w:rFonts w:hint="eastAsia"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本单位郑重声明，根据《财政部 民政部 中国残疾人联合会关于促进残疾人就业政府采购政策的通知》（财库</w:t>
      </w:r>
      <w:r>
        <w:rPr>
          <w:rFonts w:hint="eastAsia" w:asciiTheme="minorEastAsia" w:hAnsiTheme="minorEastAsia" w:eastAsiaTheme="minorEastAsia"/>
          <w:color w:val="auto"/>
          <w:szCs w:val="21"/>
          <w:highlight w:val="none"/>
        </w:rPr>
        <w:t>〔2017〕 141</w:t>
      </w:r>
      <w:r>
        <w:rPr>
          <w:rFonts w:hint="eastAsia" w:asciiTheme="minorEastAsia" w:hAnsiTheme="minorEastAsia" w:eastAsiaTheme="minorEastAsia"/>
          <w:color w:val="auto"/>
          <w:spacing w:val="6"/>
          <w:szCs w:val="21"/>
          <w:highlight w:val="none"/>
        </w:rPr>
        <w:t>号）的规定，</w:t>
      </w:r>
      <w:r>
        <w:rPr>
          <w:rFonts w:hint="eastAsia" w:asciiTheme="minorEastAsia" w:hAnsiTheme="minorEastAsia" w:eastAsiaTheme="minorEastAsia"/>
          <w:color w:val="auto"/>
          <w:spacing w:val="6"/>
          <w:szCs w:val="21"/>
          <w:highlight w:val="none"/>
        </w:rPr>
        <w:t>产品制造企业</w:t>
      </w:r>
      <w:r>
        <w:rPr>
          <w:rFonts w:hint="eastAsia" w:asciiTheme="minorEastAsia" w:hAnsiTheme="minorEastAsia" w:eastAsiaTheme="minorEastAsia"/>
          <w:color w:val="auto"/>
          <w:spacing w:val="6"/>
          <w:szCs w:val="21"/>
          <w:highlight w:val="none"/>
        </w:rPr>
        <w:t>为符合条件的残疾人福利性单位，且本单位参加</w:t>
      </w:r>
      <w:r>
        <w:rPr>
          <w:rFonts w:hint="eastAsia" w:asciiTheme="minorEastAsia" w:hAnsiTheme="minorEastAsia" w:eastAsiaTheme="minorEastAsia"/>
          <w:color w:val="auto"/>
          <w:spacing w:val="6"/>
          <w:szCs w:val="21"/>
          <w:highlight w:val="none"/>
          <w:u w:val="single"/>
        </w:rPr>
        <w:t xml:space="preserve">               </w:t>
      </w:r>
      <w:r>
        <w:rPr>
          <w:rFonts w:hint="eastAsia" w:asciiTheme="minorEastAsia" w:hAnsiTheme="minorEastAsia" w:eastAsiaTheme="minorEastAsia"/>
          <w:color w:val="auto"/>
          <w:spacing w:val="6"/>
          <w:szCs w:val="21"/>
          <w:highlight w:val="none"/>
        </w:rPr>
        <w:t>单位的</w:t>
      </w:r>
      <w:r>
        <w:rPr>
          <w:rFonts w:hint="eastAsia" w:asciiTheme="minorEastAsia" w:hAnsiTheme="minorEastAsia" w:eastAsiaTheme="minorEastAsia"/>
          <w:color w:val="auto"/>
          <w:spacing w:val="6"/>
          <w:szCs w:val="21"/>
          <w:highlight w:val="none"/>
          <w:u w:val="single"/>
        </w:rPr>
        <w:t xml:space="preserve">                      </w:t>
      </w:r>
      <w:r>
        <w:rPr>
          <w:rFonts w:hint="eastAsia" w:asciiTheme="minorEastAsia" w:hAnsiTheme="minorEastAsia" w:eastAsiaTheme="minorEastAsia"/>
          <w:color w:val="auto"/>
          <w:spacing w:val="6"/>
          <w:szCs w:val="21"/>
          <w:highlight w:val="none"/>
        </w:rPr>
        <w:t>项目采购活动提供服务。</w:t>
      </w:r>
    </w:p>
    <w:p w14:paraId="7EC87146">
      <w:pPr>
        <w:spacing w:line="360" w:lineRule="auto"/>
        <w:ind w:firstLine="444" w:firstLineChars="200"/>
        <w:rPr>
          <w:rFonts w:hint="eastAsia" w:asciiTheme="minorEastAsia" w:hAnsiTheme="minorEastAsia" w:eastAsiaTheme="minorEastAsia"/>
          <w:color w:val="auto"/>
          <w:spacing w:val="6"/>
          <w:szCs w:val="21"/>
          <w:highlight w:val="none"/>
        </w:rPr>
      </w:pPr>
      <w:r>
        <w:rPr>
          <w:rFonts w:hint="eastAsia" w:asciiTheme="minorEastAsia" w:hAnsiTheme="minorEastAsia" w:eastAsiaTheme="minorEastAsia"/>
          <w:color w:val="auto"/>
          <w:spacing w:val="6"/>
          <w:szCs w:val="21"/>
          <w:highlight w:val="none"/>
        </w:rPr>
        <w:t>本单位对上述声明的真实性负责。如有虚假，将依法承担相应责任。</w:t>
      </w:r>
    </w:p>
    <w:p w14:paraId="6AAE7CEB">
      <w:pPr>
        <w:spacing w:line="360" w:lineRule="auto"/>
        <w:ind w:firstLine="444" w:firstLineChars="200"/>
        <w:rPr>
          <w:rFonts w:hint="eastAsia" w:asciiTheme="minorEastAsia" w:hAnsiTheme="minorEastAsia" w:eastAsiaTheme="minorEastAsia"/>
          <w:color w:val="auto"/>
          <w:spacing w:val="6"/>
          <w:szCs w:val="21"/>
          <w:highlight w:val="none"/>
        </w:rPr>
      </w:pPr>
    </w:p>
    <w:p w14:paraId="42FB3231">
      <w:pPr>
        <w:spacing w:line="360" w:lineRule="auto"/>
        <w:ind w:firstLine="444"/>
        <w:jc w:val="left"/>
        <w:rPr>
          <w:rFonts w:hint="eastAsia" w:asciiTheme="minorEastAsia" w:hAnsiTheme="minorEastAsia" w:eastAsiaTheme="minorEastAsia"/>
          <w:color w:val="auto"/>
          <w:spacing w:val="6"/>
          <w:szCs w:val="21"/>
          <w:highlight w:val="none"/>
        </w:rPr>
      </w:pPr>
    </w:p>
    <w:p w14:paraId="39C14E14">
      <w:pPr>
        <w:spacing w:line="360" w:lineRule="auto"/>
        <w:ind w:firstLine="444"/>
        <w:jc w:val="left"/>
        <w:rPr>
          <w:rFonts w:hint="eastAsia" w:asciiTheme="minorEastAsia" w:hAnsiTheme="minorEastAsia" w:eastAsiaTheme="minorEastAsia"/>
          <w:color w:val="auto"/>
          <w:spacing w:val="6"/>
          <w:szCs w:val="21"/>
          <w:highlight w:val="none"/>
        </w:rPr>
      </w:pPr>
    </w:p>
    <w:p w14:paraId="47DD2BA8">
      <w:pPr>
        <w:spacing w:line="360" w:lineRule="auto"/>
        <w:ind w:firstLine="444"/>
        <w:jc w:val="left"/>
        <w:rPr>
          <w:rFonts w:hint="eastAsia" w:asciiTheme="minorEastAsia" w:hAnsiTheme="minorEastAsia" w:eastAsiaTheme="minorEastAsia"/>
          <w:color w:val="auto"/>
          <w:spacing w:val="6"/>
          <w:szCs w:val="21"/>
          <w:highlight w:val="none"/>
        </w:rPr>
      </w:pPr>
    </w:p>
    <w:p w14:paraId="0AE0B66F">
      <w:pPr>
        <w:autoSpaceDE w:val="0"/>
        <w:autoSpaceDN w:val="0"/>
        <w:adjustRightInd w:val="0"/>
        <w:spacing w:line="480" w:lineRule="auto"/>
        <w:ind w:firstLine="6405" w:firstLineChars="30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企业名称（电子签章）：</w:t>
      </w:r>
    </w:p>
    <w:p w14:paraId="69C3711A">
      <w:pPr>
        <w:autoSpaceDE w:val="0"/>
        <w:autoSpaceDN w:val="0"/>
        <w:adjustRightInd w:val="0"/>
        <w:spacing w:line="480" w:lineRule="auto"/>
        <w:ind w:firstLine="6405" w:firstLineChars="305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 期：</w:t>
      </w:r>
    </w:p>
    <w:p w14:paraId="09D6D5CE">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11D4EDC5">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30B25F4E">
      <w:pPr>
        <w:spacing w:line="360" w:lineRule="auto"/>
        <w:ind w:firstLine="422" w:firstLineChars="200"/>
        <w:jc w:val="left"/>
        <w:rPr>
          <w:rFonts w:hint="eastAsia" w:asciiTheme="minorEastAsia" w:hAnsiTheme="minorEastAsia" w:eastAsiaTheme="minorEastAsia"/>
          <w:b/>
          <w:bCs/>
          <w:color w:val="auto"/>
          <w:spacing w:val="6"/>
          <w:szCs w:val="21"/>
          <w:highlight w:val="none"/>
        </w:rPr>
      </w:pPr>
      <w:r>
        <w:rPr>
          <w:rFonts w:hint="eastAsia" w:cs="仿宋_GB2312" w:asciiTheme="minorEastAsia" w:hAnsiTheme="minorEastAsia" w:eastAsiaTheme="minorEastAsia"/>
          <w:b/>
          <w:bCs/>
          <w:color w:val="auto"/>
          <w:szCs w:val="21"/>
          <w:highlight w:val="none"/>
        </w:rPr>
        <w:t>注：若提供</w:t>
      </w:r>
      <w:r>
        <w:rPr>
          <w:rFonts w:hint="eastAsia" w:asciiTheme="minorEastAsia" w:hAnsiTheme="minorEastAsia" w:eastAsiaTheme="minorEastAsia"/>
          <w:b/>
          <w:bCs/>
          <w:color w:val="auto"/>
          <w:spacing w:val="6"/>
          <w:szCs w:val="21"/>
          <w:highlight w:val="none"/>
        </w:rPr>
        <w:t>产品制造企业</w:t>
      </w:r>
      <w:r>
        <w:rPr>
          <w:rFonts w:hint="eastAsia" w:cs="仿宋_GB2312" w:asciiTheme="minorEastAsia" w:hAnsiTheme="minorEastAsia" w:eastAsiaTheme="minorEastAsia"/>
          <w:b/>
          <w:bCs/>
          <w:color w:val="auto"/>
          <w:szCs w:val="21"/>
          <w:highlight w:val="none"/>
        </w:rPr>
        <w:t>为</w:t>
      </w:r>
      <w:r>
        <w:rPr>
          <w:rFonts w:hint="eastAsia" w:asciiTheme="minorEastAsia" w:hAnsiTheme="minorEastAsia" w:eastAsiaTheme="minorEastAsia"/>
          <w:b/>
          <w:bCs/>
          <w:color w:val="auto"/>
          <w:spacing w:val="6"/>
          <w:szCs w:val="21"/>
          <w:highlight w:val="none"/>
        </w:rPr>
        <w:t>符合政策要求的残疾人福利性单位，即可填报声明；否则，可不填报及签章。</w:t>
      </w:r>
    </w:p>
    <w:p w14:paraId="45FF0AC7">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644D4D28">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0495E1B5">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05009EFF">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03E03FA2">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4CF5D6A9">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0E38DCB3">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3677878F">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22984C32">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47AFEC6F">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430E4919">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161717B4">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0EF52325">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6D51F23E">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7BC73060">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2397DCD2">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13FF2734">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3E8FB13C">
      <w:pPr>
        <w:spacing w:line="360" w:lineRule="auto"/>
        <w:ind w:right="252" w:rightChars="120" w:firstLine="6510" w:firstLineChars="3100"/>
        <w:jc w:val="left"/>
        <w:rPr>
          <w:rFonts w:hint="eastAsia" w:cs="仿宋_GB2312" w:asciiTheme="minorEastAsia" w:hAnsiTheme="minorEastAsia" w:eastAsiaTheme="minorEastAsia"/>
          <w:color w:val="auto"/>
          <w:szCs w:val="21"/>
          <w:highlight w:val="none"/>
        </w:rPr>
      </w:pPr>
    </w:p>
    <w:p w14:paraId="298F1F3E">
      <w:pPr>
        <w:spacing w:line="360" w:lineRule="auto"/>
        <w:jc w:val="center"/>
        <w:outlineLvl w:val="2"/>
        <w:rPr>
          <w:rFonts w:hint="eastAsia" w:asciiTheme="minorEastAsia" w:hAnsiTheme="minorEastAsia" w:eastAsiaTheme="minorEastAsia"/>
          <w:b/>
          <w:color w:val="auto"/>
          <w:sz w:val="28"/>
          <w:szCs w:val="28"/>
          <w:highlight w:val="none"/>
        </w:rPr>
      </w:pPr>
      <w:bookmarkStart w:id="1188" w:name="_Toc110405212"/>
      <w:bookmarkStart w:id="1189" w:name="_Toc53412281"/>
      <w:bookmarkStart w:id="1190" w:name="_Toc98865078"/>
      <w:bookmarkStart w:id="1191" w:name="_Toc75783597"/>
      <w:bookmarkStart w:id="1192" w:name="_Toc69678494"/>
      <w:bookmarkStart w:id="1193" w:name="_Toc42205065"/>
      <w:bookmarkStart w:id="1194" w:name="_Toc116584083"/>
      <w:bookmarkStart w:id="1195" w:name="_Toc109809392"/>
      <w:bookmarkStart w:id="1196" w:name="_Toc3402"/>
      <w:bookmarkStart w:id="1197" w:name="_Toc81331012"/>
      <w:bookmarkStart w:id="1198" w:name="_Toc45976973"/>
      <w:r>
        <w:rPr>
          <w:rFonts w:hint="eastAsia" w:asciiTheme="minorEastAsia" w:hAnsiTheme="minorEastAsia" w:eastAsiaTheme="minorEastAsia"/>
          <w:b/>
          <w:color w:val="auto"/>
          <w:sz w:val="28"/>
          <w:szCs w:val="28"/>
          <w:highlight w:val="none"/>
        </w:rPr>
        <w:t>（八）监狱企业证明</w:t>
      </w:r>
      <w:bookmarkEnd w:id="1188"/>
      <w:bookmarkEnd w:id="1189"/>
      <w:bookmarkEnd w:id="1190"/>
      <w:bookmarkEnd w:id="1191"/>
      <w:bookmarkEnd w:id="1192"/>
      <w:bookmarkEnd w:id="1193"/>
      <w:bookmarkEnd w:id="1194"/>
      <w:bookmarkEnd w:id="1195"/>
      <w:bookmarkEnd w:id="1196"/>
      <w:bookmarkEnd w:id="1197"/>
      <w:bookmarkEnd w:id="1198"/>
    </w:p>
    <w:p w14:paraId="72AE5C32">
      <w:pPr>
        <w:spacing w:line="360" w:lineRule="auto"/>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注：若</w:t>
      </w:r>
      <w:r>
        <w:rPr>
          <w:rFonts w:hint="eastAsia" w:asciiTheme="minorEastAsia" w:hAnsiTheme="minorEastAsia" w:eastAsiaTheme="minorEastAsia"/>
          <w:color w:val="auto"/>
          <w:highlight w:val="none"/>
        </w:rPr>
        <w:t>产品制造企业</w:t>
      </w:r>
      <w:r>
        <w:rPr>
          <w:rFonts w:hint="eastAsia" w:asciiTheme="minorEastAsia" w:hAnsiTheme="minorEastAsia" w:eastAsiaTheme="minorEastAsia"/>
          <w:color w:val="auto"/>
          <w:highlight w:val="none"/>
        </w:rPr>
        <w:t>为监狱企业，须附监狱企业证明材料的原件扫描件。</w:t>
      </w:r>
    </w:p>
    <w:p w14:paraId="2613DFBA">
      <w:pP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p>
    <w:p w14:paraId="637ABC42">
      <w:pPr>
        <w:spacing w:line="360" w:lineRule="auto"/>
        <w:jc w:val="center"/>
        <w:outlineLvl w:val="2"/>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（九）节能产品和环境标志产品</w:t>
      </w:r>
    </w:p>
    <w:tbl>
      <w:tblPr>
        <w:tblStyle w:val="5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5"/>
        <w:gridCol w:w="2305"/>
        <w:gridCol w:w="4597"/>
        <w:gridCol w:w="1279"/>
      </w:tblGrid>
      <w:tr w14:paraId="2E316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tcPr>
          <w:p w14:paraId="76951A12">
            <w:pPr>
              <w:spacing w:before="120" w:beforeLines="50" w:line="360" w:lineRule="auto"/>
              <w:jc w:val="center"/>
              <w:rPr>
                <w:rFonts w:hint="eastAsia" w:ascii="宋体" w:hAnsi="宋体"/>
                <w:b/>
                <w:bCs/>
                <w:color w:val="auto"/>
                <w:szCs w:val="21"/>
                <w:highlight w:val="none"/>
              </w:rPr>
            </w:pPr>
            <w:r>
              <w:rPr>
                <w:rFonts w:hint="eastAsia" w:ascii="宋体" w:hAnsi="宋体"/>
                <w:b/>
                <w:bCs/>
                <w:color w:val="auto"/>
                <w:szCs w:val="21"/>
                <w:highlight w:val="none"/>
              </w:rPr>
              <w:t>序号</w:t>
            </w:r>
          </w:p>
        </w:tc>
        <w:tc>
          <w:tcPr>
            <w:tcW w:w="2305" w:type="dxa"/>
          </w:tcPr>
          <w:p w14:paraId="51162C88">
            <w:pPr>
              <w:spacing w:before="120" w:beforeLines="50" w:line="360" w:lineRule="auto"/>
              <w:jc w:val="center"/>
              <w:rPr>
                <w:rFonts w:hint="eastAsia" w:ascii="宋体" w:hAnsi="宋体"/>
                <w:b/>
                <w:bCs/>
                <w:color w:val="auto"/>
                <w:szCs w:val="21"/>
                <w:highlight w:val="none"/>
              </w:rPr>
            </w:pPr>
            <w:r>
              <w:rPr>
                <w:rFonts w:hint="eastAsia" w:ascii="宋体" w:hAnsi="宋体"/>
                <w:b/>
                <w:bCs/>
                <w:color w:val="auto"/>
                <w:szCs w:val="21"/>
                <w:highlight w:val="none"/>
              </w:rPr>
              <w:t>产品名称</w:t>
            </w:r>
          </w:p>
        </w:tc>
        <w:tc>
          <w:tcPr>
            <w:tcW w:w="4597" w:type="dxa"/>
          </w:tcPr>
          <w:p w14:paraId="5AB75152">
            <w:pPr>
              <w:spacing w:before="120" w:beforeLines="50" w:line="360" w:lineRule="auto"/>
              <w:jc w:val="center"/>
              <w:rPr>
                <w:rFonts w:hint="eastAsia" w:ascii="宋体" w:hAnsi="宋体"/>
                <w:b/>
                <w:bCs/>
                <w:color w:val="auto"/>
                <w:szCs w:val="21"/>
                <w:highlight w:val="none"/>
              </w:rPr>
            </w:pPr>
            <w:r>
              <w:rPr>
                <w:rFonts w:hint="eastAsia" w:ascii="宋体" w:hAnsi="宋体"/>
                <w:b/>
                <w:bCs/>
                <w:color w:val="auto"/>
                <w:szCs w:val="21"/>
                <w:highlight w:val="none"/>
              </w:rPr>
              <w:t>品牌、型号、规格</w:t>
            </w:r>
          </w:p>
        </w:tc>
        <w:tc>
          <w:tcPr>
            <w:tcW w:w="1279" w:type="dxa"/>
          </w:tcPr>
          <w:p w14:paraId="45B7908E">
            <w:pPr>
              <w:spacing w:before="120" w:beforeLines="50" w:line="360" w:lineRule="auto"/>
              <w:jc w:val="center"/>
              <w:rPr>
                <w:rFonts w:hint="eastAsia" w:ascii="宋体" w:hAnsi="宋体"/>
                <w:b/>
                <w:bCs/>
                <w:color w:val="auto"/>
                <w:szCs w:val="21"/>
                <w:highlight w:val="none"/>
              </w:rPr>
            </w:pPr>
            <w:r>
              <w:rPr>
                <w:rFonts w:hint="eastAsia" w:ascii="宋体" w:hAnsi="宋体"/>
                <w:b/>
                <w:bCs/>
                <w:color w:val="auto"/>
                <w:szCs w:val="21"/>
                <w:highlight w:val="none"/>
              </w:rPr>
              <w:t>备注</w:t>
            </w:r>
          </w:p>
        </w:tc>
      </w:tr>
      <w:tr w14:paraId="14D33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tcPr>
          <w:p w14:paraId="37948E65">
            <w:pPr>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1</w:t>
            </w:r>
          </w:p>
        </w:tc>
        <w:tc>
          <w:tcPr>
            <w:tcW w:w="2305" w:type="dxa"/>
          </w:tcPr>
          <w:p w14:paraId="5927868A">
            <w:pPr>
              <w:spacing w:line="360" w:lineRule="auto"/>
              <w:rPr>
                <w:rFonts w:hint="eastAsia" w:ascii="宋体" w:hAnsi="宋体"/>
                <w:color w:val="auto"/>
                <w:szCs w:val="21"/>
                <w:highlight w:val="none"/>
              </w:rPr>
            </w:pPr>
          </w:p>
        </w:tc>
        <w:tc>
          <w:tcPr>
            <w:tcW w:w="4597" w:type="dxa"/>
          </w:tcPr>
          <w:p w14:paraId="5C6151C5">
            <w:pPr>
              <w:spacing w:line="360" w:lineRule="auto"/>
              <w:rPr>
                <w:rFonts w:hint="eastAsia" w:ascii="宋体" w:hAnsi="宋体"/>
                <w:color w:val="auto"/>
                <w:szCs w:val="21"/>
                <w:highlight w:val="none"/>
              </w:rPr>
            </w:pPr>
          </w:p>
        </w:tc>
        <w:tc>
          <w:tcPr>
            <w:tcW w:w="1279" w:type="dxa"/>
          </w:tcPr>
          <w:p w14:paraId="1C8AD327">
            <w:pPr>
              <w:spacing w:line="360" w:lineRule="auto"/>
              <w:rPr>
                <w:rFonts w:hint="eastAsia" w:ascii="宋体" w:hAnsi="宋体"/>
                <w:color w:val="auto"/>
                <w:szCs w:val="21"/>
                <w:highlight w:val="none"/>
              </w:rPr>
            </w:pPr>
          </w:p>
        </w:tc>
      </w:tr>
      <w:tr w14:paraId="12C90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tcPr>
          <w:p w14:paraId="06110CB2">
            <w:pPr>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2305" w:type="dxa"/>
          </w:tcPr>
          <w:p w14:paraId="5720ABE1">
            <w:pPr>
              <w:spacing w:line="360" w:lineRule="auto"/>
              <w:rPr>
                <w:rFonts w:hint="eastAsia" w:ascii="宋体" w:hAnsi="宋体"/>
                <w:color w:val="auto"/>
                <w:szCs w:val="21"/>
                <w:highlight w:val="none"/>
              </w:rPr>
            </w:pPr>
          </w:p>
        </w:tc>
        <w:tc>
          <w:tcPr>
            <w:tcW w:w="4597" w:type="dxa"/>
          </w:tcPr>
          <w:p w14:paraId="1B6EBED1">
            <w:pPr>
              <w:spacing w:line="360" w:lineRule="auto"/>
              <w:rPr>
                <w:rFonts w:hint="eastAsia" w:ascii="宋体" w:hAnsi="宋体"/>
                <w:color w:val="auto"/>
                <w:szCs w:val="21"/>
                <w:highlight w:val="none"/>
              </w:rPr>
            </w:pPr>
          </w:p>
        </w:tc>
        <w:tc>
          <w:tcPr>
            <w:tcW w:w="1279" w:type="dxa"/>
          </w:tcPr>
          <w:p w14:paraId="029B16DF">
            <w:pPr>
              <w:spacing w:line="360" w:lineRule="auto"/>
              <w:rPr>
                <w:rFonts w:hint="eastAsia" w:ascii="宋体" w:hAnsi="宋体"/>
                <w:color w:val="auto"/>
                <w:szCs w:val="21"/>
                <w:highlight w:val="none"/>
              </w:rPr>
            </w:pPr>
          </w:p>
        </w:tc>
      </w:tr>
      <w:tr w14:paraId="6AA8D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tcPr>
          <w:p w14:paraId="45E9D505">
            <w:pPr>
              <w:spacing w:before="120" w:beforeLines="50" w:line="360" w:lineRule="auto"/>
              <w:jc w:val="center"/>
              <w:rPr>
                <w:rFonts w:hint="eastAsia" w:ascii="宋体" w:hAnsi="宋体"/>
                <w:color w:val="auto"/>
                <w:szCs w:val="21"/>
                <w:highlight w:val="none"/>
              </w:rPr>
            </w:pPr>
            <w:r>
              <w:rPr>
                <w:rFonts w:hint="eastAsia" w:ascii="宋体" w:hAnsi="宋体"/>
                <w:color w:val="auto"/>
                <w:szCs w:val="21"/>
                <w:highlight w:val="none"/>
              </w:rPr>
              <w:t>3</w:t>
            </w:r>
          </w:p>
        </w:tc>
        <w:tc>
          <w:tcPr>
            <w:tcW w:w="2305" w:type="dxa"/>
          </w:tcPr>
          <w:p w14:paraId="369DF2A4">
            <w:pPr>
              <w:spacing w:line="360" w:lineRule="auto"/>
              <w:rPr>
                <w:rFonts w:hint="eastAsia" w:ascii="宋体" w:hAnsi="宋体"/>
                <w:color w:val="auto"/>
                <w:szCs w:val="21"/>
                <w:highlight w:val="none"/>
              </w:rPr>
            </w:pPr>
          </w:p>
        </w:tc>
        <w:tc>
          <w:tcPr>
            <w:tcW w:w="4597" w:type="dxa"/>
          </w:tcPr>
          <w:p w14:paraId="64723E8A">
            <w:pPr>
              <w:spacing w:line="360" w:lineRule="auto"/>
              <w:rPr>
                <w:rFonts w:hint="eastAsia" w:ascii="宋体" w:hAnsi="宋体"/>
                <w:color w:val="auto"/>
                <w:szCs w:val="21"/>
                <w:highlight w:val="none"/>
              </w:rPr>
            </w:pPr>
          </w:p>
        </w:tc>
        <w:tc>
          <w:tcPr>
            <w:tcW w:w="1279" w:type="dxa"/>
          </w:tcPr>
          <w:p w14:paraId="0DD6207C">
            <w:pPr>
              <w:spacing w:line="360" w:lineRule="auto"/>
              <w:rPr>
                <w:rFonts w:hint="eastAsia" w:ascii="宋体" w:hAnsi="宋体"/>
                <w:color w:val="auto"/>
                <w:szCs w:val="21"/>
                <w:highlight w:val="none"/>
              </w:rPr>
            </w:pPr>
          </w:p>
        </w:tc>
      </w:tr>
      <w:tr w14:paraId="4EBD8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5" w:type="dxa"/>
          </w:tcPr>
          <w:p w14:paraId="6AED855F">
            <w:pPr>
              <w:spacing w:before="120" w:beforeLines="50" w:line="360" w:lineRule="auto"/>
              <w:jc w:val="center"/>
              <w:rPr>
                <w:rFonts w:hint="eastAsia" w:ascii="宋体" w:hAnsi="宋体"/>
                <w:color w:val="auto"/>
                <w:szCs w:val="21"/>
                <w:highlight w:val="none"/>
              </w:rPr>
            </w:pPr>
            <w:r>
              <w:rPr>
                <w:rFonts w:ascii="宋体" w:hAnsi="宋体"/>
                <w:color w:val="auto"/>
                <w:szCs w:val="21"/>
                <w:highlight w:val="none"/>
              </w:rPr>
              <w:t>……</w:t>
            </w:r>
          </w:p>
        </w:tc>
        <w:tc>
          <w:tcPr>
            <w:tcW w:w="2305" w:type="dxa"/>
          </w:tcPr>
          <w:p w14:paraId="35226B8C">
            <w:pPr>
              <w:spacing w:line="360" w:lineRule="auto"/>
              <w:rPr>
                <w:rFonts w:hint="eastAsia" w:ascii="宋体" w:hAnsi="宋体"/>
                <w:color w:val="auto"/>
                <w:szCs w:val="21"/>
                <w:highlight w:val="none"/>
              </w:rPr>
            </w:pPr>
          </w:p>
        </w:tc>
        <w:tc>
          <w:tcPr>
            <w:tcW w:w="4597" w:type="dxa"/>
          </w:tcPr>
          <w:p w14:paraId="0484B234">
            <w:pPr>
              <w:spacing w:line="360" w:lineRule="auto"/>
              <w:rPr>
                <w:rFonts w:hint="eastAsia" w:ascii="宋体" w:hAnsi="宋体"/>
                <w:color w:val="auto"/>
                <w:szCs w:val="21"/>
                <w:highlight w:val="none"/>
              </w:rPr>
            </w:pPr>
          </w:p>
        </w:tc>
        <w:tc>
          <w:tcPr>
            <w:tcW w:w="1279" w:type="dxa"/>
          </w:tcPr>
          <w:p w14:paraId="71B52E48">
            <w:pPr>
              <w:spacing w:line="360" w:lineRule="auto"/>
              <w:rPr>
                <w:rFonts w:hint="eastAsia" w:ascii="宋体" w:hAnsi="宋体"/>
                <w:color w:val="auto"/>
                <w:szCs w:val="21"/>
                <w:highlight w:val="none"/>
              </w:rPr>
            </w:pPr>
          </w:p>
        </w:tc>
      </w:tr>
    </w:tbl>
    <w:p w14:paraId="57BB521D">
      <w:pPr>
        <w:spacing w:before="120" w:beforeLines="50" w:line="360" w:lineRule="auto"/>
        <w:rPr>
          <w:rFonts w:hint="eastAsia" w:ascii="宋体" w:hAnsi="宋体"/>
          <w:color w:val="auto"/>
          <w:szCs w:val="21"/>
          <w:highlight w:val="none"/>
        </w:rPr>
      </w:pPr>
      <w:r>
        <w:rPr>
          <w:rFonts w:hint="eastAsia" w:ascii="宋体" w:hAnsi="宋体"/>
          <w:color w:val="auto"/>
          <w:szCs w:val="21"/>
          <w:highlight w:val="none"/>
        </w:rPr>
        <w:t>注：1.若供应商拟提供的产品具有国家确定的认证机构出具，且处于有效期之内的《中国节能产品认证证书》的产品，则此表后须附该产品在《节能产品政府采购品目采购清单》（财库〔2019〕19号）中对应页面的扫描件和《中国节能产品认证证书》的扫描件，否则不予享受优先采购政策；若供应商拟提供的产品属于《节能产品政府采购品目采购清单》（财库〔2019〕19号）中政府强制采购的节能产品，则无需填报此表和提供相关材料。</w:t>
      </w:r>
    </w:p>
    <w:p w14:paraId="484A155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若供应商拟提供的产品具有国家确定的认证机构出具，且处于有效期之内的《中国环境标志产品认证证书》的产品，则此表后须附该产品在《环境标志产品政府采购品目清单》（财库〔2019〕18号）中对应页面的扫描件和《中国环境标志产品认证证书》的扫描件，否则不予享受优先采购政策。</w:t>
      </w:r>
    </w:p>
    <w:p w14:paraId="5D20F57B">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3.以上表格内容，供应商可以根据实际情况自行增加。</w:t>
      </w:r>
    </w:p>
    <w:p w14:paraId="547651D7">
      <w:pPr>
        <w:rPr>
          <w:color w:val="auto"/>
          <w:highlight w:val="none"/>
        </w:rPr>
      </w:pPr>
    </w:p>
    <w:p w14:paraId="5A2E7CFF">
      <w:pPr>
        <w:rPr>
          <w:color w:val="auto"/>
          <w:highlight w:val="none"/>
        </w:rPr>
      </w:pPr>
    </w:p>
    <w:p w14:paraId="7E804A17">
      <w:pPr>
        <w:spacing w:line="360" w:lineRule="auto"/>
        <w:jc w:val="center"/>
        <w:outlineLvl w:val="3"/>
        <w:rPr>
          <w:rFonts w:hint="eastAsia" w:asciiTheme="minorEastAsia" w:hAnsiTheme="minorEastAsia" w:eastAsiaTheme="minorEastAsia"/>
          <w:b/>
          <w:color w:val="auto"/>
          <w:sz w:val="28"/>
          <w:szCs w:val="28"/>
          <w:highlight w:val="none"/>
        </w:rPr>
        <w:sectPr>
          <w:pgSz w:w="11906" w:h="16838"/>
          <w:pgMar w:top="1440" w:right="1440" w:bottom="1440" w:left="1440" w:header="851" w:footer="851" w:gutter="0"/>
          <w:cols w:space="720" w:num="1"/>
          <w:docGrid w:linePitch="312" w:charSpace="0"/>
        </w:sectPr>
      </w:pPr>
      <w:bookmarkStart w:id="1199" w:name="_Toc138091112"/>
      <w:bookmarkStart w:id="1200" w:name="_Toc117641305"/>
      <w:bookmarkStart w:id="1201" w:name="_Toc116643205"/>
    </w:p>
    <w:bookmarkEnd w:id="1199"/>
    <w:bookmarkEnd w:id="1200"/>
    <w:bookmarkEnd w:id="1201"/>
    <w:p w14:paraId="357621BA">
      <w:pPr>
        <w:spacing w:line="360" w:lineRule="auto"/>
        <w:jc w:val="center"/>
        <w:outlineLvl w:val="2"/>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（十）其他</w:t>
      </w:r>
    </w:p>
    <w:tbl>
      <w:tblPr>
        <w:tblStyle w:val="5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58"/>
        <w:gridCol w:w="4933"/>
        <w:gridCol w:w="1134"/>
        <w:gridCol w:w="557"/>
      </w:tblGrid>
      <w:tr w14:paraId="39C53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675" w:type="dxa"/>
            <w:vAlign w:val="center"/>
          </w:tcPr>
          <w:p w14:paraId="0FF8A10F">
            <w:pPr>
              <w:spacing w:before="60" w:beforeLines="25" w:after="60" w:afterLines="25"/>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758" w:type="dxa"/>
            <w:vAlign w:val="center"/>
          </w:tcPr>
          <w:p w14:paraId="504770AC">
            <w:pPr>
              <w:widowControl/>
              <w:spacing w:before="60" w:beforeLines="25" w:after="60" w:afterLines="25"/>
              <w:rPr>
                <w:rFonts w:hint="eastAsia" w:ascii="宋体" w:hAnsi="宋体" w:cs="宋体"/>
                <w:b/>
                <w:color w:val="auto"/>
                <w:szCs w:val="21"/>
                <w:highlight w:val="none"/>
              </w:rPr>
            </w:pPr>
            <w:r>
              <w:rPr>
                <w:rFonts w:hint="eastAsia" w:ascii="宋体" w:hAnsi="宋体" w:cs="宋体"/>
                <w:b/>
                <w:color w:val="auto"/>
                <w:szCs w:val="21"/>
                <w:highlight w:val="none"/>
              </w:rPr>
              <w:t>符合性审查内容</w:t>
            </w:r>
          </w:p>
        </w:tc>
        <w:tc>
          <w:tcPr>
            <w:tcW w:w="4933" w:type="dxa"/>
            <w:vAlign w:val="center"/>
          </w:tcPr>
          <w:p w14:paraId="5FBA677A">
            <w:pPr>
              <w:widowControl/>
              <w:spacing w:before="60" w:beforeLines="25" w:after="60" w:afterLines="25"/>
              <w:ind w:firstLine="422"/>
              <w:jc w:val="center"/>
              <w:rPr>
                <w:rFonts w:hint="eastAsia" w:ascii="宋体" w:hAnsi="宋体" w:cs="宋体"/>
                <w:b/>
                <w:color w:val="auto"/>
                <w:szCs w:val="21"/>
                <w:highlight w:val="none"/>
              </w:rPr>
            </w:pPr>
            <w:r>
              <w:rPr>
                <w:rFonts w:hint="eastAsia" w:ascii="宋体" w:hAnsi="宋体" w:cs="宋体"/>
                <w:b/>
                <w:color w:val="auto"/>
                <w:szCs w:val="21"/>
                <w:highlight w:val="none"/>
              </w:rPr>
              <w:t>采购文件要求</w:t>
            </w:r>
          </w:p>
        </w:tc>
        <w:tc>
          <w:tcPr>
            <w:tcW w:w="1134" w:type="dxa"/>
            <w:vAlign w:val="center"/>
          </w:tcPr>
          <w:p w14:paraId="0D2089DE">
            <w:pPr>
              <w:spacing w:before="60" w:beforeLines="25" w:after="60" w:afterLines="25"/>
              <w:jc w:val="center"/>
              <w:rPr>
                <w:rFonts w:hint="eastAsia" w:ascii="宋体" w:hAnsi="宋体" w:cs="宋体"/>
                <w:b/>
                <w:color w:val="auto"/>
                <w:szCs w:val="21"/>
                <w:highlight w:val="none"/>
              </w:rPr>
            </w:pPr>
            <w:r>
              <w:rPr>
                <w:rFonts w:hint="eastAsia" w:ascii="宋体" w:hAnsi="宋体" w:cs="宋体"/>
                <w:b/>
                <w:color w:val="auto"/>
                <w:szCs w:val="21"/>
                <w:highlight w:val="none"/>
              </w:rPr>
              <w:t>投标文件</w:t>
            </w:r>
          </w:p>
          <w:p w14:paraId="3455B542">
            <w:pPr>
              <w:spacing w:before="60" w:beforeLines="25" w:after="60" w:afterLines="25"/>
              <w:jc w:val="center"/>
              <w:rPr>
                <w:rFonts w:hint="eastAsia" w:ascii="宋体" w:hAnsi="宋体" w:cs="宋体"/>
                <w:b/>
                <w:color w:val="auto"/>
                <w:szCs w:val="21"/>
                <w:highlight w:val="none"/>
              </w:rPr>
            </w:pPr>
            <w:r>
              <w:rPr>
                <w:rFonts w:hint="eastAsia" w:ascii="宋体" w:hAnsi="宋体" w:cs="宋体"/>
                <w:b/>
                <w:color w:val="auto"/>
                <w:szCs w:val="21"/>
                <w:highlight w:val="none"/>
              </w:rPr>
              <w:t>响应情况</w:t>
            </w:r>
          </w:p>
        </w:tc>
        <w:tc>
          <w:tcPr>
            <w:tcW w:w="557" w:type="dxa"/>
            <w:vAlign w:val="center"/>
          </w:tcPr>
          <w:p w14:paraId="571773E0">
            <w:pPr>
              <w:spacing w:before="60" w:beforeLines="25" w:after="60" w:afterLines="25"/>
              <w:jc w:val="center"/>
              <w:rPr>
                <w:rFonts w:hint="eastAsia" w:ascii="宋体" w:hAnsi="宋体" w:cs="宋体"/>
                <w:b/>
                <w:color w:val="auto"/>
                <w:szCs w:val="21"/>
                <w:highlight w:val="none"/>
              </w:rPr>
            </w:pPr>
            <w:r>
              <w:rPr>
                <w:rFonts w:hint="eastAsia" w:ascii="宋体" w:hAnsi="宋体" w:cs="宋体"/>
                <w:b/>
                <w:color w:val="auto"/>
                <w:szCs w:val="21"/>
                <w:highlight w:val="none"/>
              </w:rPr>
              <w:t>备注</w:t>
            </w:r>
          </w:p>
        </w:tc>
      </w:tr>
      <w:tr w14:paraId="518F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vAlign w:val="center"/>
          </w:tcPr>
          <w:p w14:paraId="5EAE07EF">
            <w:pPr>
              <w:spacing w:before="60" w:beforeLines="25" w:after="60" w:afterLines="25"/>
              <w:jc w:val="center"/>
              <w:rPr>
                <w:rFonts w:hint="eastAsia" w:ascii="宋体" w:hAnsi="宋体" w:cs="宋体"/>
                <w:color w:val="auto"/>
                <w:szCs w:val="24"/>
                <w:highlight w:val="none"/>
              </w:rPr>
            </w:pPr>
            <w:r>
              <w:rPr>
                <w:rFonts w:hint="eastAsia" w:ascii="宋体" w:hAnsi="宋体" w:cs="宋体"/>
                <w:color w:val="auto"/>
                <w:szCs w:val="24"/>
                <w:highlight w:val="none"/>
              </w:rPr>
              <w:t>1</w:t>
            </w:r>
          </w:p>
        </w:tc>
        <w:tc>
          <w:tcPr>
            <w:tcW w:w="1758" w:type="dxa"/>
            <w:vAlign w:val="center"/>
          </w:tcPr>
          <w:p w14:paraId="55734014">
            <w:pPr>
              <w:spacing w:before="60" w:beforeLines="25" w:after="60" w:afterLines="25"/>
              <w:jc w:val="center"/>
              <w:rPr>
                <w:rFonts w:hint="eastAsia" w:ascii="宋体" w:hAnsi="宋体" w:cs="宋体"/>
                <w:color w:val="auto"/>
                <w:szCs w:val="24"/>
                <w:highlight w:val="none"/>
              </w:rPr>
            </w:pPr>
            <w:r>
              <w:rPr>
                <w:rFonts w:asciiTheme="minorEastAsia" w:hAnsiTheme="minorEastAsia" w:eastAsiaTheme="minorEastAsia"/>
                <w:color w:val="auto"/>
                <w:highlight w:val="none"/>
              </w:rPr>
              <w:t>分包</w:t>
            </w:r>
          </w:p>
        </w:tc>
        <w:tc>
          <w:tcPr>
            <w:tcW w:w="4933" w:type="dxa"/>
            <w:vAlign w:val="center"/>
          </w:tcPr>
          <w:p w14:paraId="416E1A74">
            <w:pPr>
              <w:spacing w:before="120" w:beforeLines="50" w:after="60" w:afterLines="25" w:line="360" w:lineRule="auto"/>
              <w:jc w:val="left"/>
              <w:rPr>
                <w:rFonts w:hint="eastAsia" w:ascii="宋体" w:hAnsi="宋体" w:cs="宋体"/>
                <w:color w:val="auto"/>
                <w:szCs w:val="24"/>
                <w:highlight w:val="none"/>
              </w:rPr>
            </w:pPr>
            <w:r>
              <w:rPr>
                <w:rFonts w:hint="eastAsia" w:ascii="宋体" w:hAnsi="宋体" w:cs="宋体"/>
                <w:color w:val="auto"/>
                <w:szCs w:val="24"/>
                <w:highlight w:val="none"/>
              </w:rPr>
              <w:t>符合第二章“供应商须知前附表”第1.</w:t>
            </w:r>
            <w:r>
              <w:rPr>
                <w:rFonts w:ascii="宋体" w:hAnsi="宋体" w:cs="宋体"/>
                <w:color w:val="auto"/>
                <w:szCs w:val="24"/>
                <w:highlight w:val="none"/>
              </w:rPr>
              <w:t>11</w:t>
            </w:r>
            <w:r>
              <w:rPr>
                <w:rFonts w:hint="eastAsia" w:ascii="宋体" w:hAnsi="宋体" w:cs="宋体"/>
                <w:color w:val="auto"/>
                <w:szCs w:val="24"/>
                <w:highlight w:val="none"/>
              </w:rPr>
              <w:t>项规定</w:t>
            </w:r>
          </w:p>
        </w:tc>
        <w:tc>
          <w:tcPr>
            <w:tcW w:w="1134" w:type="dxa"/>
            <w:vAlign w:val="center"/>
          </w:tcPr>
          <w:p w14:paraId="37F9B027">
            <w:pPr>
              <w:spacing w:line="340" w:lineRule="exact"/>
              <w:jc w:val="left"/>
              <w:rPr>
                <w:rFonts w:hint="eastAsia" w:ascii="宋体" w:hAnsi="宋体" w:cs="宋体"/>
                <w:color w:val="auto"/>
                <w:szCs w:val="24"/>
                <w:highlight w:val="none"/>
              </w:rPr>
            </w:pPr>
          </w:p>
        </w:tc>
        <w:tc>
          <w:tcPr>
            <w:tcW w:w="557" w:type="dxa"/>
            <w:vAlign w:val="center"/>
          </w:tcPr>
          <w:p w14:paraId="00E7A41C">
            <w:pPr>
              <w:spacing w:line="340" w:lineRule="exact"/>
              <w:jc w:val="left"/>
              <w:rPr>
                <w:rFonts w:hint="eastAsia" w:ascii="宋体" w:hAnsi="宋体" w:cs="宋体"/>
                <w:color w:val="auto"/>
                <w:szCs w:val="24"/>
                <w:highlight w:val="none"/>
              </w:rPr>
            </w:pPr>
          </w:p>
        </w:tc>
      </w:tr>
      <w:tr w14:paraId="66C6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vAlign w:val="center"/>
          </w:tcPr>
          <w:p w14:paraId="077FCF63">
            <w:pPr>
              <w:spacing w:before="60" w:beforeLines="25" w:after="60" w:afterLines="25"/>
              <w:jc w:val="center"/>
              <w:rPr>
                <w:rFonts w:hint="eastAsia" w:ascii="宋体" w:hAnsi="宋体" w:cs="宋体"/>
                <w:color w:val="auto"/>
                <w:szCs w:val="24"/>
                <w:highlight w:val="none"/>
              </w:rPr>
            </w:pPr>
            <w:r>
              <w:rPr>
                <w:rFonts w:hint="eastAsia" w:ascii="宋体" w:hAnsi="宋体" w:cs="宋体"/>
                <w:color w:val="auto"/>
                <w:szCs w:val="24"/>
                <w:highlight w:val="none"/>
              </w:rPr>
              <w:t>2</w:t>
            </w:r>
          </w:p>
        </w:tc>
        <w:tc>
          <w:tcPr>
            <w:tcW w:w="1758" w:type="dxa"/>
            <w:vAlign w:val="center"/>
          </w:tcPr>
          <w:p w14:paraId="4D43C6C8">
            <w:pPr>
              <w:spacing w:before="60" w:beforeLines="25" w:after="60" w:afterLines="25"/>
              <w:jc w:val="center"/>
              <w:rPr>
                <w:rFonts w:hint="eastAsia" w:ascii="宋体" w:hAnsi="宋体" w:cs="宋体"/>
                <w:color w:val="auto"/>
                <w:szCs w:val="24"/>
                <w:highlight w:val="none"/>
              </w:rPr>
            </w:pPr>
            <w:r>
              <w:rPr>
                <w:rFonts w:asciiTheme="minorEastAsia" w:hAnsiTheme="minorEastAsia" w:eastAsiaTheme="minorEastAsia"/>
                <w:color w:val="auto"/>
                <w:highlight w:val="none"/>
              </w:rPr>
              <w:t>偏离</w:t>
            </w:r>
          </w:p>
        </w:tc>
        <w:tc>
          <w:tcPr>
            <w:tcW w:w="4933" w:type="dxa"/>
            <w:vAlign w:val="center"/>
          </w:tcPr>
          <w:p w14:paraId="3C2DBAE0">
            <w:pPr>
              <w:spacing w:before="120" w:beforeLines="50" w:after="60" w:afterLines="25" w:line="360" w:lineRule="auto"/>
              <w:jc w:val="left"/>
              <w:rPr>
                <w:rFonts w:hint="eastAsia" w:ascii="宋体" w:hAnsi="宋体" w:cs="宋体"/>
                <w:color w:val="auto"/>
                <w:szCs w:val="24"/>
                <w:highlight w:val="none"/>
              </w:rPr>
            </w:pPr>
            <w:r>
              <w:rPr>
                <w:rFonts w:hint="eastAsia" w:ascii="宋体" w:hAnsi="宋体" w:cs="宋体"/>
                <w:color w:val="auto"/>
                <w:szCs w:val="24"/>
                <w:highlight w:val="none"/>
              </w:rPr>
              <w:t>符合第二章“供应商须知前附表”第1.</w:t>
            </w:r>
            <w:r>
              <w:rPr>
                <w:rFonts w:ascii="宋体" w:hAnsi="宋体" w:cs="宋体"/>
                <w:color w:val="auto"/>
                <w:szCs w:val="24"/>
                <w:highlight w:val="none"/>
              </w:rPr>
              <w:t>12</w:t>
            </w:r>
            <w:r>
              <w:rPr>
                <w:rFonts w:hint="eastAsia" w:ascii="宋体" w:hAnsi="宋体" w:cs="宋体"/>
                <w:color w:val="auto"/>
                <w:szCs w:val="24"/>
                <w:highlight w:val="none"/>
              </w:rPr>
              <w:t>项规定</w:t>
            </w:r>
          </w:p>
        </w:tc>
        <w:tc>
          <w:tcPr>
            <w:tcW w:w="1134" w:type="dxa"/>
            <w:vAlign w:val="center"/>
          </w:tcPr>
          <w:p w14:paraId="41670382">
            <w:pPr>
              <w:spacing w:line="340" w:lineRule="exact"/>
              <w:jc w:val="left"/>
              <w:rPr>
                <w:rFonts w:hint="eastAsia" w:ascii="宋体" w:hAnsi="宋体" w:cs="宋体"/>
                <w:color w:val="auto"/>
                <w:szCs w:val="24"/>
                <w:highlight w:val="none"/>
              </w:rPr>
            </w:pPr>
          </w:p>
        </w:tc>
        <w:tc>
          <w:tcPr>
            <w:tcW w:w="557" w:type="dxa"/>
            <w:vAlign w:val="center"/>
          </w:tcPr>
          <w:p w14:paraId="27FE6DCA">
            <w:pPr>
              <w:spacing w:line="340" w:lineRule="exact"/>
              <w:jc w:val="left"/>
              <w:rPr>
                <w:rFonts w:hint="eastAsia" w:ascii="宋体" w:hAnsi="宋体" w:cs="宋体"/>
                <w:color w:val="auto"/>
                <w:szCs w:val="24"/>
                <w:highlight w:val="none"/>
              </w:rPr>
            </w:pPr>
          </w:p>
        </w:tc>
      </w:tr>
      <w:tr w14:paraId="285D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vAlign w:val="center"/>
          </w:tcPr>
          <w:p w14:paraId="706276B4">
            <w:pPr>
              <w:spacing w:before="60" w:beforeLines="25" w:after="60" w:afterLines="25"/>
              <w:jc w:val="center"/>
              <w:rPr>
                <w:rFonts w:hint="eastAsia" w:ascii="宋体" w:hAnsi="宋体" w:cs="宋体"/>
                <w:color w:val="auto"/>
                <w:szCs w:val="24"/>
                <w:highlight w:val="none"/>
              </w:rPr>
            </w:pPr>
            <w:r>
              <w:rPr>
                <w:rFonts w:hint="eastAsia" w:ascii="宋体" w:hAnsi="宋体" w:cs="宋体"/>
                <w:color w:val="auto"/>
                <w:szCs w:val="24"/>
                <w:highlight w:val="none"/>
              </w:rPr>
              <w:t>3</w:t>
            </w:r>
          </w:p>
        </w:tc>
        <w:tc>
          <w:tcPr>
            <w:tcW w:w="1758" w:type="dxa"/>
            <w:vAlign w:val="center"/>
          </w:tcPr>
          <w:p w14:paraId="0C70D499">
            <w:pPr>
              <w:spacing w:before="60" w:beforeLines="25" w:after="60" w:afterLines="25"/>
              <w:jc w:val="center"/>
              <w:rPr>
                <w:rFonts w:hint="eastAsia" w:ascii="宋体" w:hAnsi="宋体" w:cs="宋体"/>
                <w:color w:val="auto"/>
                <w:szCs w:val="24"/>
                <w:highlight w:val="none"/>
              </w:rPr>
            </w:pPr>
            <w:r>
              <w:rPr>
                <w:rFonts w:hint="eastAsia" w:ascii="宋体" w:hAnsi="宋体" w:cs="宋体"/>
                <w:color w:val="auto"/>
                <w:szCs w:val="24"/>
                <w:highlight w:val="none"/>
              </w:rPr>
              <w:t>投标内容</w:t>
            </w:r>
          </w:p>
        </w:tc>
        <w:tc>
          <w:tcPr>
            <w:tcW w:w="4933" w:type="dxa"/>
            <w:vAlign w:val="center"/>
          </w:tcPr>
          <w:p w14:paraId="5F98B923">
            <w:pPr>
              <w:spacing w:before="120" w:beforeLines="50" w:after="60" w:afterLines="25" w:line="360" w:lineRule="auto"/>
              <w:jc w:val="left"/>
              <w:rPr>
                <w:rFonts w:hint="eastAsia" w:ascii="宋体" w:hAnsi="宋体" w:cs="宋体"/>
                <w:color w:val="auto"/>
                <w:szCs w:val="24"/>
                <w:highlight w:val="none"/>
              </w:rPr>
            </w:pPr>
            <w:r>
              <w:rPr>
                <w:rFonts w:hint="eastAsia" w:ascii="宋体" w:hAnsi="宋体" w:cs="宋体"/>
                <w:color w:val="auto"/>
                <w:szCs w:val="24"/>
                <w:highlight w:val="none"/>
              </w:rPr>
              <w:t>符合第二章“供应商须知前附表”第1.3.1项规定</w:t>
            </w:r>
          </w:p>
        </w:tc>
        <w:tc>
          <w:tcPr>
            <w:tcW w:w="1134" w:type="dxa"/>
            <w:vAlign w:val="center"/>
          </w:tcPr>
          <w:p w14:paraId="01035F77">
            <w:pPr>
              <w:spacing w:line="340" w:lineRule="exact"/>
              <w:jc w:val="left"/>
              <w:rPr>
                <w:rFonts w:hint="eastAsia" w:ascii="宋体" w:hAnsi="宋体" w:cs="宋体"/>
                <w:color w:val="auto"/>
                <w:szCs w:val="24"/>
                <w:highlight w:val="none"/>
              </w:rPr>
            </w:pPr>
          </w:p>
        </w:tc>
        <w:tc>
          <w:tcPr>
            <w:tcW w:w="557" w:type="dxa"/>
            <w:vAlign w:val="center"/>
          </w:tcPr>
          <w:p w14:paraId="79721359">
            <w:pPr>
              <w:spacing w:line="340" w:lineRule="exact"/>
              <w:jc w:val="left"/>
              <w:rPr>
                <w:rFonts w:hint="eastAsia" w:ascii="宋体" w:hAnsi="宋体" w:cs="宋体"/>
                <w:color w:val="auto"/>
                <w:szCs w:val="24"/>
                <w:highlight w:val="none"/>
              </w:rPr>
            </w:pPr>
          </w:p>
        </w:tc>
      </w:tr>
      <w:tr w14:paraId="4F30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vAlign w:val="center"/>
          </w:tcPr>
          <w:p w14:paraId="181D9B60">
            <w:pPr>
              <w:spacing w:before="60" w:beforeLines="25" w:after="60" w:afterLines="25"/>
              <w:jc w:val="center"/>
              <w:rPr>
                <w:rFonts w:hint="eastAsia" w:ascii="宋体" w:hAnsi="宋体" w:cs="宋体"/>
                <w:color w:val="auto"/>
                <w:szCs w:val="24"/>
                <w:highlight w:val="none"/>
              </w:rPr>
            </w:pPr>
            <w:r>
              <w:rPr>
                <w:rFonts w:hint="eastAsia" w:ascii="宋体" w:hAnsi="宋体" w:cs="宋体"/>
                <w:color w:val="auto"/>
                <w:szCs w:val="24"/>
                <w:highlight w:val="none"/>
              </w:rPr>
              <w:t>4</w:t>
            </w:r>
          </w:p>
        </w:tc>
        <w:tc>
          <w:tcPr>
            <w:tcW w:w="1758" w:type="dxa"/>
            <w:vAlign w:val="center"/>
          </w:tcPr>
          <w:p w14:paraId="42DE7EE7">
            <w:pPr>
              <w:spacing w:before="60" w:beforeLines="25" w:after="60" w:afterLines="25"/>
              <w:jc w:val="center"/>
              <w:rPr>
                <w:rFonts w:hint="eastAsia" w:ascii="宋体" w:hAnsi="宋体" w:cs="宋体"/>
                <w:color w:val="auto"/>
                <w:szCs w:val="24"/>
                <w:highlight w:val="none"/>
              </w:rPr>
            </w:pPr>
            <w:r>
              <w:rPr>
                <w:rFonts w:hint="eastAsia" w:asciiTheme="minorEastAsia" w:hAnsiTheme="minorEastAsia" w:eastAsiaTheme="minorEastAsia"/>
                <w:color w:val="auto"/>
                <w:highlight w:val="none"/>
              </w:rPr>
              <w:t>交货期</w:t>
            </w:r>
          </w:p>
        </w:tc>
        <w:tc>
          <w:tcPr>
            <w:tcW w:w="4933" w:type="dxa"/>
            <w:vAlign w:val="center"/>
          </w:tcPr>
          <w:p w14:paraId="6CB73344">
            <w:pPr>
              <w:spacing w:before="120" w:beforeLines="50" w:after="60" w:afterLines="25" w:line="360" w:lineRule="auto"/>
              <w:jc w:val="left"/>
              <w:rPr>
                <w:rFonts w:hint="eastAsia" w:ascii="宋体" w:hAnsi="宋体" w:cs="宋体"/>
                <w:color w:val="auto"/>
                <w:szCs w:val="24"/>
                <w:highlight w:val="none"/>
              </w:rPr>
            </w:pPr>
            <w:r>
              <w:rPr>
                <w:rFonts w:hint="eastAsia" w:ascii="宋体" w:hAnsi="宋体" w:cs="宋体"/>
                <w:color w:val="auto"/>
                <w:szCs w:val="24"/>
                <w:highlight w:val="none"/>
              </w:rPr>
              <w:t>符合第二章“供应商须知前附表”第1.3.2项规定</w:t>
            </w:r>
          </w:p>
        </w:tc>
        <w:tc>
          <w:tcPr>
            <w:tcW w:w="1134" w:type="dxa"/>
            <w:vAlign w:val="center"/>
          </w:tcPr>
          <w:p w14:paraId="4B369F41">
            <w:pPr>
              <w:spacing w:line="340" w:lineRule="exact"/>
              <w:jc w:val="left"/>
              <w:rPr>
                <w:rFonts w:hint="eastAsia" w:ascii="宋体" w:hAnsi="宋体" w:cs="宋体"/>
                <w:color w:val="auto"/>
                <w:szCs w:val="24"/>
                <w:highlight w:val="none"/>
              </w:rPr>
            </w:pPr>
          </w:p>
        </w:tc>
        <w:tc>
          <w:tcPr>
            <w:tcW w:w="557" w:type="dxa"/>
            <w:vAlign w:val="center"/>
          </w:tcPr>
          <w:p w14:paraId="09885BA8">
            <w:pPr>
              <w:spacing w:line="340" w:lineRule="exact"/>
              <w:jc w:val="left"/>
              <w:rPr>
                <w:rFonts w:hint="eastAsia" w:ascii="宋体" w:hAnsi="宋体" w:cs="宋体"/>
                <w:color w:val="auto"/>
                <w:szCs w:val="24"/>
                <w:highlight w:val="none"/>
              </w:rPr>
            </w:pPr>
          </w:p>
        </w:tc>
      </w:tr>
      <w:tr w14:paraId="3504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vAlign w:val="center"/>
          </w:tcPr>
          <w:p w14:paraId="219DD434">
            <w:pPr>
              <w:spacing w:before="60" w:beforeLines="25" w:after="60" w:afterLines="25"/>
              <w:jc w:val="center"/>
              <w:rPr>
                <w:rFonts w:hint="eastAsia" w:ascii="宋体" w:hAnsi="宋体" w:cs="宋体"/>
                <w:color w:val="auto"/>
                <w:szCs w:val="24"/>
                <w:highlight w:val="none"/>
              </w:rPr>
            </w:pPr>
            <w:r>
              <w:rPr>
                <w:rFonts w:ascii="宋体" w:hAnsi="宋体" w:cs="宋体"/>
                <w:color w:val="auto"/>
                <w:szCs w:val="24"/>
                <w:highlight w:val="none"/>
              </w:rPr>
              <w:t>5</w:t>
            </w:r>
          </w:p>
        </w:tc>
        <w:tc>
          <w:tcPr>
            <w:tcW w:w="1758" w:type="dxa"/>
            <w:vAlign w:val="center"/>
          </w:tcPr>
          <w:p w14:paraId="3EE2A31C">
            <w:pPr>
              <w:spacing w:before="60" w:beforeLines="25" w:after="60" w:afterLines="25"/>
              <w:jc w:val="center"/>
              <w:rPr>
                <w:rFonts w:hint="eastAsia" w:ascii="宋体" w:hAnsi="宋体" w:cs="宋体"/>
                <w:color w:val="auto"/>
                <w:szCs w:val="24"/>
                <w:highlight w:val="none"/>
              </w:rPr>
            </w:pPr>
            <w:r>
              <w:rPr>
                <w:rFonts w:hint="eastAsia" w:asciiTheme="minorEastAsia" w:hAnsiTheme="minorEastAsia" w:eastAsiaTheme="minorEastAsia"/>
                <w:color w:val="auto"/>
                <w:highlight w:val="none"/>
              </w:rPr>
              <w:t>质量标准</w:t>
            </w:r>
          </w:p>
        </w:tc>
        <w:tc>
          <w:tcPr>
            <w:tcW w:w="4933" w:type="dxa"/>
            <w:vAlign w:val="center"/>
          </w:tcPr>
          <w:p w14:paraId="1798494F">
            <w:pPr>
              <w:spacing w:before="120" w:beforeLines="50" w:after="60" w:afterLines="25" w:line="360" w:lineRule="auto"/>
              <w:jc w:val="left"/>
              <w:rPr>
                <w:rFonts w:hint="eastAsia" w:ascii="宋体" w:hAnsi="宋体" w:cs="宋体"/>
                <w:color w:val="auto"/>
                <w:szCs w:val="24"/>
                <w:highlight w:val="none"/>
              </w:rPr>
            </w:pPr>
            <w:r>
              <w:rPr>
                <w:rFonts w:hint="eastAsia" w:ascii="宋体" w:hAnsi="宋体" w:cs="宋体"/>
                <w:color w:val="auto"/>
                <w:szCs w:val="24"/>
                <w:highlight w:val="none"/>
              </w:rPr>
              <w:t>符合第二章“供应商须知前附表”第1.3.3项规定</w:t>
            </w:r>
          </w:p>
        </w:tc>
        <w:tc>
          <w:tcPr>
            <w:tcW w:w="1134" w:type="dxa"/>
            <w:vAlign w:val="center"/>
          </w:tcPr>
          <w:p w14:paraId="484110E6">
            <w:pPr>
              <w:spacing w:line="340" w:lineRule="exact"/>
              <w:jc w:val="left"/>
              <w:rPr>
                <w:rFonts w:hint="eastAsia" w:ascii="宋体" w:hAnsi="宋体" w:cs="宋体"/>
                <w:color w:val="auto"/>
                <w:szCs w:val="24"/>
                <w:highlight w:val="none"/>
              </w:rPr>
            </w:pPr>
          </w:p>
        </w:tc>
        <w:tc>
          <w:tcPr>
            <w:tcW w:w="557" w:type="dxa"/>
            <w:vAlign w:val="center"/>
          </w:tcPr>
          <w:p w14:paraId="0332200D">
            <w:pPr>
              <w:spacing w:line="340" w:lineRule="exact"/>
              <w:jc w:val="left"/>
              <w:rPr>
                <w:rFonts w:hint="eastAsia" w:ascii="宋体" w:hAnsi="宋体" w:cs="宋体"/>
                <w:color w:val="auto"/>
                <w:szCs w:val="24"/>
                <w:highlight w:val="none"/>
              </w:rPr>
            </w:pPr>
          </w:p>
        </w:tc>
      </w:tr>
      <w:tr w14:paraId="23EF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vAlign w:val="center"/>
          </w:tcPr>
          <w:p w14:paraId="7D3FE424">
            <w:pPr>
              <w:spacing w:before="60" w:beforeLines="25" w:after="60" w:afterLines="25"/>
              <w:jc w:val="center"/>
              <w:rPr>
                <w:rFonts w:hint="eastAsia" w:ascii="宋体" w:hAnsi="宋体" w:cs="宋体"/>
                <w:color w:val="auto"/>
                <w:szCs w:val="24"/>
                <w:highlight w:val="none"/>
              </w:rPr>
            </w:pPr>
            <w:r>
              <w:rPr>
                <w:rFonts w:hint="eastAsia" w:ascii="宋体" w:hAnsi="宋体" w:cs="宋体"/>
                <w:color w:val="auto"/>
                <w:szCs w:val="24"/>
                <w:highlight w:val="none"/>
              </w:rPr>
              <w:t>6</w:t>
            </w:r>
          </w:p>
        </w:tc>
        <w:tc>
          <w:tcPr>
            <w:tcW w:w="1758" w:type="dxa"/>
            <w:vAlign w:val="center"/>
          </w:tcPr>
          <w:p w14:paraId="17203DEE">
            <w:pPr>
              <w:spacing w:before="60" w:beforeLines="25" w:after="60" w:afterLines="25"/>
              <w:jc w:val="center"/>
              <w:rPr>
                <w:rFonts w:hint="eastAsia" w:asciiTheme="minorEastAsia" w:hAnsiTheme="minorEastAsia" w:eastAsiaTheme="minorEastAsia"/>
                <w:color w:val="auto"/>
                <w:highlight w:val="none"/>
              </w:rPr>
            </w:pPr>
            <w:r>
              <w:rPr>
                <w:rFonts w:hint="eastAsia" w:ascii="宋体" w:hAnsi="宋体"/>
                <w:color w:val="auto"/>
                <w:highlight w:val="none"/>
              </w:rPr>
              <w:t>非进口产品</w:t>
            </w:r>
          </w:p>
        </w:tc>
        <w:tc>
          <w:tcPr>
            <w:tcW w:w="4933" w:type="dxa"/>
            <w:vAlign w:val="center"/>
          </w:tcPr>
          <w:p w14:paraId="4AF488E2">
            <w:pPr>
              <w:spacing w:before="120" w:beforeLines="50" w:after="60" w:afterLines="25" w:line="360" w:lineRule="auto"/>
              <w:jc w:val="left"/>
              <w:rPr>
                <w:rFonts w:hint="eastAsia" w:ascii="宋体" w:hAnsi="宋体" w:cs="宋体"/>
                <w:color w:val="auto"/>
                <w:szCs w:val="24"/>
                <w:highlight w:val="none"/>
              </w:rPr>
            </w:pPr>
            <w:r>
              <w:rPr>
                <w:rFonts w:hint="eastAsia" w:ascii="宋体" w:hAnsi="宋体" w:cs="宋体"/>
                <w:color w:val="auto"/>
                <w:szCs w:val="24"/>
                <w:highlight w:val="none"/>
              </w:rPr>
              <w:t>符合第二章“供应商须知前附表”第1.3.4项规定</w:t>
            </w:r>
          </w:p>
        </w:tc>
        <w:tc>
          <w:tcPr>
            <w:tcW w:w="1134" w:type="dxa"/>
            <w:vAlign w:val="center"/>
          </w:tcPr>
          <w:p w14:paraId="22343380">
            <w:pPr>
              <w:spacing w:line="340" w:lineRule="exact"/>
              <w:jc w:val="left"/>
              <w:rPr>
                <w:rFonts w:hint="eastAsia" w:ascii="宋体" w:hAnsi="宋体" w:cs="宋体"/>
                <w:color w:val="auto"/>
                <w:szCs w:val="24"/>
                <w:highlight w:val="none"/>
              </w:rPr>
            </w:pPr>
          </w:p>
        </w:tc>
        <w:tc>
          <w:tcPr>
            <w:tcW w:w="557" w:type="dxa"/>
            <w:vAlign w:val="center"/>
          </w:tcPr>
          <w:p w14:paraId="47A87078">
            <w:pPr>
              <w:spacing w:line="340" w:lineRule="exact"/>
              <w:jc w:val="left"/>
              <w:rPr>
                <w:rFonts w:hint="eastAsia" w:ascii="宋体" w:hAnsi="宋体" w:cs="宋体"/>
                <w:color w:val="auto"/>
                <w:szCs w:val="24"/>
                <w:highlight w:val="none"/>
              </w:rPr>
            </w:pPr>
          </w:p>
        </w:tc>
      </w:tr>
      <w:tr w14:paraId="0C45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vAlign w:val="center"/>
          </w:tcPr>
          <w:p w14:paraId="3696E83B">
            <w:pPr>
              <w:spacing w:before="60" w:beforeLines="25" w:after="60" w:afterLines="25"/>
              <w:jc w:val="center"/>
              <w:rPr>
                <w:rFonts w:hint="eastAsia" w:ascii="宋体" w:hAnsi="宋体" w:cs="宋体"/>
                <w:color w:val="auto"/>
                <w:szCs w:val="24"/>
                <w:highlight w:val="none"/>
              </w:rPr>
            </w:pPr>
            <w:r>
              <w:rPr>
                <w:rFonts w:hint="eastAsia" w:ascii="宋体" w:hAnsi="宋体" w:cs="宋体"/>
                <w:color w:val="auto"/>
                <w:szCs w:val="24"/>
                <w:highlight w:val="none"/>
              </w:rPr>
              <w:t>7</w:t>
            </w:r>
          </w:p>
        </w:tc>
        <w:tc>
          <w:tcPr>
            <w:tcW w:w="1758" w:type="dxa"/>
            <w:vAlign w:val="center"/>
          </w:tcPr>
          <w:p w14:paraId="5657ECC2">
            <w:pPr>
              <w:spacing w:before="60" w:beforeLines="25" w:after="60" w:afterLines="25"/>
              <w:jc w:val="center"/>
              <w:rPr>
                <w:rFonts w:hint="eastAsia" w:asciiTheme="minorEastAsia" w:hAnsiTheme="minorEastAsia" w:eastAsiaTheme="minorEastAsia"/>
                <w:color w:val="auto"/>
                <w:highlight w:val="none"/>
              </w:rPr>
            </w:pPr>
            <w:r>
              <w:rPr>
                <w:rFonts w:ascii="宋体" w:hAnsi="宋体"/>
                <w:color w:val="auto"/>
                <w:szCs w:val="21"/>
                <w:highlight w:val="none"/>
              </w:rPr>
              <w:t>质保期</w:t>
            </w:r>
          </w:p>
        </w:tc>
        <w:tc>
          <w:tcPr>
            <w:tcW w:w="4933" w:type="dxa"/>
            <w:vAlign w:val="center"/>
          </w:tcPr>
          <w:p w14:paraId="0622B9B4">
            <w:pPr>
              <w:spacing w:before="120" w:beforeLines="50" w:after="60" w:afterLines="25" w:line="360" w:lineRule="auto"/>
              <w:jc w:val="left"/>
              <w:rPr>
                <w:rFonts w:hint="eastAsia" w:ascii="宋体" w:hAnsi="宋体" w:cs="宋体"/>
                <w:color w:val="auto"/>
                <w:szCs w:val="24"/>
                <w:highlight w:val="none"/>
              </w:rPr>
            </w:pPr>
            <w:r>
              <w:rPr>
                <w:rFonts w:hint="eastAsia" w:ascii="宋体" w:hAnsi="宋体" w:cs="宋体"/>
                <w:color w:val="auto"/>
                <w:szCs w:val="24"/>
                <w:highlight w:val="none"/>
              </w:rPr>
              <w:t>符合第二章“供应商须知前附表”第1.3.5项规定</w:t>
            </w:r>
          </w:p>
        </w:tc>
        <w:tc>
          <w:tcPr>
            <w:tcW w:w="1134" w:type="dxa"/>
            <w:vAlign w:val="center"/>
          </w:tcPr>
          <w:p w14:paraId="7D3ADF17">
            <w:pPr>
              <w:spacing w:line="340" w:lineRule="exact"/>
              <w:jc w:val="left"/>
              <w:rPr>
                <w:rFonts w:hint="eastAsia" w:ascii="宋体" w:hAnsi="宋体" w:cs="宋体"/>
                <w:color w:val="auto"/>
                <w:szCs w:val="24"/>
                <w:highlight w:val="none"/>
              </w:rPr>
            </w:pPr>
          </w:p>
        </w:tc>
        <w:tc>
          <w:tcPr>
            <w:tcW w:w="557" w:type="dxa"/>
            <w:vAlign w:val="center"/>
          </w:tcPr>
          <w:p w14:paraId="568D781B">
            <w:pPr>
              <w:spacing w:line="340" w:lineRule="exact"/>
              <w:jc w:val="left"/>
              <w:rPr>
                <w:rFonts w:hint="eastAsia" w:ascii="宋体" w:hAnsi="宋体" w:cs="宋体"/>
                <w:color w:val="auto"/>
                <w:szCs w:val="24"/>
                <w:highlight w:val="none"/>
              </w:rPr>
            </w:pPr>
          </w:p>
        </w:tc>
      </w:tr>
      <w:tr w14:paraId="3FEE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vAlign w:val="center"/>
          </w:tcPr>
          <w:p w14:paraId="60BE5D4D">
            <w:pPr>
              <w:spacing w:before="60" w:beforeLines="25" w:after="60" w:afterLines="25"/>
              <w:jc w:val="center"/>
              <w:rPr>
                <w:rFonts w:hint="eastAsia" w:ascii="宋体" w:hAnsi="宋体" w:cs="宋体"/>
                <w:color w:val="auto"/>
                <w:szCs w:val="24"/>
                <w:highlight w:val="none"/>
              </w:rPr>
            </w:pPr>
            <w:r>
              <w:rPr>
                <w:rFonts w:hint="eastAsia" w:ascii="宋体" w:hAnsi="宋体" w:cs="宋体"/>
                <w:color w:val="auto"/>
                <w:szCs w:val="24"/>
                <w:highlight w:val="none"/>
              </w:rPr>
              <w:t>8</w:t>
            </w:r>
          </w:p>
        </w:tc>
        <w:tc>
          <w:tcPr>
            <w:tcW w:w="1758" w:type="dxa"/>
            <w:vAlign w:val="center"/>
          </w:tcPr>
          <w:p w14:paraId="020E502F">
            <w:pPr>
              <w:wordWrap w:val="0"/>
              <w:autoSpaceDE w:val="0"/>
              <w:autoSpaceDN w:val="0"/>
              <w:spacing w:after="100" w:afterAutospacing="1"/>
              <w:contextualSpacing/>
              <w:jc w:val="center"/>
              <w:rPr>
                <w:rFonts w:hint="eastAsia" w:ascii="宋体" w:hAnsi="宋体"/>
                <w:color w:val="auto"/>
                <w:szCs w:val="21"/>
                <w:highlight w:val="none"/>
              </w:rPr>
            </w:pPr>
            <w:r>
              <w:rPr>
                <w:rFonts w:hint="eastAsia" w:asciiTheme="minorEastAsia" w:hAnsiTheme="minorEastAsia" w:eastAsiaTheme="minorEastAsia"/>
                <w:color w:val="auto"/>
                <w:highlight w:val="none"/>
              </w:rPr>
              <w:t>联合体投标</w:t>
            </w:r>
          </w:p>
        </w:tc>
        <w:tc>
          <w:tcPr>
            <w:tcW w:w="4933" w:type="dxa"/>
            <w:vAlign w:val="center"/>
          </w:tcPr>
          <w:p w14:paraId="7A26BC30">
            <w:pPr>
              <w:spacing w:before="120" w:beforeLines="50" w:after="60" w:afterLines="25" w:line="360" w:lineRule="auto"/>
              <w:jc w:val="left"/>
              <w:rPr>
                <w:rFonts w:hint="eastAsia" w:ascii="宋体" w:hAnsi="宋体" w:cs="宋体"/>
                <w:color w:val="auto"/>
                <w:szCs w:val="24"/>
                <w:highlight w:val="none"/>
              </w:rPr>
            </w:pPr>
            <w:r>
              <w:rPr>
                <w:rFonts w:hint="eastAsia" w:ascii="宋体" w:hAnsi="宋体" w:cs="宋体"/>
                <w:color w:val="auto"/>
                <w:szCs w:val="24"/>
                <w:highlight w:val="none"/>
              </w:rPr>
              <w:t>符合第二章“供应商须知前附表”第1.4.</w:t>
            </w:r>
            <w:r>
              <w:rPr>
                <w:rFonts w:ascii="宋体" w:hAnsi="宋体" w:cs="宋体"/>
                <w:color w:val="auto"/>
                <w:szCs w:val="24"/>
                <w:highlight w:val="none"/>
              </w:rPr>
              <w:t>2</w:t>
            </w:r>
            <w:r>
              <w:rPr>
                <w:rFonts w:hint="eastAsia" w:ascii="宋体" w:hAnsi="宋体" w:cs="宋体"/>
                <w:color w:val="auto"/>
                <w:szCs w:val="24"/>
                <w:highlight w:val="none"/>
              </w:rPr>
              <w:t>项规定</w:t>
            </w:r>
          </w:p>
        </w:tc>
        <w:tc>
          <w:tcPr>
            <w:tcW w:w="1134" w:type="dxa"/>
            <w:vAlign w:val="center"/>
          </w:tcPr>
          <w:p w14:paraId="3B0E8895">
            <w:pPr>
              <w:spacing w:line="340" w:lineRule="exact"/>
              <w:jc w:val="left"/>
              <w:rPr>
                <w:rFonts w:hint="eastAsia" w:ascii="宋体" w:hAnsi="宋体" w:cs="宋体"/>
                <w:color w:val="auto"/>
                <w:szCs w:val="24"/>
                <w:highlight w:val="none"/>
              </w:rPr>
            </w:pPr>
          </w:p>
        </w:tc>
        <w:tc>
          <w:tcPr>
            <w:tcW w:w="557" w:type="dxa"/>
            <w:vAlign w:val="center"/>
          </w:tcPr>
          <w:p w14:paraId="379A925F">
            <w:pPr>
              <w:spacing w:line="340" w:lineRule="exact"/>
              <w:jc w:val="left"/>
              <w:rPr>
                <w:rFonts w:hint="eastAsia" w:ascii="宋体" w:hAnsi="宋体" w:cs="宋体"/>
                <w:color w:val="auto"/>
                <w:szCs w:val="24"/>
                <w:highlight w:val="none"/>
              </w:rPr>
            </w:pPr>
          </w:p>
        </w:tc>
      </w:tr>
      <w:tr w14:paraId="3EFB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vAlign w:val="center"/>
          </w:tcPr>
          <w:p w14:paraId="2DC089D8">
            <w:pPr>
              <w:spacing w:before="60" w:beforeLines="25" w:after="60" w:afterLines="25"/>
              <w:jc w:val="center"/>
              <w:rPr>
                <w:rFonts w:hint="eastAsia" w:ascii="宋体" w:hAnsi="宋体" w:cs="宋体"/>
                <w:color w:val="auto"/>
                <w:szCs w:val="24"/>
                <w:highlight w:val="none"/>
              </w:rPr>
            </w:pPr>
            <w:r>
              <w:rPr>
                <w:rFonts w:hint="eastAsia" w:ascii="宋体" w:hAnsi="宋体" w:cs="宋体"/>
                <w:color w:val="auto"/>
                <w:szCs w:val="24"/>
                <w:highlight w:val="none"/>
              </w:rPr>
              <w:t>9</w:t>
            </w:r>
          </w:p>
        </w:tc>
        <w:tc>
          <w:tcPr>
            <w:tcW w:w="1758" w:type="dxa"/>
            <w:vAlign w:val="center"/>
          </w:tcPr>
          <w:p w14:paraId="4E74DFB6">
            <w:pPr>
              <w:spacing w:before="60" w:beforeLines="25" w:after="60" w:afterLines="25"/>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投标有效期</w:t>
            </w:r>
          </w:p>
        </w:tc>
        <w:tc>
          <w:tcPr>
            <w:tcW w:w="4933" w:type="dxa"/>
            <w:vAlign w:val="center"/>
          </w:tcPr>
          <w:p w14:paraId="74B72474">
            <w:pPr>
              <w:spacing w:before="120" w:beforeLines="50" w:after="60" w:afterLines="25" w:line="360" w:lineRule="auto"/>
              <w:jc w:val="left"/>
              <w:rPr>
                <w:rFonts w:hint="eastAsia" w:ascii="宋体" w:hAnsi="宋体" w:cs="宋体"/>
                <w:color w:val="auto"/>
                <w:szCs w:val="24"/>
                <w:highlight w:val="none"/>
              </w:rPr>
            </w:pPr>
            <w:r>
              <w:rPr>
                <w:rFonts w:hint="eastAsia" w:ascii="宋体" w:hAnsi="宋体" w:cs="宋体"/>
                <w:color w:val="auto"/>
                <w:szCs w:val="24"/>
                <w:highlight w:val="none"/>
              </w:rPr>
              <w:t>符合第二章“供应商须知前附表”第</w:t>
            </w:r>
            <w:r>
              <w:rPr>
                <w:rFonts w:ascii="宋体" w:hAnsi="宋体" w:cs="宋体"/>
                <w:color w:val="auto"/>
                <w:szCs w:val="24"/>
                <w:highlight w:val="none"/>
              </w:rPr>
              <w:t>3.3.1</w:t>
            </w:r>
            <w:r>
              <w:rPr>
                <w:rFonts w:hint="eastAsia" w:ascii="宋体" w:hAnsi="宋体" w:cs="宋体"/>
                <w:color w:val="auto"/>
                <w:szCs w:val="24"/>
                <w:highlight w:val="none"/>
              </w:rPr>
              <w:t>项规定</w:t>
            </w:r>
          </w:p>
        </w:tc>
        <w:tc>
          <w:tcPr>
            <w:tcW w:w="1134" w:type="dxa"/>
            <w:vAlign w:val="center"/>
          </w:tcPr>
          <w:p w14:paraId="30FE6017">
            <w:pPr>
              <w:spacing w:line="340" w:lineRule="exact"/>
              <w:jc w:val="left"/>
              <w:rPr>
                <w:rFonts w:hint="eastAsia" w:ascii="宋体" w:hAnsi="宋体" w:cs="宋体"/>
                <w:color w:val="auto"/>
                <w:szCs w:val="24"/>
                <w:highlight w:val="none"/>
              </w:rPr>
            </w:pPr>
          </w:p>
        </w:tc>
        <w:tc>
          <w:tcPr>
            <w:tcW w:w="557" w:type="dxa"/>
            <w:vAlign w:val="center"/>
          </w:tcPr>
          <w:p w14:paraId="29B92634">
            <w:pPr>
              <w:spacing w:line="340" w:lineRule="exact"/>
              <w:jc w:val="left"/>
              <w:rPr>
                <w:rFonts w:hint="eastAsia" w:ascii="宋体" w:hAnsi="宋体" w:cs="宋体"/>
                <w:color w:val="auto"/>
                <w:szCs w:val="24"/>
                <w:highlight w:val="none"/>
              </w:rPr>
            </w:pPr>
          </w:p>
        </w:tc>
      </w:tr>
      <w:tr w14:paraId="10E3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75" w:type="dxa"/>
            <w:vAlign w:val="center"/>
          </w:tcPr>
          <w:p w14:paraId="4B2612E1">
            <w:pPr>
              <w:spacing w:before="60" w:beforeLines="25" w:after="60" w:afterLines="25"/>
              <w:jc w:val="center"/>
              <w:rPr>
                <w:rFonts w:hint="eastAsia" w:ascii="宋体" w:hAnsi="宋体" w:cs="宋体"/>
                <w:color w:val="auto"/>
                <w:szCs w:val="24"/>
                <w:highlight w:val="none"/>
              </w:rPr>
            </w:pPr>
            <w:r>
              <w:rPr>
                <w:rFonts w:hint="eastAsia" w:ascii="宋体" w:hAnsi="宋体" w:cs="宋体"/>
                <w:color w:val="auto"/>
                <w:szCs w:val="24"/>
                <w:highlight w:val="none"/>
              </w:rPr>
              <w:t>10</w:t>
            </w:r>
          </w:p>
        </w:tc>
        <w:tc>
          <w:tcPr>
            <w:tcW w:w="1758" w:type="dxa"/>
            <w:vAlign w:val="center"/>
          </w:tcPr>
          <w:p w14:paraId="0EAF185C">
            <w:pPr>
              <w:spacing w:before="60" w:beforeLines="25" w:after="60" w:afterLines="25"/>
              <w:jc w:val="center"/>
              <w:rPr>
                <w:rFonts w:hint="eastAsia" w:asciiTheme="minorEastAsia" w:hAnsiTheme="minorEastAsia" w:eastAsiaTheme="minorEastAsia"/>
                <w:color w:val="auto"/>
                <w:highlight w:val="none"/>
              </w:rPr>
            </w:pPr>
            <w:r>
              <w:rPr>
                <w:rFonts w:hint="eastAsia" w:ascii="宋体" w:hAnsi="宋体"/>
                <w:color w:val="auto"/>
                <w:szCs w:val="21"/>
                <w:highlight w:val="none"/>
              </w:rPr>
              <w:t>投标文件的签署</w:t>
            </w:r>
          </w:p>
        </w:tc>
        <w:tc>
          <w:tcPr>
            <w:tcW w:w="4933" w:type="dxa"/>
            <w:vAlign w:val="center"/>
          </w:tcPr>
          <w:p w14:paraId="6E4633FF">
            <w:pPr>
              <w:spacing w:before="120" w:beforeLines="50" w:after="60" w:afterLines="25" w:line="360" w:lineRule="auto"/>
              <w:jc w:val="left"/>
              <w:rPr>
                <w:rFonts w:hint="eastAsia" w:ascii="宋体" w:hAnsi="宋体" w:cs="宋体"/>
                <w:color w:val="auto"/>
                <w:szCs w:val="24"/>
                <w:highlight w:val="none"/>
              </w:rPr>
            </w:pPr>
            <w:r>
              <w:rPr>
                <w:rFonts w:hint="eastAsia" w:ascii="宋体" w:hAnsi="宋体" w:cs="宋体"/>
                <w:color w:val="auto"/>
                <w:szCs w:val="24"/>
                <w:highlight w:val="none"/>
              </w:rPr>
              <w:t>符合</w:t>
            </w:r>
            <w:r>
              <w:rPr>
                <w:rFonts w:hint="eastAsia" w:asciiTheme="minorEastAsia" w:hAnsiTheme="minorEastAsia" w:eastAsiaTheme="minorEastAsia"/>
                <w:color w:val="auto"/>
                <w:szCs w:val="21"/>
                <w:highlight w:val="none"/>
              </w:rPr>
              <w:t>第二章</w:t>
            </w:r>
            <w:r>
              <w:rPr>
                <w:rFonts w:hint="eastAsia" w:ascii="宋体" w:hAnsi="宋体" w:cs="宋体"/>
                <w:color w:val="auto"/>
                <w:szCs w:val="24"/>
                <w:highlight w:val="none"/>
              </w:rPr>
              <w:t>“供应商须知前附表”第3.7.3项规定</w:t>
            </w:r>
          </w:p>
        </w:tc>
        <w:tc>
          <w:tcPr>
            <w:tcW w:w="1134" w:type="dxa"/>
            <w:vAlign w:val="center"/>
          </w:tcPr>
          <w:p w14:paraId="1645AEC8">
            <w:pPr>
              <w:spacing w:line="340" w:lineRule="exact"/>
              <w:jc w:val="left"/>
              <w:rPr>
                <w:rFonts w:hint="eastAsia" w:ascii="宋体" w:hAnsi="宋体" w:cs="宋体"/>
                <w:color w:val="auto"/>
                <w:szCs w:val="24"/>
                <w:highlight w:val="none"/>
              </w:rPr>
            </w:pPr>
          </w:p>
        </w:tc>
        <w:tc>
          <w:tcPr>
            <w:tcW w:w="557" w:type="dxa"/>
            <w:vAlign w:val="center"/>
          </w:tcPr>
          <w:p w14:paraId="0A4EECED">
            <w:pPr>
              <w:spacing w:line="340" w:lineRule="exact"/>
              <w:jc w:val="left"/>
              <w:rPr>
                <w:rFonts w:hint="eastAsia" w:ascii="宋体" w:hAnsi="宋体" w:cs="宋体"/>
                <w:color w:val="auto"/>
                <w:szCs w:val="24"/>
                <w:highlight w:val="none"/>
              </w:rPr>
            </w:pPr>
          </w:p>
        </w:tc>
      </w:tr>
    </w:tbl>
    <w:p w14:paraId="13B0C3D4">
      <w:pPr>
        <w:autoSpaceDE w:val="0"/>
        <w:autoSpaceDN w:val="0"/>
        <w:adjustRightInd w:val="0"/>
        <w:spacing w:before="120" w:beforeLines="50" w:line="360" w:lineRule="auto"/>
        <w:ind w:firstLine="420" w:firstLineChars="200"/>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注：供应商在编制投标文件时，须根据采购文件的要求，在以上表格的“供应商响应情况”一栏中填写响应情况或做出说明。若供应商所填写的响应情况不符合采购文件的相关要求或存在负偏离的，其投标文件作否决处理。</w:t>
      </w:r>
    </w:p>
    <w:p w14:paraId="7F555376">
      <w:pPr>
        <w:autoSpaceDE w:val="0"/>
        <w:autoSpaceDN w:val="0"/>
        <w:adjustRightInd w:val="0"/>
        <w:spacing w:line="480" w:lineRule="auto"/>
        <w:jc w:val="left"/>
        <w:rPr>
          <w:rFonts w:hint="eastAsia" w:asciiTheme="minorEastAsia" w:hAnsiTheme="minorEastAsia" w:eastAsiaTheme="minorEastAsia"/>
          <w:bCs/>
          <w:color w:val="auto"/>
          <w:szCs w:val="21"/>
          <w:highlight w:val="none"/>
        </w:rPr>
      </w:pPr>
    </w:p>
    <w:bookmarkEnd w:id="1186"/>
    <w:bookmarkEnd w:id="1187"/>
    <w:p w14:paraId="076FBF98">
      <w:pPr>
        <w:autoSpaceDE w:val="0"/>
        <w:autoSpaceDN w:val="0"/>
        <w:adjustRightInd w:val="0"/>
        <w:spacing w:line="360" w:lineRule="auto"/>
        <w:ind w:firstLine="4252" w:firstLineChars="2025"/>
        <w:jc w:val="left"/>
        <w:rPr>
          <w:rFonts w:hint="eastAsia" w:asciiTheme="minorEastAsia" w:hAnsiTheme="minorEastAsia" w:eastAsiaTheme="minorEastAsia"/>
          <w:bCs/>
          <w:color w:val="auto"/>
          <w:szCs w:val="21"/>
          <w:highlight w:val="none"/>
        </w:rPr>
      </w:pPr>
      <w:bookmarkStart w:id="1202" w:name="_Toc28025"/>
      <w:bookmarkStart w:id="1203" w:name="_Toc128658857"/>
      <w:r>
        <w:rPr>
          <w:rFonts w:hint="eastAsia" w:asciiTheme="minorEastAsia" w:hAnsiTheme="minorEastAsia" w:eastAsiaTheme="minorEastAsia"/>
          <w:bCs/>
          <w:color w:val="auto"/>
          <w:szCs w:val="21"/>
          <w:highlight w:val="none"/>
        </w:rPr>
        <w:t>供应商：</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w:t>
      </w:r>
      <w:r>
        <w:rPr>
          <w:rFonts w:hint="eastAsia" w:asciiTheme="minorEastAsia" w:hAnsiTheme="minorEastAsia" w:eastAsiaTheme="minorEastAsia"/>
          <w:color w:val="auto"/>
          <w:szCs w:val="21"/>
          <w:highlight w:val="none"/>
          <w:u w:val="single"/>
        </w:rPr>
        <w:t>电子签章</w:t>
      </w:r>
      <w:r>
        <w:rPr>
          <w:rFonts w:hint="eastAsia" w:asciiTheme="minorEastAsia" w:hAnsiTheme="minorEastAsia" w:eastAsiaTheme="minorEastAsia"/>
          <w:bCs/>
          <w:color w:val="auto"/>
          <w:szCs w:val="21"/>
          <w:highlight w:val="none"/>
          <w:u w:val="single"/>
        </w:rPr>
        <w:t>）</w:t>
      </w:r>
    </w:p>
    <w:p w14:paraId="6515E915">
      <w:pPr>
        <w:autoSpaceDE w:val="0"/>
        <w:autoSpaceDN w:val="0"/>
        <w:adjustRightInd w:val="0"/>
        <w:spacing w:line="360" w:lineRule="auto"/>
        <w:ind w:firstLine="4252" w:firstLineChars="2025"/>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法定代表人：</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u w:val="single"/>
        </w:rPr>
        <w:t>(电子签章)</w:t>
      </w:r>
      <w:r>
        <w:rPr>
          <w:rFonts w:asciiTheme="minorEastAsia" w:hAnsiTheme="minorEastAsia" w:eastAsiaTheme="minorEastAsia"/>
          <w:bCs/>
          <w:color w:val="auto"/>
          <w:szCs w:val="21"/>
          <w:highlight w:val="none"/>
          <w:u w:val="single"/>
        </w:rPr>
        <w:t xml:space="preserve"> </w:t>
      </w:r>
    </w:p>
    <w:p w14:paraId="149BB3AE">
      <w:pPr>
        <w:autoSpaceDE w:val="0"/>
        <w:autoSpaceDN w:val="0"/>
        <w:adjustRightInd w:val="0"/>
        <w:spacing w:line="360" w:lineRule="auto"/>
        <w:ind w:firstLine="4252" w:firstLineChars="2025"/>
        <w:jc w:val="left"/>
        <w:rPr>
          <w:rFonts w:hint="eastAsia"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日期：</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年</w:t>
      </w:r>
      <w:r>
        <w:rPr>
          <w:rFonts w:hint="eastAsia" w:asciiTheme="minorEastAsia" w:hAnsiTheme="minorEastAsia" w:eastAsiaTheme="minorEastAsia"/>
          <w:bCs/>
          <w:color w:val="auto"/>
          <w:szCs w:val="21"/>
          <w:highlight w:val="none"/>
          <w:u w:val="single"/>
        </w:rPr>
        <w:t xml:space="preserve">     </w:t>
      </w:r>
      <w:r>
        <w:rPr>
          <w:rFonts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月</w:t>
      </w:r>
      <w:r>
        <w:rPr>
          <w:rFonts w:hint="eastAsia" w:asciiTheme="minorEastAsia" w:hAnsiTheme="minorEastAsia" w:eastAsiaTheme="minorEastAsia"/>
          <w:bCs/>
          <w:color w:val="auto"/>
          <w:szCs w:val="21"/>
          <w:highlight w:val="none"/>
          <w:u w:val="single"/>
        </w:rPr>
        <w:t xml:space="preserve">      </w:t>
      </w:r>
      <w:r>
        <w:rPr>
          <w:rFonts w:hint="eastAsia" w:asciiTheme="minorEastAsia" w:hAnsiTheme="minorEastAsia" w:eastAsiaTheme="minorEastAsia"/>
          <w:bCs/>
          <w:color w:val="auto"/>
          <w:szCs w:val="21"/>
          <w:highlight w:val="none"/>
        </w:rPr>
        <w:t>日</w:t>
      </w:r>
    </w:p>
    <w:p w14:paraId="3448E703">
      <w:pPr>
        <w:autoSpaceDE w:val="0"/>
        <w:autoSpaceDN w:val="0"/>
        <w:adjustRightInd w:val="0"/>
        <w:spacing w:line="360" w:lineRule="auto"/>
        <w:ind w:firstLine="4252" w:firstLineChars="2025"/>
        <w:jc w:val="left"/>
        <w:rPr>
          <w:rFonts w:hint="eastAsia" w:asciiTheme="minorEastAsia" w:hAnsiTheme="minorEastAsia" w:eastAsiaTheme="minorEastAsia"/>
          <w:bCs/>
          <w:color w:val="auto"/>
          <w:szCs w:val="21"/>
          <w:highlight w:val="none"/>
        </w:rPr>
      </w:pPr>
    </w:p>
    <w:p w14:paraId="6BD33EE5">
      <w:pPr>
        <w:autoSpaceDE w:val="0"/>
        <w:autoSpaceDN w:val="0"/>
        <w:adjustRightInd w:val="0"/>
        <w:spacing w:line="360" w:lineRule="auto"/>
        <w:ind w:firstLine="4252" w:firstLineChars="2025"/>
        <w:jc w:val="left"/>
        <w:rPr>
          <w:rFonts w:hint="eastAsia" w:asciiTheme="minorEastAsia" w:hAnsiTheme="minorEastAsia" w:eastAsiaTheme="minorEastAsia"/>
          <w:bCs/>
          <w:color w:val="auto"/>
          <w:szCs w:val="21"/>
          <w:highlight w:val="none"/>
        </w:rPr>
      </w:pPr>
    </w:p>
    <w:p w14:paraId="2220CB1C">
      <w:pPr>
        <w:widowControl/>
        <w:jc w:val="left"/>
        <w:rPr>
          <w:rFonts w:hint="eastAsia" w:asciiTheme="minorEastAsia" w:hAnsiTheme="minorEastAsia" w:eastAsiaTheme="minorEastAsia"/>
          <w:b/>
          <w:color w:val="auto"/>
          <w:sz w:val="30"/>
          <w:szCs w:val="30"/>
          <w:highlight w:val="none"/>
        </w:rPr>
      </w:pPr>
      <w:r>
        <w:rPr>
          <w:rFonts w:hint="eastAsia" w:asciiTheme="minorEastAsia" w:hAnsiTheme="minorEastAsia" w:eastAsiaTheme="minorEastAsia"/>
          <w:b/>
          <w:color w:val="auto"/>
          <w:sz w:val="30"/>
          <w:szCs w:val="30"/>
          <w:highlight w:val="none"/>
        </w:rPr>
        <w:br w:type="page"/>
      </w:r>
    </w:p>
    <w:p w14:paraId="5F1CA4A5">
      <w:pPr>
        <w:spacing w:line="360" w:lineRule="auto"/>
        <w:jc w:val="center"/>
        <w:outlineLvl w:val="1"/>
        <w:rPr>
          <w:rFonts w:hint="eastAsia" w:asciiTheme="minorEastAsia" w:hAnsiTheme="minorEastAsia" w:eastAsiaTheme="minorEastAsia"/>
          <w:b/>
          <w:color w:val="auto"/>
          <w:sz w:val="30"/>
          <w:szCs w:val="30"/>
          <w:highlight w:val="none"/>
        </w:rPr>
      </w:pPr>
      <w:bookmarkStart w:id="1204" w:name="_Toc180143786"/>
      <w:r>
        <w:rPr>
          <w:rFonts w:hint="eastAsia" w:asciiTheme="minorEastAsia" w:hAnsiTheme="minorEastAsia" w:eastAsiaTheme="minorEastAsia"/>
          <w:b/>
          <w:color w:val="auto"/>
          <w:sz w:val="30"/>
          <w:szCs w:val="30"/>
          <w:highlight w:val="none"/>
        </w:rPr>
        <w:t>三、</w:t>
      </w:r>
      <w:bookmarkEnd w:id="1134"/>
      <w:bookmarkEnd w:id="1135"/>
      <w:bookmarkEnd w:id="1202"/>
      <w:bookmarkEnd w:id="1203"/>
      <w:r>
        <w:rPr>
          <w:rFonts w:hint="eastAsia" w:asciiTheme="minorEastAsia" w:hAnsiTheme="minorEastAsia" w:eastAsiaTheme="minorEastAsia"/>
          <w:b/>
          <w:color w:val="auto"/>
          <w:sz w:val="30"/>
          <w:szCs w:val="30"/>
          <w:highlight w:val="none"/>
        </w:rPr>
        <w:t>技术文件</w:t>
      </w:r>
      <w:bookmarkEnd w:id="1204"/>
    </w:p>
    <w:p w14:paraId="68E545F9">
      <w:pPr>
        <w:spacing w:line="360" w:lineRule="auto"/>
        <w:jc w:val="center"/>
        <w:outlineLvl w:val="2"/>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（一）供货及实施方案及承诺</w:t>
      </w:r>
    </w:p>
    <w:p w14:paraId="3EBA6136">
      <w:pPr>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由供应商根据评标办法编制，格式自拟。</w:t>
      </w:r>
    </w:p>
    <w:p w14:paraId="0F3022D8">
      <w:pPr>
        <w:rPr>
          <w:color w:val="auto"/>
          <w:szCs w:val="21"/>
          <w:highlight w:val="none"/>
        </w:rPr>
      </w:pPr>
    </w:p>
    <w:p w14:paraId="44B58439">
      <w:pPr>
        <w:widowControl/>
        <w:jc w:val="left"/>
        <w:rPr>
          <w:rFonts w:hint="eastAsia" w:ascii="宋体" w:hAnsi="宋体"/>
          <w:color w:val="auto"/>
          <w:highlight w:val="none"/>
        </w:rPr>
      </w:pPr>
      <w:r>
        <w:rPr>
          <w:rFonts w:ascii="宋体" w:hAnsi="宋体"/>
          <w:color w:val="auto"/>
          <w:highlight w:val="none"/>
        </w:rPr>
        <w:br w:type="page"/>
      </w:r>
    </w:p>
    <w:p w14:paraId="029E4AB0">
      <w:pPr>
        <w:spacing w:line="360" w:lineRule="auto"/>
        <w:jc w:val="center"/>
        <w:outlineLvl w:val="2"/>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（二）实验室改造方案及承诺</w:t>
      </w:r>
    </w:p>
    <w:p w14:paraId="0DA3FC76">
      <w:pPr>
        <w:spacing w:line="360" w:lineRule="auto"/>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由供应商根据评标办法编制，格式自拟。</w:t>
      </w:r>
    </w:p>
    <w:p w14:paraId="6718E906">
      <w:pPr>
        <w:rPr>
          <w:color w:val="auto"/>
          <w:highlight w:val="none"/>
        </w:rPr>
      </w:pPr>
    </w:p>
    <w:p w14:paraId="41B077D3">
      <w:pPr>
        <w:widowControl/>
        <w:jc w:val="left"/>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br w:type="page"/>
      </w:r>
    </w:p>
    <w:p w14:paraId="29F1C207">
      <w:pPr>
        <w:spacing w:line="360" w:lineRule="auto"/>
        <w:jc w:val="center"/>
        <w:outlineLvl w:val="2"/>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（三）设备质量保证及承诺</w:t>
      </w:r>
    </w:p>
    <w:p w14:paraId="3AAD615B">
      <w:pPr>
        <w:spacing w:line="360" w:lineRule="auto"/>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由供应商根据评标办法编制，格式自拟。</w:t>
      </w:r>
    </w:p>
    <w:p w14:paraId="287CBF98">
      <w:pPr>
        <w:rPr>
          <w:rFonts w:cs="HiddenHorzOCR"/>
          <w:color w:val="auto"/>
          <w:szCs w:val="21"/>
          <w:highlight w:val="none"/>
        </w:rPr>
      </w:pPr>
      <w:r>
        <w:rPr>
          <w:rFonts w:cs="HiddenHorzOCR"/>
          <w:color w:val="auto"/>
          <w:szCs w:val="21"/>
          <w:highlight w:val="none"/>
        </w:rPr>
        <w:br w:type="page"/>
      </w:r>
    </w:p>
    <w:p w14:paraId="54CEF466">
      <w:pPr>
        <w:spacing w:line="360" w:lineRule="auto"/>
        <w:jc w:val="center"/>
        <w:outlineLvl w:val="2"/>
        <w:rPr>
          <w:rFonts w:hint="eastAsia"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（四）售后服务保证措施及承诺</w:t>
      </w:r>
    </w:p>
    <w:p w14:paraId="2282C027">
      <w:pPr>
        <w:spacing w:line="360" w:lineRule="auto"/>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由供应商根据评标办法编制，格式自拟。</w:t>
      </w:r>
    </w:p>
    <w:p w14:paraId="0D125C82">
      <w:pPr>
        <w:rPr>
          <w:rFonts w:cs="HiddenHorzOCR"/>
          <w:color w:val="auto"/>
          <w:szCs w:val="21"/>
          <w:highlight w:val="none"/>
        </w:rPr>
      </w:pPr>
      <w:r>
        <w:rPr>
          <w:rFonts w:cs="HiddenHorzOCR"/>
          <w:color w:val="auto"/>
          <w:szCs w:val="21"/>
          <w:highlight w:val="none"/>
        </w:rPr>
        <w:br w:type="page"/>
      </w:r>
    </w:p>
    <w:bookmarkEnd w:id="1057"/>
    <w:bookmarkEnd w:id="1058"/>
    <w:bookmarkEnd w:id="1059"/>
    <w:bookmarkEnd w:id="1060"/>
    <w:bookmarkEnd w:id="1061"/>
    <w:bookmarkEnd w:id="1062"/>
    <w:bookmarkEnd w:id="1063"/>
    <w:bookmarkEnd w:id="1064"/>
    <w:p w14:paraId="14738D85">
      <w:pPr>
        <w:pStyle w:val="42"/>
        <w:tabs>
          <w:tab w:val="right" w:leader="dot" w:pos="8948"/>
        </w:tabs>
        <w:spacing w:line="360" w:lineRule="auto"/>
        <w:ind w:left="0"/>
        <w:jc w:val="center"/>
        <w:outlineLvl w:val="0"/>
        <w:rPr>
          <w:rFonts w:hint="eastAsia" w:asciiTheme="minorEastAsia" w:hAnsiTheme="minorEastAsia" w:eastAsiaTheme="minorEastAsia"/>
          <w:b/>
          <w:bCs/>
          <w:color w:val="auto"/>
          <w:sz w:val="32"/>
          <w:szCs w:val="32"/>
          <w:highlight w:val="none"/>
        </w:rPr>
      </w:pPr>
      <w:bookmarkStart w:id="1205" w:name="_Toc180143787"/>
      <w:bookmarkStart w:id="1206" w:name="_Toc132362638"/>
      <w:bookmarkStart w:id="1207" w:name="_Toc37603115"/>
      <w:bookmarkStart w:id="1208" w:name="_Toc42205043"/>
      <w:r>
        <w:rPr>
          <w:rFonts w:hint="eastAsia" w:asciiTheme="minorEastAsia" w:hAnsiTheme="minorEastAsia" w:eastAsiaTheme="minorEastAsia"/>
          <w:b/>
          <w:bCs/>
          <w:color w:val="auto"/>
          <w:sz w:val="32"/>
          <w:szCs w:val="32"/>
          <w:highlight w:val="none"/>
        </w:rPr>
        <w:t>第五章 采购清单及要求</w:t>
      </w:r>
      <w:bookmarkEnd w:id="1205"/>
      <w:bookmarkEnd w:id="1206"/>
    </w:p>
    <w:p w14:paraId="3008D3D3">
      <w:pPr>
        <w:spacing w:line="360" w:lineRule="auto"/>
        <w:ind w:firstLine="422" w:firstLineChars="200"/>
        <w:jc w:val="left"/>
        <w:rPr>
          <w:rFonts w:hint="eastAsia" w:ascii="宋体" w:hAnsi="宋体" w:cs="宋体"/>
          <w:b/>
          <w:color w:val="auto"/>
          <w:highlight w:val="none"/>
        </w:rPr>
      </w:pPr>
      <w:r>
        <w:rPr>
          <w:rFonts w:hint="eastAsia" w:ascii="宋体" w:hAnsi="宋体" w:cs="宋体"/>
          <w:b/>
          <w:bCs/>
          <w:color w:val="auto"/>
          <w:highlight w:val="none"/>
        </w:rPr>
        <w:t>（一）采购</w:t>
      </w:r>
      <w:r>
        <w:rPr>
          <w:rFonts w:hint="eastAsia" w:ascii="宋体" w:hAnsi="宋体" w:cs="宋体"/>
          <w:b/>
          <w:color w:val="auto"/>
          <w:highlight w:val="none"/>
        </w:rPr>
        <w:t>标的需实现的功能或者目标，以及为落实政府采购政策需满足的要求；</w:t>
      </w:r>
    </w:p>
    <w:p w14:paraId="5DB31B72">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采购标的需实现的功能或者目标：为满足教学需要，提升教学能力，本次采购内容包括智能化学吊装系统2套、智能生物吊装系统2套、智能物理吊装系统2套、高中物理新课标实验仪器1批、高中化学新课标实验仪器1批、高中生物新课标实验仪器1批。</w:t>
      </w:r>
    </w:p>
    <w:p w14:paraId="3B30BD6E">
      <w:pPr>
        <w:spacing w:line="360" w:lineRule="auto"/>
        <w:ind w:firstLine="420" w:firstLineChars="200"/>
        <w:jc w:val="left"/>
        <w:rPr>
          <w:rFonts w:hint="eastAsia" w:ascii="宋体" w:hAnsi="宋体"/>
          <w:bCs/>
          <w:color w:val="auto"/>
          <w:highlight w:val="none"/>
        </w:rPr>
      </w:pPr>
      <w:r>
        <w:rPr>
          <w:rFonts w:hint="eastAsia" w:ascii="宋体" w:hAnsi="宋体" w:cs="宋体"/>
          <w:color w:val="auto"/>
          <w:highlight w:val="none"/>
        </w:rPr>
        <w:t>2.为落实政府采购政策需满足的要求：本项目为非专门面向中小微企业采购项目。</w:t>
      </w:r>
    </w:p>
    <w:p w14:paraId="57DFF6B5">
      <w:pPr>
        <w:spacing w:line="360" w:lineRule="auto"/>
        <w:ind w:firstLine="422" w:firstLineChars="200"/>
        <w:jc w:val="left"/>
        <w:rPr>
          <w:rFonts w:hint="eastAsia" w:ascii="宋体" w:hAnsi="宋体" w:cs="宋体"/>
          <w:b/>
          <w:color w:val="auto"/>
          <w:highlight w:val="none"/>
        </w:rPr>
      </w:pPr>
      <w:r>
        <w:rPr>
          <w:rFonts w:hint="eastAsia" w:ascii="宋体" w:hAnsi="宋体" w:cs="宋体"/>
          <w:b/>
          <w:color w:val="auto"/>
          <w:highlight w:val="none"/>
        </w:rPr>
        <w:t>（二）采购标的需执行的国家相关标准、行业标准、地方标准或者其他标准、规范；</w:t>
      </w:r>
    </w:p>
    <w:p w14:paraId="46085E1D">
      <w:pPr>
        <w:spacing w:line="360" w:lineRule="auto"/>
        <w:ind w:firstLine="420" w:firstLineChars="200"/>
        <w:jc w:val="left"/>
        <w:rPr>
          <w:rFonts w:hint="eastAsia" w:ascii="宋体" w:hAnsi="宋体"/>
          <w:bCs/>
          <w:color w:val="auto"/>
          <w:highlight w:val="none"/>
        </w:rPr>
      </w:pPr>
      <w:r>
        <w:rPr>
          <w:rFonts w:hint="eastAsia" w:ascii="宋体" w:hAnsi="宋体"/>
          <w:bCs/>
          <w:color w:val="auto"/>
          <w:highlight w:val="none"/>
        </w:rPr>
        <w:t>保证提供的设备是全新未使用过的、投标产品应符合国家、行业现行相关法律、法规以及标准规定，并且满足采购人的要求。</w:t>
      </w:r>
    </w:p>
    <w:p w14:paraId="4A0F48A4">
      <w:pPr>
        <w:widowControl/>
        <w:numPr>
          <w:ilvl w:val="0"/>
          <w:numId w:val="5"/>
        </w:numPr>
        <w:spacing w:line="360" w:lineRule="auto"/>
        <w:ind w:firstLine="422" w:firstLineChars="200"/>
        <w:jc w:val="left"/>
        <w:rPr>
          <w:rFonts w:hint="eastAsia" w:ascii="宋体" w:hAnsi="宋体" w:cs="宋体"/>
          <w:b/>
          <w:color w:val="auto"/>
          <w:highlight w:val="none"/>
        </w:rPr>
      </w:pPr>
      <w:r>
        <w:rPr>
          <w:rFonts w:hint="eastAsia" w:ascii="宋体" w:hAnsi="宋体" w:cs="宋体"/>
          <w:b/>
          <w:color w:val="auto"/>
          <w:highlight w:val="none"/>
        </w:rPr>
        <w:t>采购标的需满足的质量、安全、技术规格、物理特性等要求；</w:t>
      </w:r>
    </w:p>
    <w:tbl>
      <w:tblPr>
        <w:tblStyle w:val="53"/>
        <w:tblW w:w="514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001"/>
        <w:gridCol w:w="2780"/>
        <w:gridCol w:w="731"/>
        <w:gridCol w:w="687"/>
        <w:gridCol w:w="1241"/>
        <w:gridCol w:w="1411"/>
      </w:tblGrid>
      <w:tr w14:paraId="29FC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000" w:type="pct"/>
            <w:gridSpan w:val="7"/>
            <w:shd w:val="clear" w:color="auto" w:fill="auto"/>
            <w:noWrap/>
            <w:vAlign w:val="center"/>
          </w:tcPr>
          <w:p w14:paraId="476287B5">
            <w:pPr>
              <w:jc w:val="center"/>
              <w:textAlignment w:val="center"/>
              <w:rPr>
                <w:rFonts w:hint="eastAsia" w:ascii="宋体" w:hAnsi="宋体" w:cs="宋体"/>
                <w:b/>
                <w:bCs/>
                <w:color w:val="auto"/>
                <w:sz w:val="24"/>
                <w:szCs w:val="24"/>
                <w:highlight w:val="none"/>
              </w:rPr>
            </w:pPr>
            <w:r>
              <w:rPr>
                <w:rFonts w:hint="eastAsia" w:ascii="宋体" w:hAnsi="宋体" w:cs="宋体"/>
                <w:b/>
                <w:bCs/>
                <w:color w:val="auto"/>
                <w:kern w:val="0"/>
                <w:sz w:val="24"/>
                <w:szCs w:val="24"/>
                <w:highlight w:val="none"/>
                <w:lang w:bidi="ar"/>
              </w:rPr>
              <w:t>理化生实验室升级改造汇总表</w:t>
            </w:r>
          </w:p>
        </w:tc>
      </w:tr>
      <w:tr w14:paraId="3EB2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13" w:type="pct"/>
            <w:shd w:val="clear" w:color="auto" w:fill="auto"/>
            <w:noWrap/>
            <w:vAlign w:val="center"/>
          </w:tcPr>
          <w:p w14:paraId="680B2AE4">
            <w:pPr>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1060" w:type="pct"/>
            <w:shd w:val="clear" w:color="auto" w:fill="auto"/>
            <w:noWrap/>
            <w:vAlign w:val="center"/>
          </w:tcPr>
          <w:p w14:paraId="0F796996">
            <w:pPr>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名称</w:t>
            </w:r>
          </w:p>
        </w:tc>
        <w:tc>
          <w:tcPr>
            <w:tcW w:w="1472" w:type="pct"/>
            <w:shd w:val="clear" w:color="auto" w:fill="auto"/>
            <w:noWrap/>
            <w:vAlign w:val="center"/>
          </w:tcPr>
          <w:p w14:paraId="3FD46387">
            <w:pPr>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简要说明</w:t>
            </w:r>
          </w:p>
        </w:tc>
        <w:tc>
          <w:tcPr>
            <w:tcW w:w="387" w:type="pct"/>
            <w:shd w:val="clear" w:color="auto" w:fill="auto"/>
            <w:noWrap/>
            <w:vAlign w:val="center"/>
          </w:tcPr>
          <w:p w14:paraId="51FB092F">
            <w:pPr>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单位</w:t>
            </w:r>
          </w:p>
        </w:tc>
        <w:tc>
          <w:tcPr>
            <w:tcW w:w="364" w:type="pct"/>
            <w:shd w:val="clear" w:color="auto" w:fill="auto"/>
            <w:noWrap/>
            <w:vAlign w:val="center"/>
          </w:tcPr>
          <w:p w14:paraId="269C336E">
            <w:pPr>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数量</w:t>
            </w:r>
          </w:p>
        </w:tc>
        <w:tc>
          <w:tcPr>
            <w:tcW w:w="657" w:type="pct"/>
            <w:shd w:val="clear" w:color="auto" w:fill="auto"/>
            <w:vAlign w:val="center"/>
          </w:tcPr>
          <w:p w14:paraId="516DD741">
            <w:pPr>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单价最高限价（元）</w:t>
            </w:r>
          </w:p>
        </w:tc>
        <w:tc>
          <w:tcPr>
            <w:tcW w:w="747" w:type="pct"/>
            <w:shd w:val="clear" w:color="auto" w:fill="auto"/>
            <w:vAlign w:val="center"/>
          </w:tcPr>
          <w:p w14:paraId="7DE7BFB6">
            <w:pPr>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合价（元）</w:t>
            </w:r>
          </w:p>
        </w:tc>
      </w:tr>
      <w:tr w14:paraId="263F2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3" w:type="pct"/>
            <w:shd w:val="clear" w:color="auto" w:fill="auto"/>
            <w:noWrap/>
            <w:vAlign w:val="center"/>
          </w:tcPr>
          <w:p w14:paraId="66BA84AC">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060" w:type="pct"/>
            <w:shd w:val="clear" w:color="auto" w:fill="auto"/>
            <w:noWrap/>
            <w:vAlign w:val="center"/>
          </w:tcPr>
          <w:p w14:paraId="1C80ABA1">
            <w:pP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智能化学吊装系统</w:t>
            </w:r>
          </w:p>
        </w:tc>
        <w:tc>
          <w:tcPr>
            <w:tcW w:w="1472" w:type="pct"/>
            <w:shd w:val="clear" w:color="auto" w:fill="auto"/>
            <w:vAlign w:val="center"/>
          </w:tcPr>
          <w:p w14:paraId="0F44FD9B">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56座智能化学吊装系统</w:t>
            </w:r>
          </w:p>
        </w:tc>
        <w:tc>
          <w:tcPr>
            <w:tcW w:w="387" w:type="pct"/>
            <w:shd w:val="clear" w:color="auto" w:fill="auto"/>
            <w:noWrap/>
            <w:vAlign w:val="center"/>
          </w:tcPr>
          <w:p w14:paraId="64C1ED09">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364" w:type="pct"/>
            <w:shd w:val="clear" w:color="auto" w:fill="auto"/>
            <w:noWrap/>
            <w:vAlign w:val="center"/>
          </w:tcPr>
          <w:p w14:paraId="7EAF6847">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57" w:type="pct"/>
            <w:shd w:val="clear" w:color="auto" w:fill="auto"/>
            <w:noWrap/>
            <w:vAlign w:val="center"/>
          </w:tcPr>
          <w:p w14:paraId="2A406F38">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364800.00</w:t>
            </w:r>
          </w:p>
        </w:tc>
        <w:tc>
          <w:tcPr>
            <w:tcW w:w="747" w:type="pct"/>
            <w:shd w:val="clear" w:color="auto" w:fill="auto"/>
            <w:noWrap/>
            <w:vAlign w:val="center"/>
          </w:tcPr>
          <w:p w14:paraId="04F781E7">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729600.00</w:t>
            </w:r>
          </w:p>
        </w:tc>
      </w:tr>
      <w:tr w14:paraId="1D52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3" w:type="pct"/>
            <w:shd w:val="clear" w:color="auto" w:fill="auto"/>
            <w:noWrap/>
            <w:vAlign w:val="center"/>
          </w:tcPr>
          <w:p w14:paraId="5F59DC14">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060" w:type="pct"/>
            <w:shd w:val="clear" w:color="auto" w:fill="auto"/>
            <w:noWrap/>
            <w:vAlign w:val="center"/>
          </w:tcPr>
          <w:p w14:paraId="155CE028">
            <w:pP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智能生物吊装系统</w:t>
            </w:r>
          </w:p>
        </w:tc>
        <w:tc>
          <w:tcPr>
            <w:tcW w:w="1472" w:type="pct"/>
            <w:shd w:val="clear" w:color="auto" w:fill="auto"/>
            <w:vAlign w:val="center"/>
          </w:tcPr>
          <w:p w14:paraId="27101FCC">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56座智能生物吊装系统</w:t>
            </w:r>
          </w:p>
        </w:tc>
        <w:tc>
          <w:tcPr>
            <w:tcW w:w="387" w:type="pct"/>
            <w:shd w:val="clear" w:color="auto" w:fill="auto"/>
            <w:noWrap/>
            <w:vAlign w:val="center"/>
          </w:tcPr>
          <w:p w14:paraId="30A0909B">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364" w:type="pct"/>
            <w:shd w:val="clear" w:color="auto" w:fill="auto"/>
            <w:noWrap/>
            <w:vAlign w:val="center"/>
          </w:tcPr>
          <w:p w14:paraId="1AD84654">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57" w:type="pct"/>
            <w:shd w:val="clear" w:color="auto" w:fill="auto"/>
            <w:noWrap/>
            <w:vAlign w:val="center"/>
          </w:tcPr>
          <w:p w14:paraId="760ECAF2">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294292.00</w:t>
            </w:r>
          </w:p>
        </w:tc>
        <w:tc>
          <w:tcPr>
            <w:tcW w:w="747" w:type="pct"/>
            <w:shd w:val="clear" w:color="auto" w:fill="auto"/>
            <w:noWrap/>
            <w:vAlign w:val="center"/>
          </w:tcPr>
          <w:p w14:paraId="308C9C3A">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588584.00</w:t>
            </w:r>
          </w:p>
        </w:tc>
      </w:tr>
      <w:tr w14:paraId="30A4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3" w:type="pct"/>
            <w:shd w:val="clear" w:color="auto" w:fill="auto"/>
            <w:noWrap/>
            <w:vAlign w:val="center"/>
          </w:tcPr>
          <w:p w14:paraId="74FD66BB">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060" w:type="pct"/>
            <w:shd w:val="clear" w:color="auto" w:fill="auto"/>
            <w:noWrap/>
            <w:vAlign w:val="center"/>
          </w:tcPr>
          <w:p w14:paraId="385AF950">
            <w:pP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智能物理吊装系统</w:t>
            </w:r>
          </w:p>
        </w:tc>
        <w:tc>
          <w:tcPr>
            <w:tcW w:w="1472" w:type="pct"/>
            <w:shd w:val="clear" w:color="auto" w:fill="auto"/>
            <w:vAlign w:val="center"/>
          </w:tcPr>
          <w:p w14:paraId="151B42C3">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56座智能物理吊装系统</w:t>
            </w:r>
          </w:p>
        </w:tc>
        <w:tc>
          <w:tcPr>
            <w:tcW w:w="387" w:type="pct"/>
            <w:shd w:val="clear" w:color="auto" w:fill="auto"/>
            <w:noWrap/>
            <w:vAlign w:val="center"/>
          </w:tcPr>
          <w:p w14:paraId="51DCFE5E">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364" w:type="pct"/>
            <w:shd w:val="clear" w:color="auto" w:fill="auto"/>
            <w:noWrap/>
            <w:vAlign w:val="center"/>
          </w:tcPr>
          <w:p w14:paraId="26173996">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657" w:type="pct"/>
            <w:shd w:val="clear" w:color="auto" w:fill="auto"/>
            <w:noWrap/>
            <w:vAlign w:val="center"/>
          </w:tcPr>
          <w:p w14:paraId="6408F65F">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249701.00</w:t>
            </w:r>
          </w:p>
        </w:tc>
        <w:tc>
          <w:tcPr>
            <w:tcW w:w="747" w:type="pct"/>
            <w:shd w:val="clear" w:color="auto" w:fill="auto"/>
            <w:noWrap/>
            <w:vAlign w:val="center"/>
          </w:tcPr>
          <w:p w14:paraId="46E09445">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499402.00</w:t>
            </w:r>
          </w:p>
        </w:tc>
      </w:tr>
      <w:tr w14:paraId="07F2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3" w:type="pct"/>
            <w:shd w:val="clear" w:color="auto" w:fill="auto"/>
            <w:noWrap/>
            <w:vAlign w:val="center"/>
          </w:tcPr>
          <w:p w14:paraId="44488EF6">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060" w:type="pct"/>
            <w:shd w:val="clear" w:color="auto" w:fill="auto"/>
            <w:noWrap/>
            <w:vAlign w:val="center"/>
          </w:tcPr>
          <w:p w14:paraId="2EA147BD">
            <w:pP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高中物理新课标实验仪器</w:t>
            </w:r>
          </w:p>
        </w:tc>
        <w:tc>
          <w:tcPr>
            <w:tcW w:w="1472" w:type="pct"/>
            <w:shd w:val="clear" w:color="auto" w:fill="auto"/>
            <w:noWrap/>
            <w:vAlign w:val="center"/>
          </w:tcPr>
          <w:p w14:paraId="7C49E55D">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高中物理新课标实验仪器</w:t>
            </w:r>
          </w:p>
        </w:tc>
        <w:tc>
          <w:tcPr>
            <w:tcW w:w="387" w:type="pct"/>
            <w:shd w:val="clear" w:color="auto" w:fill="auto"/>
            <w:noWrap/>
            <w:vAlign w:val="center"/>
          </w:tcPr>
          <w:p w14:paraId="39F11A78">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364" w:type="pct"/>
            <w:shd w:val="clear" w:color="auto" w:fill="auto"/>
            <w:noWrap/>
            <w:vAlign w:val="center"/>
          </w:tcPr>
          <w:p w14:paraId="719146D5">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7" w:type="pct"/>
            <w:shd w:val="clear" w:color="auto" w:fill="auto"/>
            <w:noWrap/>
            <w:vAlign w:val="center"/>
          </w:tcPr>
          <w:p w14:paraId="6D574007">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32414.00</w:t>
            </w:r>
          </w:p>
        </w:tc>
        <w:tc>
          <w:tcPr>
            <w:tcW w:w="747" w:type="pct"/>
            <w:shd w:val="clear" w:color="auto" w:fill="auto"/>
            <w:noWrap/>
            <w:vAlign w:val="center"/>
          </w:tcPr>
          <w:p w14:paraId="4740470D">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32414.00</w:t>
            </w:r>
          </w:p>
        </w:tc>
      </w:tr>
      <w:tr w14:paraId="3DF4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3" w:type="pct"/>
            <w:shd w:val="clear" w:color="auto" w:fill="auto"/>
            <w:noWrap/>
            <w:vAlign w:val="center"/>
          </w:tcPr>
          <w:p w14:paraId="00964206">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060" w:type="pct"/>
            <w:shd w:val="clear" w:color="auto" w:fill="auto"/>
            <w:noWrap/>
            <w:vAlign w:val="center"/>
          </w:tcPr>
          <w:p w14:paraId="1F6F8DD0">
            <w:pP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高中化学新课标实验仪器</w:t>
            </w:r>
          </w:p>
        </w:tc>
        <w:tc>
          <w:tcPr>
            <w:tcW w:w="1472" w:type="pct"/>
            <w:shd w:val="clear" w:color="auto" w:fill="auto"/>
            <w:noWrap/>
            <w:vAlign w:val="center"/>
          </w:tcPr>
          <w:p w14:paraId="15A02FCB">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高中化学新课标实验仪器</w:t>
            </w:r>
          </w:p>
        </w:tc>
        <w:tc>
          <w:tcPr>
            <w:tcW w:w="387" w:type="pct"/>
            <w:shd w:val="clear" w:color="auto" w:fill="auto"/>
            <w:noWrap/>
            <w:vAlign w:val="center"/>
          </w:tcPr>
          <w:p w14:paraId="3D564BCF">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364" w:type="pct"/>
            <w:shd w:val="clear" w:color="auto" w:fill="auto"/>
            <w:noWrap/>
            <w:vAlign w:val="center"/>
          </w:tcPr>
          <w:p w14:paraId="32A72A37">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7" w:type="pct"/>
            <w:shd w:val="clear" w:color="auto" w:fill="auto"/>
            <w:noWrap/>
            <w:vAlign w:val="center"/>
          </w:tcPr>
          <w:p w14:paraId="520B5240">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60000.00</w:t>
            </w:r>
          </w:p>
        </w:tc>
        <w:tc>
          <w:tcPr>
            <w:tcW w:w="747" w:type="pct"/>
            <w:shd w:val="clear" w:color="auto" w:fill="auto"/>
            <w:noWrap/>
            <w:vAlign w:val="center"/>
          </w:tcPr>
          <w:p w14:paraId="175F4C07">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60000.00</w:t>
            </w:r>
          </w:p>
        </w:tc>
      </w:tr>
      <w:tr w14:paraId="44FB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13" w:type="pct"/>
            <w:shd w:val="clear" w:color="auto" w:fill="auto"/>
            <w:noWrap/>
            <w:vAlign w:val="center"/>
          </w:tcPr>
          <w:p w14:paraId="618C6838">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060" w:type="pct"/>
            <w:shd w:val="clear" w:color="auto" w:fill="auto"/>
            <w:noWrap/>
            <w:vAlign w:val="center"/>
          </w:tcPr>
          <w:p w14:paraId="628728DF">
            <w:pP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高中生物新课标实验仪器</w:t>
            </w:r>
          </w:p>
        </w:tc>
        <w:tc>
          <w:tcPr>
            <w:tcW w:w="1472" w:type="pct"/>
            <w:shd w:val="clear" w:color="auto" w:fill="auto"/>
            <w:noWrap/>
            <w:vAlign w:val="center"/>
          </w:tcPr>
          <w:p w14:paraId="7637EEDD">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高中生物新课标实验仪器</w:t>
            </w:r>
          </w:p>
        </w:tc>
        <w:tc>
          <w:tcPr>
            <w:tcW w:w="387" w:type="pct"/>
            <w:shd w:val="clear" w:color="auto" w:fill="auto"/>
            <w:noWrap/>
            <w:vAlign w:val="center"/>
          </w:tcPr>
          <w:p w14:paraId="5AD39E27">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364" w:type="pct"/>
            <w:shd w:val="clear" w:color="auto" w:fill="auto"/>
            <w:noWrap/>
            <w:vAlign w:val="center"/>
          </w:tcPr>
          <w:p w14:paraId="03672067">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657" w:type="pct"/>
            <w:shd w:val="clear" w:color="auto" w:fill="auto"/>
            <w:noWrap/>
            <w:vAlign w:val="center"/>
          </w:tcPr>
          <w:p w14:paraId="2652C7EA">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40000.00</w:t>
            </w:r>
          </w:p>
        </w:tc>
        <w:tc>
          <w:tcPr>
            <w:tcW w:w="747" w:type="pct"/>
            <w:shd w:val="clear" w:color="auto" w:fill="auto"/>
            <w:noWrap/>
            <w:vAlign w:val="center"/>
          </w:tcPr>
          <w:p w14:paraId="50CC3433">
            <w:pPr>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40000.00</w:t>
            </w:r>
          </w:p>
        </w:tc>
      </w:tr>
      <w:tr w14:paraId="2E84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53" w:type="pct"/>
            <w:gridSpan w:val="6"/>
            <w:shd w:val="clear" w:color="auto" w:fill="auto"/>
            <w:noWrap/>
            <w:vAlign w:val="center"/>
          </w:tcPr>
          <w:p w14:paraId="79C5EFA8">
            <w:pPr>
              <w:jc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合计</w:t>
            </w:r>
          </w:p>
        </w:tc>
        <w:tc>
          <w:tcPr>
            <w:tcW w:w="747" w:type="pct"/>
            <w:shd w:val="clear" w:color="auto" w:fill="auto"/>
            <w:noWrap/>
            <w:vAlign w:val="center"/>
          </w:tcPr>
          <w:p w14:paraId="3987EC61">
            <w:pPr>
              <w:jc w:val="center"/>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1950000.00</w:t>
            </w:r>
          </w:p>
        </w:tc>
      </w:tr>
    </w:tbl>
    <w:p w14:paraId="1BAF2AB4">
      <w:pPr>
        <w:spacing w:before="120" w:beforeLines="50"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产品技术参数要求如小表所示：</w:t>
      </w:r>
    </w:p>
    <w:tbl>
      <w:tblPr>
        <w:tblStyle w:val="54"/>
        <w:tblW w:w="514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9"/>
        <w:gridCol w:w="1477"/>
        <w:gridCol w:w="5814"/>
        <w:gridCol w:w="725"/>
        <w:gridCol w:w="727"/>
      </w:tblGrid>
      <w:tr w14:paraId="400E5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5000" w:type="pct"/>
            <w:gridSpan w:val="5"/>
            <w:vAlign w:val="center"/>
          </w:tcPr>
          <w:p w14:paraId="2A05EAD2">
            <w:pPr>
              <w:jc w:val="center"/>
              <w:rPr>
                <w:color w:val="auto"/>
                <w:highlight w:val="none"/>
              </w:rPr>
            </w:pPr>
            <w:r>
              <w:rPr>
                <w:rFonts w:hint="eastAsia"/>
                <w:b/>
                <w:bCs/>
                <w:color w:val="auto"/>
                <w:highlight w:val="none"/>
              </w:rPr>
              <w:t>56座智能化学吊装系统*2套</w:t>
            </w:r>
          </w:p>
        </w:tc>
      </w:tr>
      <w:tr w14:paraId="30EA1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370" w:type="pct"/>
            <w:shd w:val="clear" w:color="auto" w:fill="auto"/>
            <w:vAlign w:val="center"/>
          </w:tcPr>
          <w:p w14:paraId="009EA916">
            <w:pPr>
              <w:jc w:val="center"/>
              <w:rPr>
                <w:rFonts w:hint="eastAsia" w:ascii="宋体" w:hAnsi="宋体" w:cs="宋体"/>
                <w:b/>
                <w:bCs/>
                <w:color w:val="auto"/>
                <w:highlight w:val="none"/>
              </w:rPr>
            </w:pPr>
            <w:r>
              <w:rPr>
                <w:rFonts w:hint="eastAsia" w:ascii="宋体" w:hAnsi="宋体" w:cs="宋体"/>
                <w:b/>
                <w:bCs/>
                <w:color w:val="auto"/>
                <w:highlight w:val="none"/>
              </w:rPr>
              <w:t>序号</w:t>
            </w:r>
          </w:p>
        </w:tc>
        <w:tc>
          <w:tcPr>
            <w:tcW w:w="782" w:type="pct"/>
            <w:shd w:val="clear" w:color="auto" w:fill="auto"/>
            <w:vAlign w:val="center"/>
          </w:tcPr>
          <w:p w14:paraId="61C96AFC">
            <w:pPr>
              <w:jc w:val="center"/>
              <w:rPr>
                <w:rFonts w:hint="eastAsia" w:ascii="宋体" w:hAnsi="宋体" w:cs="宋体"/>
                <w:b/>
                <w:bCs/>
                <w:color w:val="auto"/>
                <w:highlight w:val="none"/>
              </w:rPr>
            </w:pPr>
            <w:r>
              <w:rPr>
                <w:rFonts w:hint="eastAsia" w:ascii="宋体" w:hAnsi="宋体" w:cs="宋体"/>
                <w:b/>
                <w:bCs/>
                <w:color w:val="auto"/>
                <w:highlight w:val="none"/>
              </w:rPr>
              <w:t>名称</w:t>
            </w:r>
          </w:p>
        </w:tc>
        <w:tc>
          <w:tcPr>
            <w:tcW w:w="3079" w:type="pct"/>
            <w:shd w:val="clear" w:color="auto" w:fill="auto"/>
            <w:vAlign w:val="center"/>
          </w:tcPr>
          <w:p w14:paraId="071A3605">
            <w:pPr>
              <w:jc w:val="center"/>
              <w:rPr>
                <w:rFonts w:hint="eastAsia" w:ascii="宋体" w:hAnsi="宋体" w:cs="宋体"/>
                <w:b/>
                <w:bCs/>
                <w:color w:val="auto"/>
                <w:highlight w:val="none"/>
              </w:rPr>
            </w:pPr>
            <w:r>
              <w:rPr>
                <w:rFonts w:hint="eastAsia" w:ascii="宋体" w:hAnsi="宋体" w:cs="宋体"/>
                <w:b/>
                <w:bCs/>
                <w:color w:val="auto"/>
                <w:highlight w:val="none"/>
              </w:rPr>
              <w:t>一般性能及技术参数要求</w:t>
            </w:r>
          </w:p>
        </w:tc>
        <w:tc>
          <w:tcPr>
            <w:tcW w:w="384" w:type="pct"/>
            <w:shd w:val="clear" w:color="auto" w:fill="auto"/>
            <w:vAlign w:val="center"/>
          </w:tcPr>
          <w:p w14:paraId="13970F0C">
            <w:pPr>
              <w:jc w:val="center"/>
              <w:rPr>
                <w:rFonts w:hint="eastAsia" w:ascii="宋体" w:hAnsi="宋体" w:cs="宋体"/>
                <w:b/>
                <w:bCs/>
                <w:color w:val="auto"/>
                <w:highlight w:val="none"/>
              </w:rPr>
            </w:pPr>
            <w:r>
              <w:rPr>
                <w:rFonts w:hint="eastAsia" w:ascii="宋体" w:hAnsi="宋体" w:cs="宋体"/>
                <w:b/>
                <w:bCs/>
                <w:color w:val="auto"/>
                <w:highlight w:val="none"/>
              </w:rPr>
              <w:t>单位</w:t>
            </w:r>
          </w:p>
        </w:tc>
        <w:tc>
          <w:tcPr>
            <w:tcW w:w="385" w:type="pct"/>
            <w:shd w:val="clear" w:color="auto" w:fill="auto"/>
            <w:vAlign w:val="center"/>
          </w:tcPr>
          <w:p w14:paraId="2528FFCD">
            <w:pPr>
              <w:jc w:val="center"/>
              <w:rPr>
                <w:rFonts w:hint="eastAsia" w:ascii="宋体" w:hAnsi="宋体" w:cs="宋体"/>
                <w:b/>
                <w:bCs/>
                <w:color w:val="auto"/>
                <w:highlight w:val="none"/>
              </w:rPr>
            </w:pPr>
            <w:r>
              <w:rPr>
                <w:rFonts w:hint="eastAsia" w:ascii="宋体" w:hAnsi="宋体" w:cs="宋体"/>
                <w:b/>
                <w:bCs/>
                <w:color w:val="auto"/>
                <w:highlight w:val="none"/>
              </w:rPr>
              <w:t>数量</w:t>
            </w:r>
          </w:p>
        </w:tc>
      </w:tr>
      <w:tr w14:paraId="73D3F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370" w:type="pct"/>
            <w:vAlign w:val="center"/>
          </w:tcPr>
          <w:p w14:paraId="1F82C3FC">
            <w:pPr>
              <w:jc w:val="center"/>
              <w:rPr>
                <w:rFonts w:hint="eastAsia" w:ascii="宋体" w:hAnsi="宋体" w:cs="宋体"/>
                <w:b/>
                <w:bCs/>
                <w:color w:val="auto"/>
                <w:highlight w:val="none"/>
              </w:rPr>
            </w:pPr>
          </w:p>
        </w:tc>
        <w:tc>
          <w:tcPr>
            <w:tcW w:w="782" w:type="pct"/>
            <w:vAlign w:val="center"/>
          </w:tcPr>
          <w:p w14:paraId="76A55CDB">
            <w:pPr>
              <w:jc w:val="center"/>
              <w:rPr>
                <w:rFonts w:hint="eastAsia" w:ascii="宋体" w:hAnsi="宋体" w:cs="宋体"/>
                <w:b/>
                <w:bCs/>
                <w:color w:val="auto"/>
                <w:highlight w:val="none"/>
              </w:rPr>
            </w:pPr>
          </w:p>
        </w:tc>
        <w:tc>
          <w:tcPr>
            <w:tcW w:w="3079" w:type="pct"/>
            <w:vAlign w:val="center"/>
          </w:tcPr>
          <w:p w14:paraId="40E8343F">
            <w:pPr>
              <w:jc w:val="center"/>
              <w:rPr>
                <w:rFonts w:hint="eastAsia" w:ascii="宋体" w:hAnsi="宋体" w:cs="宋体"/>
                <w:b/>
                <w:bCs/>
                <w:color w:val="auto"/>
                <w:highlight w:val="none"/>
              </w:rPr>
            </w:pPr>
            <w:r>
              <w:rPr>
                <w:rFonts w:hint="eastAsia" w:ascii="宋体" w:hAnsi="宋体" w:cs="宋体"/>
                <w:b/>
                <w:bCs/>
                <w:color w:val="auto"/>
                <w:highlight w:val="none"/>
              </w:rPr>
              <w:t>通风系统</w:t>
            </w:r>
          </w:p>
        </w:tc>
        <w:tc>
          <w:tcPr>
            <w:tcW w:w="384" w:type="pct"/>
            <w:vAlign w:val="center"/>
          </w:tcPr>
          <w:p w14:paraId="272923F0">
            <w:pPr>
              <w:jc w:val="center"/>
              <w:rPr>
                <w:rFonts w:hint="eastAsia" w:ascii="宋体" w:hAnsi="宋体" w:cs="宋体"/>
                <w:b/>
                <w:bCs/>
                <w:color w:val="auto"/>
                <w:highlight w:val="none"/>
              </w:rPr>
            </w:pPr>
          </w:p>
        </w:tc>
        <w:tc>
          <w:tcPr>
            <w:tcW w:w="385" w:type="pct"/>
            <w:vAlign w:val="center"/>
          </w:tcPr>
          <w:p w14:paraId="705479DD">
            <w:pPr>
              <w:jc w:val="center"/>
              <w:rPr>
                <w:rFonts w:hint="eastAsia" w:ascii="宋体" w:hAnsi="宋体" w:cs="宋体"/>
                <w:b/>
                <w:bCs/>
                <w:color w:val="auto"/>
                <w:highlight w:val="none"/>
              </w:rPr>
            </w:pPr>
          </w:p>
        </w:tc>
      </w:tr>
      <w:tr w14:paraId="504E9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26DD581D">
            <w:pPr>
              <w:jc w:val="center"/>
              <w:rPr>
                <w:color w:val="auto"/>
                <w:highlight w:val="none"/>
              </w:rPr>
            </w:pPr>
            <w:r>
              <w:rPr>
                <w:rFonts w:hint="eastAsia" w:ascii="宋体" w:hAnsi="宋体" w:cs="宋体"/>
                <w:color w:val="auto"/>
                <w:highlight w:val="none"/>
              </w:rPr>
              <w:t>1</w:t>
            </w:r>
          </w:p>
        </w:tc>
        <w:tc>
          <w:tcPr>
            <w:tcW w:w="782" w:type="pct"/>
            <w:vAlign w:val="center"/>
          </w:tcPr>
          <w:p w14:paraId="148A055D">
            <w:pPr>
              <w:jc w:val="center"/>
              <w:rPr>
                <w:color w:val="auto"/>
                <w:highlight w:val="none"/>
              </w:rPr>
            </w:pPr>
            <w:r>
              <w:rPr>
                <w:rFonts w:hint="eastAsia" w:ascii="宋体" w:hAnsi="宋体" w:cs="宋体"/>
                <w:color w:val="auto"/>
                <w:highlight w:val="none"/>
              </w:rPr>
              <w:t>室内行程通风系统</w:t>
            </w:r>
          </w:p>
        </w:tc>
        <w:tc>
          <w:tcPr>
            <w:tcW w:w="3079" w:type="pct"/>
            <w:vAlign w:val="center"/>
          </w:tcPr>
          <w:p w14:paraId="0DFC7670">
            <w:pPr>
              <w:rPr>
                <w:rFonts w:hint="eastAsia" w:ascii="宋体" w:hAnsi="宋体" w:cs="宋体"/>
                <w:color w:val="auto"/>
                <w:highlight w:val="none"/>
              </w:rPr>
            </w:pPr>
            <w:r>
              <w:rPr>
                <w:rFonts w:hint="eastAsia" w:ascii="宋体" w:hAnsi="宋体" w:cs="宋体"/>
                <w:color w:val="auto"/>
                <w:highlight w:val="none"/>
              </w:rPr>
              <w:t>1.采用防腐蚀PVC材质，整体焊接成型，具有整体结构性能好、严密性高等优点，同时具有耐酸碱性能。</w:t>
            </w:r>
          </w:p>
          <w:p w14:paraId="29585C43">
            <w:pPr>
              <w:rPr>
                <w:color w:val="auto"/>
                <w:highlight w:val="none"/>
              </w:rPr>
            </w:pPr>
            <w:r>
              <w:rPr>
                <w:rFonts w:hint="eastAsia" w:ascii="宋体" w:hAnsi="宋体" w:cs="宋体"/>
                <w:color w:val="auto"/>
                <w:highlight w:val="none"/>
              </w:rPr>
              <w:t>2.规格：主风管直径不低于200mm，支风管直径不低于110mm；管卡采用碳钢制作，表面经镀铬处理，具有耐腐蚀、防火、防潮等功能。</w:t>
            </w:r>
          </w:p>
        </w:tc>
        <w:tc>
          <w:tcPr>
            <w:tcW w:w="384" w:type="pct"/>
            <w:vAlign w:val="center"/>
          </w:tcPr>
          <w:p w14:paraId="3DD84B4F">
            <w:pPr>
              <w:jc w:val="center"/>
              <w:rPr>
                <w:color w:val="auto"/>
                <w:highlight w:val="none"/>
              </w:rPr>
            </w:pPr>
            <w:r>
              <w:rPr>
                <w:rFonts w:hint="eastAsia" w:ascii="宋体" w:hAnsi="宋体" w:cs="宋体"/>
                <w:color w:val="auto"/>
                <w:highlight w:val="none"/>
              </w:rPr>
              <w:t>套</w:t>
            </w:r>
          </w:p>
        </w:tc>
        <w:tc>
          <w:tcPr>
            <w:tcW w:w="385" w:type="pct"/>
            <w:vAlign w:val="center"/>
          </w:tcPr>
          <w:p w14:paraId="2DCDEECA">
            <w:pPr>
              <w:jc w:val="center"/>
              <w:textAlignment w:val="center"/>
              <w:rPr>
                <w:color w:val="auto"/>
                <w:highlight w:val="none"/>
              </w:rPr>
            </w:pPr>
            <w:r>
              <w:rPr>
                <w:rFonts w:hint="eastAsia" w:ascii="宋体" w:hAnsi="宋体" w:cs="宋体"/>
                <w:color w:val="auto"/>
                <w:kern w:val="0"/>
                <w:szCs w:val="21"/>
                <w:highlight w:val="none"/>
                <w:lang w:bidi="ar"/>
              </w:rPr>
              <w:t>2</w:t>
            </w:r>
          </w:p>
        </w:tc>
      </w:tr>
      <w:tr w14:paraId="15458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71945F51">
            <w:pPr>
              <w:jc w:val="center"/>
              <w:rPr>
                <w:color w:val="auto"/>
                <w:highlight w:val="none"/>
              </w:rPr>
            </w:pPr>
            <w:r>
              <w:rPr>
                <w:rFonts w:hint="eastAsia" w:ascii="宋体" w:hAnsi="宋体" w:cs="宋体"/>
                <w:color w:val="auto"/>
                <w:highlight w:val="none"/>
              </w:rPr>
              <w:t>2</w:t>
            </w:r>
          </w:p>
        </w:tc>
        <w:tc>
          <w:tcPr>
            <w:tcW w:w="782" w:type="pct"/>
            <w:vAlign w:val="center"/>
          </w:tcPr>
          <w:p w14:paraId="64199744">
            <w:pPr>
              <w:jc w:val="center"/>
              <w:rPr>
                <w:color w:val="auto"/>
                <w:highlight w:val="none"/>
              </w:rPr>
            </w:pPr>
            <w:r>
              <w:rPr>
                <w:rFonts w:hint="eastAsia" w:ascii="宋体" w:hAnsi="宋体" w:cs="宋体"/>
                <w:color w:val="auto"/>
                <w:highlight w:val="none"/>
              </w:rPr>
              <w:t>室外行程通风系统</w:t>
            </w:r>
          </w:p>
        </w:tc>
        <w:tc>
          <w:tcPr>
            <w:tcW w:w="3079" w:type="pct"/>
            <w:vAlign w:val="center"/>
          </w:tcPr>
          <w:p w14:paraId="44CCFAD2">
            <w:pPr>
              <w:rPr>
                <w:rFonts w:hint="eastAsia" w:ascii="宋体" w:hAnsi="宋体" w:cs="宋体"/>
                <w:color w:val="auto"/>
                <w:highlight w:val="none"/>
              </w:rPr>
            </w:pPr>
            <w:r>
              <w:rPr>
                <w:rFonts w:hint="eastAsia" w:ascii="宋体" w:hAnsi="宋体" w:cs="宋体"/>
                <w:color w:val="auto"/>
                <w:highlight w:val="none"/>
              </w:rPr>
              <w:t>采用防腐蚀PVC材质，整体焊接成型，具有整体结构性能好、严密性高等优点，同时具有耐酸碱性能。</w:t>
            </w:r>
          </w:p>
          <w:p w14:paraId="06BF3271">
            <w:pPr>
              <w:rPr>
                <w:color w:val="auto"/>
                <w:highlight w:val="none"/>
              </w:rPr>
            </w:pPr>
            <w:r>
              <w:rPr>
                <w:rFonts w:hint="eastAsia" w:ascii="宋体" w:hAnsi="宋体" w:cs="宋体"/>
                <w:color w:val="auto"/>
                <w:highlight w:val="none"/>
              </w:rPr>
              <w:t>规格：主风管直径不低于315mm，管卡采用碳钢制作，表面经镀铬处理，具有耐腐蚀、防火、防潮等功能。</w:t>
            </w:r>
          </w:p>
        </w:tc>
        <w:tc>
          <w:tcPr>
            <w:tcW w:w="384" w:type="pct"/>
            <w:vAlign w:val="center"/>
          </w:tcPr>
          <w:p w14:paraId="6FFEDEF5">
            <w:pPr>
              <w:jc w:val="center"/>
              <w:rPr>
                <w:color w:val="auto"/>
                <w:highlight w:val="none"/>
              </w:rPr>
            </w:pPr>
            <w:r>
              <w:rPr>
                <w:rFonts w:hint="eastAsia" w:ascii="宋体" w:hAnsi="宋体" w:cs="宋体"/>
                <w:color w:val="auto"/>
                <w:highlight w:val="none"/>
              </w:rPr>
              <w:t>套</w:t>
            </w:r>
          </w:p>
        </w:tc>
        <w:tc>
          <w:tcPr>
            <w:tcW w:w="385" w:type="pct"/>
            <w:vAlign w:val="center"/>
          </w:tcPr>
          <w:p w14:paraId="1FBC48E7">
            <w:pPr>
              <w:jc w:val="center"/>
              <w:textAlignment w:val="center"/>
              <w:rPr>
                <w:color w:val="auto"/>
                <w:highlight w:val="none"/>
              </w:rPr>
            </w:pPr>
            <w:r>
              <w:rPr>
                <w:rFonts w:hint="eastAsia" w:ascii="宋体" w:hAnsi="宋体" w:cs="宋体"/>
                <w:color w:val="auto"/>
                <w:kern w:val="0"/>
                <w:szCs w:val="21"/>
                <w:highlight w:val="none"/>
                <w:lang w:bidi="ar"/>
              </w:rPr>
              <w:t>2</w:t>
            </w:r>
          </w:p>
        </w:tc>
      </w:tr>
      <w:tr w14:paraId="5A3BD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288AC41F">
            <w:pPr>
              <w:jc w:val="center"/>
              <w:rPr>
                <w:color w:val="auto"/>
                <w:highlight w:val="none"/>
              </w:rPr>
            </w:pPr>
            <w:r>
              <w:rPr>
                <w:rFonts w:hint="eastAsia" w:ascii="宋体" w:hAnsi="宋体" w:cs="宋体"/>
                <w:color w:val="auto"/>
                <w:highlight w:val="none"/>
              </w:rPr>
              <w:t>3</w:t>
            </w:r>
          </w:p>
        </w:tc>
        <w:tc>
          <w:tcPr>
            <w:tcW w:w="782" w:type="pct"/>
            <w:vAlign w:val="center"/>
          </w:tcPr>
          <w:p w14:paraId="6E928EAF">
            <w:pPr>
              <w:jc w:val="center"/>
              <w:rPr>
                <w:color w:val="auto"/>
                <w:highlight w:val="none"/>
              </w:rPr>
            </w:pPr>
            <w:r>
              <w:rPr>
                <w:rFonts w:hint="eastAsia" w:ascii="宋体" w:hAnsi="宋体" w:cs="宋体"/>
                <w:color w:val="auto"/>
                <w:highlight w:val="none"/>
              </w:rPr>
              <w:t>通风风机</w:t>
            </w:r>
          </w:p>
        </w:tc>
        <w:tc>
          <w:tcPr>
            <w:tcW w:w="3079" w:type="pct"/>
            <w:vAlign w:val="center"/>
          </w:tcPr>
          <w:p w14:paraId="0778BCF9">
            <w:pPr>
              <w:rPr>
                <w:rFonts w:hint="eastAsia" w:ascii="宋体" w:hAnsi="宋体" w:cs="宋体"/>
                <w:color w:val="auto"/>
                <w:highlight w:val="none"/>
              </w:rPr>
            </w:pPr>
            <w:r>
              <w:rPr>
                <w:rFonts w:hint="eastAsia" w:ascii="宋体" w:hAnsi="宋体" w:cs="宋体"/>
                <w:color w:val="auto"/>
                <w:highlight w:val="none"/>
              </w:rPr>
              <w:t>1.结构：PP蜗牛式离心风机，功率：≥5.5KW。</w:t>
            </w:r>
          </w:p>
          <w:p w14:paraId="3DF6576D">
            <w:pPr>
              <w:rPr>
                <w:rFonts w:hint="eastAsia" w:ascii="宋体" w:hAnsi="宋体" w:cs="宋体"/>
                <w:color w:val="auto"/>
                <w:highlight w:val="none"/>
              </w:rPr>
            </w:pPr>
            <w:r>
              <w:rPr>
                <w:rFonts w:hint="eastAsia" w:ascii="宋体" w:hAnsi="宋体" w:cs="宋体"/>
                <w:color w:val="auto"/>
                <w:highlight w:val="none"/>
              </w:rPr>
              <w:t>2.进出口接头采用柔性材质，消除因震动引起的微量错位对风机的影响。</w:t>
            </w:r>
          </w:p>
        </w:tc>
        <w:tc>
          <w:tcPr>
            <w:tcW w:w="384" w:type="pct"/>
            <w:vAlign w:val="center"/>
          </w:tcPr>
          <w:p w14:paraId="2E84C891">
            <w:pPr>
              <w:jc w:val="center"/>
              <w:rPr>
                <w:color w:val="auto"/>
                <w:highlight w:val="none"/>
              </w:rPr>
            </w:pPr>
            <w:r>
              <w:rPr>
                <w:rFonts w:hint="eastAsia" w:ascii="宋体" w:hAnsi="宋体" w:cs="宋体"/>
                <w:color w:val="auto"/>
                <w:highlight w:val="none"/>
              </w:rPr>
              <w:t>台</w:t>
            </w:r>
          </w:p>
        </w:tc>
        <w:tc>
          <w:tcPr>
            <w:tcW w:w="385" w:type="pct"/>
            <w:vAlign w:val="center"/>
          </w:tcPr>
          <w:p w14:paraId="370F1F98">
            <w:pPr>
              <w:jc w:val="center"/>
              <w:textAlignment w:val="center"/>
              <w:rPr>
                <w:color w:val="auto"/>
                <w:highlight w:val="none"/>
              </w:rPr>
            </w:pPr>
            <w:r>
              <w:rPr>
                <w:rFonts w:hint="eastAsia" w:ascii="宋体" w:hAnsi="宋体" w:cs="宋体"/>
                <w:color w:val="auto"/>
                <w:kern w:val="0"/>
                <w:szCs w:val="21"/>
                <w:highlight w:val="none"/>
                <w:lang w:bidi="ar"/>
              </w:rPr>
              <w:t>2</w:t>
            </w:r>
          </w:p>
        </w:tc>
      </w:tr>
      <w:tr w14:paraId="4A3A2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44C8DAB8">
            <w:pPr>
              <w:jc w:val="center"/>
              <w:rPr>
                <w:color w:val="auto"/>
                <w:highlight w:val="none"/>
              </w:rPr>
            </w:pPr>
            <w:r>
              <w:rPr>
                <w:rFonts w:hint="eastAsia" w:ascii="宋体" w:hAnsi="宋体" w:cs="宋体"/>
                <w:color w:val="auto"/>
                <w:highlight w:val="none"/>
              </w:rPr>
              <w:t>4</w:t>
            </w:r>
          </w:p>
        </w:tc>
        <w:tc>
          <w:tcPr>
            <w:tcW w:w="782" w:type="pct"/>
            <w:vAlign w:val="center"/>
          </w:tcPr>
          <w:p w14:paraId="687B9BE9">
            <w:pPr>
              <w:jc w:val="center"/>
              <w:rPr>
                <w:color w:val="auto"/>
                <w:highlight w:val="none"/>
              </w:rPr>
            </w:pPr>
            <w:r>
              <w:rPr>
                <w:rFonts w:hint="eastAsia" w:ascii="宋体" w:hAnsi="宋体" w:cs="宋体"/>
                <w:color w:val="auto"/>
                <w:highlight w:val="none"/>
              </w:rPr>
              <w:t>风机控制线</w:t>
            </w:r>
          </w:p>
        </w:tc>
        <w:tc>
          <w:tcPr>
            <w:tcW w:w="3079" w:type="pct"/>
            <w:vAlign w:val="center"/>
          </w:tcPr>
          <w:p w14:paraId="69191607">
            <w:pPr>
              <w:rPr>
                <w:color w:val="auto"/>
                <w:highlight w:val="none"/>
              </w:rPr>
            </w:pPr>
            <w:r>
              <w:rPr>
                <w:rFonts w:hint="eastAsia" w:ascii="宋体" w:hAnsi="宋体" w:cs="宋体"/>
                <w:color w:val="auto"/>
                <w:highlight w:val="none"/>
              </w:rPr>
              <w:t>电源主线采用国标BV塑铜线铺设，经教师电源控制台至风机。</w:t>
            </w:r>
          </w:p>
        </w:tc>
        <w:tc>
          <w:tcPr>
            <w:tcW w:w="384" w:type="pct"/>
            <w:vAlign w:val="center"/>
          </w:tcPr>
          <w:p w14:paraId="026F0953">
            <w:pPr>
              <w:jc w:val="center"/>
              <w:rPr>
                <w:color w:val="auto"/>
                <w:highlight w:val="none"/>
              </w:rPr>
            </w:pPr>
            <w:r>
              <w:rPr>
                <w:rFonts w:hint="eastAsia" w:ascii="宋体" w:hAnsi="宋体" w:cs="宋体"/>
                <w:color w:val="auto"/>
                <w:highlight w:val="none"/>
              </w:rPr>
              <w:t>套</w:t>
            </w:r>
          </w:p>
        </w:tc>
        <w:tc>
          <w:tcPr>
            <w:tcW w:w="385" w:type="pct"/>
            <w:vAlign w:val="center"/>
          </w:tcPr>
          <w:p w14:paraId="78C57583">
            <w:pPr>
              <w:jc w:val="center"/>
              <w:textAlignment w:val="center"/>
              <w:rPr>
                <w:color w:val="auto"/>
                <w:highlight w:val="none"/>
              </w:rPr>
            </w:pPr>
            <w:r>
              <w:rPr>
                <w:rFonts w:hint="eastAsia" w:ascii="宋体" w:hAnsi="宋体" w:cs="宋体"/>
                <w:color w:val="auto"/>
                <w:kern w:val="0"/>
                <w:szCs w:val="21"/>
                <w:highlight w:val="none"/>
                <w:lang w:bidi="ar"/>
              </w:rPr>
              <w:t>2</w:t>
            </w:r>
          </w:p>
        </w:tc>
      </w:tr>
      <w:tr w14:paraId="3EC28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370" w:type="pct"/>
            <w:vAlign w:val="center"/>
          </w:tcPr>
          <w:p w14:paraId="3380CC8F">
            <w:pPr>
              <w:jc w:val="center"/>
              <w:rPr>
                <w:rFonts w:hint="eastAsia" w:ascii="宋体" w:hAnsi="宋体" w:cs="宋体"/>
                <w:color w:val="auto"/>
                <w:highlight w:val="none"/>
              </w:rPr>
            </w:pPr>
          </w:p>
        </w:tc>
        <w:tc>
          <w:tcPr>
            <w:tcW w:w="782" w:type="pct"/>
            <w:vAlign w:val="center"/>
          </w:tcPr>
          <w:p w14:paraId="6F3449C9">
            <w:pPr>
              <w:jc w:val="center"/>
              <w:rPr>
                <w:rFonts w:hint="eastAsia" w:ascii="宋体" w:hAnsi="宋体" w:cs="宋体"/>
                <w:color w:val="auto"/>
                <w:highlight w:val="none"/>
              </w:rPr>
            </w:pPr>
          </w:p>
        </w:tc>
        <w:tc>
          <w:tcPr>
            <w:tcW w:w="3079" w:type="pct"/>
            <w:shd w:val="clear" w:color="auto" w:fill="auto"/>
            <w:vAlign w:val="center"/>
          </w:tcPr>
          <w:p w14:paraId="43FF9AEE">
            <w:pPr>
              <w:jc w:val="center"/>
              <w:rPr>
                <w:rFonts w:hint="eastAsia" w:ascii="宋体" w:hAnsi="宋体" w:cs="宋体"/>
                <w:color w:val="auto"/>
                <w:highlight w:val="none"/>
              </w:rPr>
            </w:pPr>
            <w:r>
              <w:rPr>
                <w:rFonts w:hint="eastAsia" w:ascii="宋体" w:hAnsi="宋体" w:cs="宋体"/>
                <w:b/>
                <w:bCs/>
                <w:color w:val="auto"/>
                <w:highlight w:val="none"/>
              </w:rPr>
              <w:t>集成主控制软件系统</w:t>
            </w:r>
          </w:p>
        </w:tc>
        <w:tc>
          <w:tcPr>
            <w:tcW w:w="384" w:type="pct"/>
            <w:shd w:val="clear" w:color="auto" w:fill="auto"/>
            <w:vAlign w:val="center"/>
          </w:tcPr>
          <w:p w14:paraId="3FE7807E">
            <w:pPr>
              <w:jc w:val="center"/>
              <w:rPr>
                <w:rFonts w:hint="eastAsia" w:ascii="宋体" w:hAnsi="宋体" w:cs="宋体"/>
                <w:color w:val="auto"/>
                <w:highlight w:val="none"/>
              </w:rPr>
            </w:pPr>
          </w:p>
        </w:tc>
        <w:tc>
          <w:tcPr>
            <w:tcW w:w="385" w:type="pct"/>
            <w:vAlign w:val="center"/>
          </w:tcPr>
          <w:p w14:paraId="2F39280F">
            <w:pPr>
              <w:jc w:val="center"/>
              <w:textAlignment w:val="center"/>
              <w:rPr>
                <w:rFonts w:hint="eastAsia" w:ascii="宋体" w:hAnsi="宋体" w:cs="宋体"/>
                <w:color w:val="auto"/>
                <w:highlight w:val="none"/>
              </w:rPr>
            </w:pPr>
          </w:p>
        </w:tc>
      </w:tr>
      <w:tr w14:paraId="3F7AD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48204EAE">
            <w:pPr>
              <w:jc w:val="center"/>
              <w:rPr>
                <w:color w:val="auto"/>
                <w:highlight w:val="none"/>
              </w:rPr>
            </w:pPr>
            <w:r>
              <w:rPr>
                <w:rFonts w:hint="eastAsia" w:ascii="宋体" w:hAnsi="宋体" w:cs="宋体"/>
                <w:color w:val="auto"/>
                <w:highlight w:val="none"/>
              </w:rPr>
              <w:t>1</w:t>
            </w:r>
          </w:p>
        </w:tc>
        <w:tc>
          <w:tcPr>
            <w:tcW w:w="782" w:type="pct"/>
            <w:vAlign w:val="center"/>
          </w:tcPr>
          <w:p w14:paraId="1A7748BF">
            <w:pPr>
              <w:jc w:val="center"/>
              <w:rPr>
                <w:color w:val="auto"/>
                <w:highlight w:val="none"/>
              </w:rPr>
            </w:pPr>
            <w:r>
              <w:rPr>
                <w:rFonts w:hint="eastAsia" w:ascii="宋体" w:hAnsi="宋体" w:cs="宋体"/>
                <w:color w:val="auto"/>
                <w:highlight w:val="none"/>
              </w:rPr>
              <w:t>顶装智能系统总控柜</w:t>
            </w:r>
          </w:p>
        </w:tc>
        <w:tc>
          <w:tcPr>
            <w:tcW w:w="3079" w:type="pct"/>
            <w:vAlign w:val="center"/>
          </w:tcPr>
          <w:p w14:paraId="6D2E9190">
            <w:pPr>
              <w:rPr>
                <w:rFonts w:hint="eastAsia" w:ascii="宋体" w:hAnsi="宋体" w:cs="宋体"/>
                <w:color w:val="auto"/>
                <w:highlight w:val="none"/>
              </w:rPr>
            </w:pPr>
            <w:r>
              <w:rPr>
                <w:rFonts w:hint="eastAsia" w:ascii="宋体" w:hAnsi="宋体" w:cs="宋体"/>
                <w:color w:val="auto"/>
                <w:highlight w:val="none"/>
              </w:rPr>
              <w:t>智能控制柜配置包括但不限于：总漏电保护器、每分路独立漏电保护器、总控制器1个、开关电源1个，≥10寸屏1个，启动开关1个，单片机控制器及功能扩展模块1套，单片机保护模块1个、急停控制系统1个，工作指示灯系统1套，分组控制系统5套。</w:t>
            </w:r>
          </w:p>
          <w:p w14:paraId="2E933AC6">
            <w:pPr>
              <w:rPr>
                <w:rFonts w:hint="eastAsia" w:ascii="宋体" w:hAnsi="宋体" w:cs="宋体"/>
                <w:b/>
                <w:bCs/>
                <w:color w:val="auto"/>
                <w:highlight w:val="none"/>
              </w:rPr>
            </w:pPr>
            <w:r>
              <w:rPr>
                <w:rFonts w:hint="eastAsia" w:ascii="宋体" w:hAnsi="宋体" w:cs="宋体"/>
                <w:b/>
                <w:bCs/>
                <w:color w:val="auto"/>
                <w:highlight w:val="none"/>
              </w:rPr>
              <w:t>提供第三方专业检测机构出具的含有CNAS、CMA标志的产品检测报告的扫描件，佐证介电强度试验合格、静电放电抗扰度合格。</w:t>
            </w:r>
          </w:p>
        </w:tc>
        <w:tc>
          <w:tcPr>
            <w:tcW w:w="384" w:type="pct"/>
            <w:vAlign w:val="center"/>
          </w:tcPr>
          <w:p w14:paraId="61428256">
            <w:pPr>
              <w:jc w:val="center"/>
              <w:rPr>
                <w:color w:val="auto"/>
                <w:highlight w:val="none"/>
              </w:rPr>
            </w:pPr>
            <w:r>
              <w:rPr>
                <w:rFonts w:hint="eastAsia" w:ascii="宋体" w:hAnsi="宋体" w:cs="宋体"/>
                <w:color w:val="auto"/>
                <w:highlight w:val="none"/>
              </w:rPr>
              <w:t>台</w:t>
            </w:r>
          </w:p>
        </w:tc>
        <w:tc>
          <w:tcPr>
            <w:tcW w:w="385" w:type="pct"/>
            <w:vAlign w:val="center"/>
          </w:tcPr>
          <w:p w14:paraId="4F8F173A">
            <w:pPr>
              <w:jc w:val="center"/>
              <w:textAlignment w:val="center"/>
              <w:rPr>
                <w:color w:val="auto"/>
                <w:highlight w:val="none"/>
              </w:rPr>
            </w:pPr>
            <w:r>
              <w:rPr>
                <w:rFonts w:hint="eastAsia" w:ascii="宋体" w:hAnsi="宋体" w:cs="宋体"/>
                <w:color w:val="auto"/>
                <w:kern w:val="0"/>
                <w:szCs w:val="21"/>
                <w:highlight w:val="none"/>
                <w:lang w:bidi="ar"/>
              </w:rPr>
              <w:t>2</w:t>
            </w:r>
          </w:p>
        </w:tc>
      </w:tr>
      <w:tr w14:paraId="6BF6C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370" w:type="pct"/>
            <w:vAlign w:val="center"/>
          </w:tcPr>
          <w:p w14:paraId="67298074">
            <w:pPr>
              <w:jc w:val="center"/>
              <w:rPr>
                <w:color w:val="auto"/>
                <w:highlight w:val="none"/>
              </w:rPr>
            </w:pPr>
            <w:r>
              <w:rPr>
                <w:rFonts w:hint="eastAsia" w:ascii="宋体" w:hAnsi="宋体" w:cs="宋体"/>
                <w:color w:val="auto"/>
                <w:highlight w:val="none"/>
              </w:rPr>
              <w:t>2</w:t>
            </w:r>
          </w:p>
        </w:tc>
        <w:tc>
          <w:tcPr>
            <w:tcW w:w="782" w:type="pct"/>
            <w:vAlign w:val="center"/>
          </w:tcPr>
          <w:p w14:paraId="3E31DDFF">
            <w:pPr>
              <w:jc w:val="center"/>
              <w:rPr>
                <w:color w:val="auto"/>
                <w:highlight w:val="none"/>
              </w:rPr>
            </w:pPr>
            <w:r>
              <w:rPr>
                <w:rFonts w:hint="eastAsia" w:ascii="宋体" w:hAnsi="宋体" w:cs="宋体"/>
                <w:color w:val="auto"/>
                <w:highlight w:val="none"/>
              </w:rPr>
              <w:t>智能防漏电安全电源</w:t>
            </w:r>
          </w:p>
        </w:tc>
        <w:tc>
          <w:tcPr>
            <w:tcW w:w="3079" w:type="pct"/>
            <w:vAlign w:val="center"/>
          </w:tcPr>
          <w:p w14:paraId="1A1E6325">
            <w:pPr>
              <w:rPr>
                <w:rFonts w:hint="eastAsia" w:ascii="宋体" w:hAnsi="宋体" w:cs="宋体"/>
                <w:color w:val="auto"/>
                <w:highlight w:val="none"/>
              </w:rPr>
            </w:pPr>
            <w:r>
              <w:rPr>
                <w:rFonts w:hint="eastAsia" w:ascii="宋体" w:hAnsi="宋体" w:cs="宋体"/>
                <w:color w:val="auto"/>
                <w:highlight w:val="none"/>
              </w:rPr>
              <w:t>1.接触电流和保护导体电流：设备的设计和结构能保证接触电流或保护导体电流均不可能产生电击危险。</w:t>
            </w:r>
          </w:p>
          <w:p w14:paraId="1ACE3E50">
            <w:pPr>
              <w:rPr>
                <w:rFonts w:hint="eastAsia" w:ascii="宋体" w:hAnsi="宋体" w:cs="宋体"/>
                <w:color w:val="auto"/>
                <w:highlight w:val="none"/>
              </w:rPr>
            </w:pPr>
            <w:r>
              <w:rPr>
                <w:rFonts w:hint="eastAsia" w:ascii="宋体" w:hAnsi="宋体" w:cs="宋体"/>
                <w:color w:val="auto"/>
                <w:highlight w:val="none"/>
              </w:rPr>
              <w:t>▲2.要求设备试验电压≥250V，</w:t>
            </w:r>
            <w:r>
              <w:rPr>
                <w:rFonts w:hint="eastAsia" w:ascii="宋体" w:hAnsi="宋体" w:cs="宋体"/>
                <w:b/>
                <w:bCs/>
                <w:color w:val="auto"/>
                <w:highlight w:val="none"/>
              </w:rPr>
              <w:t>需提供第三方检测机构出具的具有CMA或CNAS标识的检测报告扫描件，佐证设备试验电压投标参数满足招标参数要求。</w:t>
            </w:r>
          </w:p>
          <w:p w14:paraId="75393B8E">
            <w:pPr>
              <w:rPr>
                <w:rFonts w:hint="eastAsia" w:ascii="宋体" w:hAnsi="宋体" w:cs="宋体"/>
                <w:color w:val="auto"/>
                <w:highlight w:val="none"/>
              </w:rPr>
            </w:pPr>
            <w:r>
              <w:rPr>
                <w:rFonts w:hint="eastAsia" w:ascii="宋体" w:hAnsi="宋体" w:cs="宋体"/>
                <w:color w:val="auto"/>
                <w:highlight w:val="none"/>
              </w:rPr>
              <w:t>▲3.要求设备相对温度≥40℃,相对湿度≥90%。</w:t>
            </w:r>
            <w:r>
              <w:rPr>
                <w:rFonts w:hint="eastAsia" w:ascii="宋体" w:hAnsi="宋体" w:cs="宋体"/>
                <w:b/>
                <w:bCs/>
                <w:color w:val="auto"/>
                <w:highlight w:val="none"/>
              </w:rPr>
              <w:t>需提供第三方检测机构出具的具有CMA或CNAS标识的检测报告扫描件，佐证设备相对温度及湿度投标参数满足招标参数要求。</w:t>
            </w:r>
          </w:p>
          <w:p w14:paraId="2FAEB524">
            <w:pPr>
              <w:rPr>
                <w:rFonts w:hint="eastAsia" w:ascii="宋体" w:hAnsi="宋体" w:cs="宋体"/>
                <w:color w:val="auto"/>
                <w:highlight w:val="none"/>
              </w:rPr>
            </w:pPr>
            <w:r>
              <w:rPr>
                <w:rFonts w:hint="eastAsia" w:ascii="宋体" w:hAnsi="宋体" w:cs="宋体"/>
                <w:color w:val="auto"/>
                <w:highlight w:val="none"/>
              </w:rPr>
              <w:t>▲4.要求设备在220V±15%的电压范围内正常工作。</w:t>
            </w:r>
            <w:r>
              <w:rPr>
                <w:rFonts w:hint="eastAsia" w:ascii="宋体" w:hAnsi="宋体" w:cs="宋体"/>
                <w:b/>
                <w:bCs/>
                <w:color w:val="auto"/>
                <w:highlight w:val="none"/>
              </w:rPr>
              <w:t>需提供第三方检测机构出具的具有CMA或CNAS标识的检测报告扫描件，佐证设备额定电压投标参数满足招标参数要求。</w:t>
            </w:r>
          </w:p>
          <w:p w14:paraId="5C67F7F9">
            <w:pPr>
              <w:rPr>
                <w:rFonts w:hint="eastAsia" w:ascii="宋体" w:hAnsi="宋体" w:cs="宋体"/>
                <w:color w:val="auto"/>
                <w:highlight w:val="none"/>
              </w:rPr>
            </w:pPr>
            <w:r>
              <w:rPr>
                <w:rFonts w:hint="eastAsia" w:ascii="宋体" w:hAnsi="宋体" w:cs="宋体"/>
                <w:color w:val="auto"/>
                <w:highlight w:val="none"/>
              </w:rPr>
              <w:t>▲5.要求设备最大接触电流≤3.5mA。</w:t>
            </w:r>
            <w:r>
              <w:rPr>
                <w:rFonts w:hint="eastAsia" w:ascii="宋体" w:hAnsi="宋体" w:cs="宋体"/>
                <w:b/>
                <w:bCs/>
                <w:color w:val="auto"/>
                <w:highlight w:val="none"/>
              </w:rPr>
              <w:t>需提供第三方检测机构出具的具有CMA或CNAS标识的检测报告扫描件，佐证设备最大接触电流投标参数满足招标参数要求。</w:t>
            </w:r>
          </w:p>
          <w:p w14:paraId="1BA0F9C1">
            <w:pPr>
              <w:rPr>
                <w:rFonts w:hint="eastAsia" w:ascii="宋体" w:hAnsi="宋体" w:cs="宋体"/>
                <w:color w:val="auto"/>
                <w:highlight w:val="none"/>
              </w:rPr>
            </w:pPr>
            <w:r>
              <w:rPr>
                <w:rFonts w:hint="eastAsia" w:ascii="宋体" w:hAnsi="宋体" w:cs="宋体"/>
                <w:color w:val="auto"/>
                <w:highlight w:val="none"/>
              </w:rPr>
              <w:t>6.设备输出频率精度应达到50/60土0.1Hz。</w:t>
            </w:r>
          </w:p>
          <w:p w14:paraId="099A22FB">
            <w:pPr>
              <w:rPr>
                <w:color w:val="auto"/>
                <w:highlight w:val="none"/>
              </w:rPr>
            </w:pPr>
            <w:r>
              <w:rPr>
                <w:rFonts w:hint="eastAsia" w:ascii="宋体" w:hAnsi="宋体" w:cs="宋体"/>
                <w:color w:val="auto"/>
                <w:highlight w:val="none"/>
              </w:rPr>
              <w:t>7.设备输出波形失真率应≤3%THD(线性负载)。</w:t>
            </w:r>
          </w:p>
        </w:tc>
        <w:tc>
          <w:tcPr>
            <w:tcW w:w="384" w:type="pct"/>
            <w:vAlign w:val="center"/>
          </w:tcPr>
          <w:p w14:paraId="793C9DB2">
            <w:pPr>
              <w:jc w:val="center"/>
              <w:rPr>
                <w:color w:val="auto"/>
                <w:highlight w:val="none"/>
              </w:rPr>
            </w:pPr>
            <w:r>
              <w:rPr>
                <w:rFonts w:hint="eastAsia" w:ascii="宋体" w:hAnsi="宋体" w:cs="宋体"/>
                <w:color w:val="auto"/>
                <w:highlight w:val="none"/>
              </w:rPr>
              <w:t>台</w:t>
            </w:r>
          </w:p>
        </w:tc>
        <w:tc>
          <w:tcPr>
            <w:tcW w:w="385" w:type="pct"/>
            <w:vAlign w:val="center"/>
          </w:tcPr>
          <w:p w14:paraId="257A9D71">
            <w:pPr>
              <w:jc w:val="center"/>
              <w:textAlignment w:val="center"/>
              <w:rPr>
                <w:color w:val="auto"/>
                <w:highlight w:val="none"/>
              </w:rPr>
            </w:pPr>
            <w:r>
              <w:rPr>
                <w:rFonts w:hint="eastAsia" w:ascii="宋体" w:hAnsi="宋体" w:cs="宋体"/>
                <w:color w:val="auto"/>
                <w:kern w:val="0"/>
                <w:szCs w:val="21"/>
                <w:highlight w:val="none"/>
                <w:lang w:bidi="ar"/>
              </w:rPr>
              <w:t>2</w:t>
            </w:r>
          </w:p>
        </w:tc>
      </w:tr>
      <w:tr w14:paraId="14F69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746C45B1">
            <w:pPr>
              <w:jc w:val="center"/>
              <w:rPr>
                <w:color w:val="auto"/>
                <w:highlight w:val="none"/>
              </w:rPr>
            </w:pPr>
            <w:r>
              <w:rPr>
                <w:rFonts w:hint="eastAsia" w:ascii="宋体" w:hAnsi="宋体" w:cs="宋体"/>
                <w:color w:val="auto"/>
                <w:highlight w:val="none"/>
              </w:rPr>
              <w:t>3</w:t>
            </w:r>
          </w:p>
        </w:tc>
        <w:tc>
          <w:tcPr>
            <w:tcW w:w="782" w:type="pct"/>
            <w:vAlign w:val="center"/>
          </w:tcPr>
          <w:p w14:paraId="78BA80B9">
            <w:pPr>
              <w:jc w:val="center"/>
              <w:rPr>
                <w:color w:val="auto"/>
                <w:highlight w:val="none"/>
              </w:rPr>
            </w:pPr>
            <w:r>
              <w:rPr>
                <w:rFonts w:hint="eastAsia" w:ascii="宋体" w:hAnsi="宋体" w:cs="宋体"/>
                <w:color w:val="auto"/>
                <w:highlight w:val="none"/>
              </w:rPr>
              <w:t>顶装智能软件控制平台</w:t>
            </w:r>
          </w:p>
        </w:tc>
        <w:tc>
          <w:tcPr>
            <w:tcW w:w="3079" w:type="pct"/>
            <w:vAlign w:val="center"/>
          </w:tcPr>
          <w:p w14:paraId="25E928ED">
            <w:pPr>
              <w:rPr>
                <w:rFonts w:hint="eastAsia" w:ascii="宋体" w:hAnsi="宋体" w:cs="宋体"/>
                <w:color w:val="auto"/>
                <w:highlight w:val="none"/>
              </w:rPr>
            </w:pPr>
            <w:r>
              <w:rPr>
                <w:rFonts w:hint="eastAsia" w:ascii="宋体" w:hAnsi="宋体" w:cs="宋体"/>
                <w:color w:val="auto"/>
                <w:highlight w:val="none"/>
              </w:rPr>
              <w:t>规格：≥10寸彩色液晶触摸屏，集成主控制系统，包括但不限于：通风控制、供水控制、照明控制、电源控制、摇臂控制，可执行各分项分页控制。</w:t>
            </w:r>
          </w:p>
          <w:p w14:paraId="7CD3DF57">
            <w:pPr>
              <w:rPr>
                <w:rFonts w:hint="eastAsia" w:ascii="宋体" w:hAnsi="宋体" w:cs="宋体"/>
                <w:color w:val="auto"/>
                <w:highlight w:val="none"/>
              </w:rPr>
            </w:pPr>
            <w:r>
              <w:rPr>
                <w:rFonts w:hint="eastAsia" w:ascii="宋体" w:hAnsi="宋体" w:cs="宋体"/>
                <w:color w:val="auto"/>
                <w:highlight w:val="none"/>
              </w:rPr>
              <w:t>1.通风控制：触摸数字无极变频控制，具有频率数字显示功能，可精确控制通风风量；采用风机矢量控制变频器：应用空间电压矢量控制原理，采用模块化设计、双CPU控制。主要参数指标为：（1）频率指示、异常指示、转速指示、状态指示等均由LED显示；（2）输入额定电压：三相380V，±15%；（3）输入额定频率：50/60 HZ；（4）控制方式：空间电压矢量控制；（5）输出频率：1.00~400.0 HZ；（6）过载能力：150% 额定电流；（7）保护功能：输入缺相、输入欠压、直流过压、过载等。</w:t>
            </w:r>
          </w:p>
          <w:p w14:paraId="672C053D">
            <w:pPr>
              <w:rPr>
                <w:rFonts w:hint="eastAsia" w:ascii="宋体" w:hAnsi="宋体" w:cs="宋体"/>
                <w:color w:val="auto"/>
                <w:highlight w:val="none"/>
              </w:rPr>
            </w:pPr>
            <w:r>
              <w:rPr>
                <w:rFonts w:hint="eastAsia" w:ascii="宋体" w:hAnsi="宋体" w:cs="宋体"/>
                <w:color w:val="auto"/>
                <w:highlight w:val="none"/>
              </w:rPr>
              <w:t>2.供水控制：集中控制整室给排水；设置总给水开关，可以对学生端和老师端单独给水：实验废水可以单独控制老师端，学生端排水，也可以一键排空所有老师端，学生端水槽内废水。</w:t>
            </w:r>
          </w:p>
          <w:p w14:paraId="1ED1E016">
            <w:pPr>
              <w:rPr>
                <w:rFonts w:hint="eastAsia" w:ascii="宋体" w:hAnsi="宋体" w:cs="宋体"/>
                <w:color w:val="auto"/>
                <w:highlight w:val="none"/>
              </w:rPr>
            </w:pPr>
            <w:r>
              <w:rPr>
                <w:rFonts w:hint="eastAsia" w:ascii="宋体" w:hAnsi="宋体" w:cs="宋体"/>
                <w:color w:val="auto"/>
                <w:highlight w:val="none"/>
              </w:rPr>
              <w:t>3.照明控制：分组控制整室照明；照明控制系统可以对照明进行控制，可以单独进行控制，进行单选、全选、反选，分组进行控制。</w:t>
            </w:r>
          </w:p>
          <w:p w14:paraId="748E672F">
            <w:pPr>
              <w:rPr>
                <w:rFonts w:hint="eastAsia" w:ascii="宋体" w:hAnsi="宋体" w:cs="宋体"/>
                <w:color w:val="auto"/>
                <w:highlight w:val="none"/>
              </w:rPr>
            </w:pPr>
            <w:r>
              <w:rPr>
                <w:rFonts w:hint="eastAsia" w:ascii="宋体" w:hAnsi="宋体" w:cs="宋体"/>
                <w:color w:val="auto"/>
                <w:highlight w:val="none"/>
              </w:rPr>
              <w:t>4.电源控制：控制每点的电压，可以控制学生，老师端高压220V，低压交直流输出；可以单独进行控制，进行单选、全选、反选，分组进行控制；保障220V电源具有漏电、短路、过载保护，保证安全可靠。低压输出学生电源交直流电压，具有智能保护系统，短路过载具有自动复位功能。</w:t>
            </w:r>
          </w:p>
          <w:p w14:paraId="161962F3">
            <w:pPr>
              <w:rPr>
                <w:color w:val="auto"/>
                <w:highlight w:val="none"/>
              </w:rPr>
            </w:pPr>
            <w:r>
              <w:rPr>
                <w:rFonts w:hint="eastAsia" w:ascii="宋体" w:hAnsi="宋体" w:cs="宋体"/>
                <w:color w:val="auto"/>
                <w:highlight w:val="none"/>
              </w:rPr>
              <w:t>5.摇臂控制：升降控制单元，过载过流保护，上下限到位保护。对摇臂进行进行单选、全选、反选，分组进行控制升起，放下；控制系统带障碍物保护功能，具有防夹，防卡功能，当摇臂在运动的过程中遇到障碍物时会自动停止。</w:t>
            </w:r>
          </w:p>
        </w:tc>
        <w:tc>
          <w:tcPr>
            <w:tcW w:w="384" w:type="pct"/>
            <w:vAlign w:val="center"/>
          </w:tcPr>
          <w:p w14:paraId="66F5B4E7">
            <w:pPr>
              <w:jc w:val="center"/>
              <w:rPr>
                <w:color w:val="auto"/>
                <w:highlight w:val="none"/>
              </w:rPr>
            </w:pPr>
            <w:r>
              <w:rPr>
                <w:rFonts w:hint="eastAsia" w:ascii="宋体" w:hAnsi="宋体" w:cs="宋体"/>
                <w:color w:val="auto"/>
                <w:highlight w:val="none"/>
              </w:rPr>
              <w:t>套</w:t>
            </w:r>
          </w:p>
        </w:tc>
        <w:tc>
          <w:tcPr>
            <w:tcW w:w="385" w:type="pct"/>
            <w:vAlign w:val="center"/>
          </w:tcPr>
          <w:p w14:paraId="7B29FDB2">
            <w:pPr>
              <w:jc w:val="center"/>
              <w:textAlignment w:val="center"/>
              <w:rPr>
                <w:color w:val="auto"/>
                <w:highlight w:val="none"/>
              </w:rPr>
            </w:pPr>
            <w:r>
              <w:rPr>
                <w:rFonts w:hint="eastAsia" w:ascii="宋体" w:hAnsi="宋体" w:cs="宋体"/>
                <w:color w:val="auto"/>
                <w:kern w:val="0"/>
                <w:szCs w:val="21"/>
                <w:highlight w:val="none"/>
                <w:lang w:bidi="ar"/>
              </w:rPr>
              <w:t>2</w:t>
            </w:r>
          </w:p>
        </w:tc>
      </w:tr>
      <w:tr w14:paraId="7C979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5347B2BD">
            <w:pPr>
              <w:jc w:val="center"/>
              <w:rPr>
                <w:color w:val="auto"/>
                <w:highlight w:val="none"/>
              </w:rPr>
            </w:pPr>
            <w:r>
              <w:rPr>
                <w:rFonts w:hint="eastAsia" w:ascii="宋体" w:hAnsi="宋体" w:cs="宋体"/>
                <w:color w:val="auto"/>
                <w:highlight w:val="none"/>
              </w:rPr>
              <w:t>4</w:t>
            </w:r>
          </w:p>
        </w:tc>
        <w:tc>
          <w:tcPr>
            <w:tcW w:w="782" w:type="pct"/>
            <w:vAlign w:val="center"/>
          </w:tcPr>
          <w:p w14:paraId="00A0E21E">
            <w:pPr>
              <w:jc w:val="center"/>
              <w:rPr>
                <w:color w:val="auto"/>
                <w:highlight w:val="none"/>
              </w:rPr>
            </w:pPr>
            <w:r>
              <w:rPr>
                <w:rFonts w:hint="eastAsia" w:ascii="宋体" w:hAnsi="宋体" w:cs="宋体"/>
                <w:color w:val="auto"/>
                <w:highlight w:val="none"/>
              </w:rPr>
              <w:t>APP控制系统</w:t>
            </w:r>
          </w:p>
        </w:tc>
        <w:tc>
          <w:tcPr>
            <w:tcW w:w="3079" w:type="pct"/>
            <w:vAlign w:val="center"/>
          </w:tcPr>
          <w:p w14:paraId="370F4A21">
            <w:pPr>
              <w:rPr>
                <w:rFonts w:hint="eastAsia" w:ascii="宋体" w:hAnsi="宋体" w:cs="宋体"/>
                <w:color w:val="auto"/>
                <w:highlight w:val="none"/>
              </w:rPr>
            </w:pPr>
            <w:r>
              <w:rPr>
                <w:rFonts w:hint="eastAsia" w:ascii="宋体" w:hAnsi="宋体" w:cs="宋体"/>
                <w:color w:val="auto"/>
                <w:highlight w:val="none"/>
              </w:rPr>
              <w:t>1.初次以超级管理员身份登陆APP，提供密码修改，多用户注册，多用户进行管理功能。</w:t>
            </w:r>
          </w:p>
          <w:p w14:paraId="609B946D">
            <w:pPr>
              <w:rPr>
                <w:rFonts w:hint="eastAsia" w:ascii="宋体" w:hAnsi="宋体" w:cs="宋体"/>
                <w:color w:val="auto"/>
                <w:highlight w:val="none"/>
              </w:rPr>
            </w:pPr>
            <w:r>
              <w:rPr>
                <w:rFonts w:hint="eastAsia" w:ascii="宋体" w:hAnsi="宋体" w:cs="宋体"/>
                <w:color w:val="auto"/>
                <w:highlight w:val="none"/>
              </w:rPr>
              <w:t>2.系统设置系统升级功能，系统时间修改，帮助等功能。</w:t>
            </w:r>
          </w:p>
          <w:p w14:paraId="4B9A06FE">
            <w:pPr>
              <w:rPr>
                <w:rFonts w:hint="eastAsia" w:ascii="宋体" w:hAnsi="宋体" w:cs="宋体"/>
                <w:color w:val="auto"/>
                <w:highlight w:val="none"/>
              </w:rPr>
            </w:pPr>
            <w:r>
              <w:rPr>
                <w:rFonts w:hint="eastAsia" w:ascii="宋体" w:hAnsi="宋体" w:cs="宋体"/>
                <w:color w:val="auto"/>
                <w:highlight w:val="none"/>
              </w:rPr>
              <w:t>3.设置状态显示界面，实时了解教室内每个设备工作状态，可以一目了然的了解当前实验室各个设备运行情况。当设备出错时可以方便了解故障原因，可以对故障进行复位功能。</w:t>
            </w:r>
          </w:p>
          <w:p w14:paraId="6F0B1F9A">
            <w:pPr>
              <w:rPr>
                <w:rFonts w:hint="eastAsia" w:ascii="宋体" w:hAnsi="宋体" w:cs="宋体"/>
                <w:color w:val="auto"/>
                <w:highlight w:val="none"/>
              </w:rPr>
            </w:pPr>
            <w:r>
              <w:rPr>
                <w:rFonts w:hint="eastAsia" w:ascii="宋体" w:hAnsi="宋体" w:cs="宋体"/>
                <w:color w:val="auto"/>
                <w:highlight w:val="none"/>
              </w:rPr>
              <w:t>4.后台设置设备运行状态黑匣子功能，实时记录设备运行状态。故障时可以调取查看，方便管理。</w:t>
            </w:r>
          </w:p>
          <w:p w14:paraId="18C85547">
            <w:pPr>
              <w:rPr>
                <w:color w:val="auto"/>
                <w:highlight w:val="none"/>
              </w:rPr>
            </w:pPr>
            <w:r>
              <w:rPr>
                <w:rFonts w:hint="eastAsia" w:ascii="宋体" w:hAnsi="宋体" w:cs="宋体"/>
                <w:color w:val="auto"/>
                <w:highlight w:val="none"/>
              </w:rPr>
              <w:t>5、分组控制电源控制系统、照明控制系统、给排水控制系统,摇臂控制系统,通风控制系统。</w:t>
            </w:r>
          </w:p>
        </w:tc>
        <w:tc>
          <w:tcPr>
            <w:tcW w:w="384" w:type="pct"/>
            <w:vAlign w:val="center"/>
          </w:tcPr>
          <w:p w14:paraId="587C41DC">
            <w:pPr>
              <w:jc w:val="center"/>
              <w:rPr>
                <w:color w:val="auto"/>
                <w:highlight w:val="none"/>
              </w:rPr>
            </w:pPr>
            <w:r>
              <w:rPr>
                <w:rFonts w:hint="eastAsia" w:ascii="宋体" w:hAnsi="宋体" w:cs="宋体"/>
                <w:color w:val="auto"/>
                <w:highlight w:val="none"/>
              </w:rPr>
              <w:t>套</w:t>
            </w:r>
          </w:p>
        </w:tc>
        <w:tc>
          <w:tcPr>
            <w:tcW w:w="385" w:type="pct"/>
            <w:vAlign w:val="center"/>
          </w:tcPr>
          <w:p w14:paraId="31F77030">
            <w:pPr>
              <w:jc w:val="center"/>
              <w:textAlignment w:val="center"/>
              <w:rPr>
                <w:color w:val="auto"/>
                <w:highlight w:val="none"/>
              </w:rPr>
            </w:pPr>
            <w:r>
              <w:rPr>
                <w:rFonts w:hint="eastAsia" w:ascii="宋体" w:hAnsi="宋体" w:cs="宋体"/>
                <w:color w:val="auto"/>
                <w:kern w:val="0"/>
                <w:szCs w:val="21"/>
                <w:highlight w:val="none"/>
                <w:lang w:bidi="ar"/>
              </w:rPr>
              <w:t>2</w:t>
            </w:r>
          </w:p>
        </w:tc>
      </w:tr>
      <w:tr w14:paraId="7D172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5F9756E6">
            <w:pPr>
              <w:jc w:val="center"/>
              <w:rPr>
                <w:color w:val="auto"/>
                <w:highlight w:val="none"/>
              </w:rPr>
            </w:pPr>
            <w:r>
              <w:rPr>
                <w:rFonts w:hint="eastAsia" w:ascii="宋体" w:hAnsi="宋体" w:cs="宋体"/>
                <w:color w:val="auto"/>
                <w:highlight w:val="none"/>
              </w:rPr>
              <w:t>5</w:t>
            </w:r>
          </w:p>
        </w:tc>
        <w:tc>
          <w:tcPr>
            <w:tcW w:w="782" w:type="pct"/>
            <w:vAlign w:val="center"/>
          </w:tcPr>
          <w:p w14:paraId="4BEDB143">
            <w:pPr>
              <w:jc w:val="center"/>
              <w:rPr>
                <w:color w:val="auto"/>
                <w:highlight w:val="none"/>
              </w:rPr>
            </w:pPr>
            <w:r>
              <w:rPr>
                <w:rFonts w:hint="eastAsia" w:ascii="宋体" w:hAnsi="宋体" w:cs="宋体"/>
                <w:color w:val="auto"/>
                <w:highlight w:val="none"/>
              </w:rPr>
              <w:t>温湿度监视系统</w:t>
            </w:r>
          </w:p>
        </w:tc>
        <w:tc>
          <w:tcPr>
            <w:tcW w:w="3079" w:type="pct"/>
            <w:vAlign w:val="center"/>
          </w:tcPr>
          <w:p w14:paraId="78B62CE8">
            <w:pPr>
              <w:rPr>
                <w:color w:val="auto"/>
                <w:highlight w:val="none"/>
              </w:rPr>
            </w:pPr>
            <w:r>
              <w:rPr>
                <w:rFonts w:hint="eastAsia" w:ascii="宋体" w:hAnsi="宋体" w:cs="宋体"/>
                <w:color w:val="auto"/>
                <w:highlight w:val="none"/>
              </w:rPr>
              <w:t>内置精密温湿度传感装置，在中控屏中实时显示当前环境的温度和湿度，实时了解房间内的温度和湿度，保障室内舒适的环境舒适性。</w:t>
            </w:r>
          </w:p>
        </w:tc>
        <w:tc>
          <w:tcPr>
            <w:tcW w:w="384" w:type="pct"/>
            <w:vAlign w:val="center"/>
          </w:tcPr>
          <w:p w14:paraId="7FE5AAC0">
            <w:pPr>
              <w:jc w:val="center"/>
              <w:rPr>
                <w:color w:val="auto"/>
                <w:highlight w:val="none"/>
              </w:rPr>
            </w:pPr>
            <w:r>
              <w:rPr>
                <w:rFonts w:hint="eastAsia" w:ascii="宋体" w:hAnsi="宋体" w:cs="宋体"/>
                <w:color w:val="auto"/>
                <w:highlight w:val="none"/>
              </w:rPr>
              <w:t>项</w:t>
            </w:r>
          </w:p>
        </w:tc>
        <w:tc>
          <w:tcPr>
            <w:tcW w:w="385" w:type="pct"/>
            <w:vAlign w:val="center"/>
          </w:tcPr>
          <w:p w14:paraId="28D48C4D">
            <w:pPr>
              <w:jc w:val="center"/>
              <w:textAlignment w:val="center"/>
              <w:rPr>
                <w:color w:val="auto"/>
                <w:highlight w:val="none"/>
              </w:rPr>
            </w:pPr>
            <w:r>
              <w:rPr>
                <w:rFonts w:hint="eastAsia" w:ascii="宋体" w:hAnsi="宋体" w:cs="宋体"/>
                <w:color w:val="auto"/>
                <w:kern w:val="0"/>
                <w:szCs w:val="21"/>
                <w:highlight w:val="none"/>
                <w:lang w:bidi="ar"/>
              </w:rPr>
              <w:t>2</w:t>
            </w:r>
          </w:p>
        </w:tc>
      </w:tr>
      <w:tr w14:paraId="5741D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370" w:type="pct"/>
            <w:vAlign w:val="center"/>
          </w:tcPr>
          <w:p w14:paraId="7C154CFA">
            <w:pPr>
              <w:jc w:val="center"/>
              <w:rPr>
                <w:rFonts w:hint="eastAsia" w:ascii="宋体" w:hAnsi="宋体" w:cs="宋体"/>
                <w:color w:val="auto"/>
                <w:highlight w:val="none"/>
              </w:rPr>
            </w:pPr>
          </w:p>
        </w:tc>
        <w:tc>
          <w:tcPr>
            <w:tcW w:w="782" w:type="pct"/>
            <w:vAlign w:val="center"/>
          </w:tcPr>
          <w:p w14:paraId="58371904">
            <w:pPr>
              <w:jc w:val="center"/>
              <w:rPr>
                <w:rFonts w:hint="eastAsia" w:ascii="宋体" w:hAnsi="宋体" w:cs="宋体"/>
                <w:color w:val="auto"/>
                <w:highlight w:val="none"/>
              </w:rPr>
            </w:pPr>
          </w:p>
        </w:tc>
        <w:tc>
          <w:tcPr>
            <w:tcW w:w="3079" w:type="pct"/>
            <w:vAlign w:val="center"/>
          </w:tcPr>
          <w:p w14:paraId="54C79494">
            <w:pPr>
              <w:jc w:val="center"/>
              <w:rPr>
                <w:rFonts w:hint="eastAsia" w:ascii="宋体" w:hAnsi="宋体" w:cs="宋体"/>
                <w:color w:val="auto"/>
                <w:highlight w:val="none"/>
              </w:rPr>
            </w:pPr>
            <w:r>
              <w:rPr>
                <w:rFonts w:hint="eastAsia" w:ascii="宋体" w:hAnsi="宋体" w:cs="宋体"/>
                <w:b/>
                <w:bCs/>
                <w:color w:val="auto"/>
                <w:highlight w:val="none"/>
              </w:rPr>
              <w:t>顶装综合系统</w:t>
            </w:r>
          </w:p>
        </w:tc>
        <w:tc>
          <w:tcPr>
            <w:tcW w:w="384" w:type="pct"/>
            <w:vAlign w:val="center"/>
          </w:tcPr>
          <w:p w14:paraId="079BE1B6">
            <w:pPr>
              <w:jc w:val="center"/>
              <w:rPr>
                <w:rFonts w:hint="eastAsia" w:ascii="宋体" w:hAnsi="宋体" w:cs="宋体"/>
                <w:color w:val="auto"/>
                <w:highlight w:val="none"/>
              </w:rPr>
            </w:pPr>
          </w:p>
        </w:tc>
        <w:tc>
          <w:tcPr>
            <w:tcW w:w="385" w:type="pct"/>
            <w:vAlign w:val="center"/>
          </w:tcPr>
          <w:p w14:paraId="022EC4D5">
            <w:pPr>
              <w:jc w:val="center"/>
              <w:textAlignment w:val="center"/>
              <w:rPr>
                <w:rFonts w:hint="eastAsia" w:ascii="宋体" w:hAnsi="宋体" w:cs="宋体"/>
                <w:color w:val="auto"/>
                <w:highlight w:val="none"/>
              </w:rPr>
            </w:pPr>
          </w:p>
        </w:tc>
      </w:tr>
      <w:tr w14:paraId="3BCB1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14FAB973">
            <w:pPr>
              <w:jc w:val="center"/>
              <w:rPr>
                <w:color w:val="auto"/>
                <w:highlight w:val="none"/>
              </w:rPr>
            </w:pPr>
            <w:r>
              <w:rPr>
                <w:rFonts w:hint="eastAsia" w:ascii="宋体" w:hAnsi="宋体" w:cs="宋体"/>
                <w:color w:val="auto"/>
                <w:highlight w:val="none"/>
              </w:rPr>
              <w:t>1</w:t>
            </w:r>
          </w:p>
        </w:tc>
        <w:tc>
          <w:tcPr>
            <w:tcW w:w="782" w:type="pct"/>
            <w:vAlign w:val="center"/>
          </w:tcPr>
          <w:p w14:paraId="71A92A18">
            <w:pPr>
              <w:jc w:val="center"/>
              <w:rPr>
                <w:color w:val="auto"/>
                <w:highlight w:val="none"/>
              </w:rPr>
            </w:pPr>
            <w:r>
              <w:rPr>
                <w:rFonts w:hint="eastAsia" w:ascii="宋体" w:hAnsi="宋体" w:cs="宋体"/>
                <w:color w:val="auto"/>
                <w:highlight w:val="none"/>
              </w:rPr>
              <w:t>顶装内主体结构</w:t>
            </w:r>
          </w:p>
        </w:tc>
        <w:tc>
          <w:tcPr>
            <w:tcW w:w="3079" w:type="pct"/>
            <w:vAlign w:val="center"/>
          </w:tcPr>
          <w:p w14:paraId="01C0D934">
            <w:pPr>
              <w:rPr>
                <w:rFonts w:hint="eastAsia" w:ascii="宋体" w:hAnsi="宋体" w:cs="宋体"/>
                <w:color w:val="auto"/>
                <w:highlight w:val="none"/>
              </w:rPr>
            </w:pPr>
            <w:r>
              <w:rPr>
                <w:rFonts w:hint="eastAsia" w:ascii="宋体" w:hAnsi="宋体" w:cs="宋体"/>
                <w:color w:val="auto"/>
                <w:highlight w:val="none"/>
              </w:rPr>
              <w:t>1.承重骨架采用优质工业级高强度铝型材经CNC精加工成型，质量轻、强度高、耐腐蚀、结构稳定。</w:t>
            </w:r>
          </w:p>
          <w:p w14:paraId="5E594461">
            <w:pPr>
              <w:rPr>
                <w:rFonts w:hint="eastAsia" w:ascii="宋体" w:hAnsi="宋体" w:cs="宋体"/>
                <w:color w:val="auto"/>
                <w:highlight w:val="none"/>
              </w:rPr>
            </w:pPr>
            <w:r>
              <w:rPr>
                <w:rFonts w:hint="eastAsia" w:ascii="宋体" w:hAnsi="宋体" w:cs="宋体"/>
                <w:color w:val="auto"/>
                <w:highlight w:val="none"/>
              </w:rPr>
              <w:t>2.动力底座采用厚度不低于15mm高强度铝铜合金板经CNC精加工成型，动力轴采用优质SUS304不锈钢棒材经CNC及数控车床加工成型。承重性能强和耐酸碱、耐腐蚀。</w:t>
            </w:r>
          </w:p>
          <w:p w14:paraId="21A128B1">
            <w:pPr>
              <w:rPr>
                <w:rFonts w:hint="eastAsia" w:ascii="宋体" w:hAnsi="宋体" w:cs="宋体"/>
                <w:color w:val="auto"/>
                <w:highlight w:val="none"/>
              </w:rPr>
            </w:pPr>
            <w:r>
              <w:rPr>
                <w:rFonts w:hint="eastAsia" w:ascii="宋体" w:hAnsi="宋体" w:cs="宋体"/>
                <w:color w:val="auto"/>
                <w:highlight w:val="none"/>
              </w:rPr>
              <w:t>3.▲吊装主舱体有害物质限量邻苯二甲酸酯：DBP≤0.1，BBP≤0.1,DEHD≤0.1,DNOP≤0.1,DINP≤0.1；重金属：可溶性铅≤90mg/kg，可溶性镉≤75mg/kg，可溶性铬≤60mg/kg，可溶性汞≤60mg/kg。</w:t>
            </w:r>
          </w:p>
          <w:p w14:paraId="3EA2C48D">
            <w:pPr>
              <w:rPr>
                <w:b/>
                <w:bCs/>
                <w:color w:val="auto"/>
                <w:highlight w:val="none"/>
              </w:rPr>
            </w:pPr>
            <w:r>
              <w:rPr>
                <w:rFonts w:hint="eastAsia" w:ascii="宋体" w:hAnsi="宋体" w:cs="宋体"/>
                <w:b/>
                <w:bCs/>
                <w:color w:val="auto"/>
                <w:highlight w:val="none"/>
              </w:rPr>
              <w:t>提供第三方专业检测机构出具的含有CNAS、CMA标志的产品检测报告的扫描件，佐证投标参数满足招标参数要求。</w:t>
            </w:r>
          </w:p>
        </w:tc>
        <w:tc>
          <w:tcPr>
            <w:tcW w:w="384" w:type="pct"/>
            <w:vAlign w:val="center"/>
          </w:tcPr>
          <w:p w14:paraId="055B1C2F">
            <w:pPr>
              <w:jc w:val="center"/>
              <w:rPr>
                <w:color w:val="auto"/>
                <w:highlight w:val="none"/>
              </w:rPr>
            </w:pPr>
            <w:r>
              <w:rPr>
                <w:rFonts w:hint="eastAsia" w:ascii="宋体" w:hAnsi="宋体" w:cs="宋体"/>
                <w:color w:val="auto"/>
                <w:highlight w:val="none"/>
              </w:rPr>
              <w:t>套</w:t>
            </w:r>
          </w:p>
        </w:tc>
        <w:tc>
          <w:tcPr>
            <w:tcW w:w="385" w:type="pct"/>
            <w:vAlign w:val="center"/>
          </w:tcPr>
          <w:p w14:paraId="1354EB14">
            <w:pPr>
              <w:jc w:val="center"/>
              <w:textAlignment w:val="center"/>
              <w:rPr>
                <w:color w:val="auto"/>
                <w:highlight w:val="none"/>
              </w:rPr>
            </w:pPr>
            <w:r>
              <w:rPr>
                <w:rFonts w:hint="eastAsia" w:ascii="宋体" w:hAnsi="宋体" w:cs="宋体"/>
                <w:color w:val="auto"/>
                <w:kern w:val="0"/>
                <w:szCs w:val="21"/>
                <w:highlight w:val="none"/>
                <w:lang w:bidi="ar"/>
              </w:rPr>
              <w:t>16</w:t>
            </w:r>
          </w:p>
        </w:tc>
      </w:tr>
      <w:tr w14:paraId="30106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78CAB3D0">
            <w:pPr>
              <w:jc w:val="center"/>
              <w:rPr>
                <w:color w:val="auto"/>
                <w:highlight w:val="none"/>
              </w:rPr>
            </w:pPr>
            <w:r>
              <w:rPr>
                <w:rFonts w:hint="eastAsia" w:ascii="宋体" w:hAnsi="宋体" w:cs="宋体"/>
                <w:color w:val="auto"/>
                <w:highlight w:val="none"/>
              </w:rPr>
              <w:t>2</w:t>
            </w:r>
          </w:p>
        </w:tc>
        <w:tc>
          <w:tcPr>
            <w:tcW w:w="782" w:type="pct"/>
            <w:vAlign w:val="center"/>
          </w:tcPr>
          <w:p w14:paraId="136129C7">
            <w:pPr>
              <w:jc w:val="center"/>
              <w:rPr>
                <w:color w:val="auto"/>
                <w:highlight w:val="none"/>
              </w:rPr>
            </w:pPr>
            <w:r>
              <w:rPr>
                <w:rFonts w:hint="eastAsia" w:ascii="宋体" w:hAnsi="宋体" w:cs="宋体"/>
                <w:color w:val="auto"/>
                <w:highlight w:val="none"/>
              </w:rPr>
              <w:t>顶装外形体</w:t>
            </w:r>
          </w:p>
        </w:tc>
        <w:tc>
          <w:tcPr>
            <w:tcW w:w="3079" w:type="pct"/>
            <w:vAlign w:val="center"/>
          </w:tcPr>
          <w:p w14:paraId="118C6A79">
            <w:pPr>
              <w:rPr>
                <w:rFonts w:hint="eastAsia" w:ascii="宋体" w:hAnsi="宋体" w:cs="宋体"/>
                <w:color w:val="auto"/>
                <w:highlight w:val="none"/>
              </w:rPr>
            </w:pPr>
            <w:r>
              <w:rPr>
                <w:rFonts w:hint="eastAsia" w:ascii="宋体" w:hAnsi="宋体" w:cs="宋体"/>
                <w:color w:val="auto"/>
                <w:highlight w:val="none"/>
              </w:rPr>
              <w:t>智能吊装集成箱体采用新型复合材料，经高温模压工艺成型。</w:t>
            </w:r>
          </w:p>
          <w:p w14:paraId="52DD59C1">
            <w:pPr>
              <w:rPr>
                <w:rFonts w:hint="eastAsia" w:ascii="宋体" w:hAnsi="宋体" w:cs="宋体"/>
                <w:color w:val="auto"/>
                <w:highlight w:val="none"/>
              </w:rPr>
            </w:pPr>
            <w:r>
              <w:rPr>
                <w:rFonts w:hint="eastAsia" w:ascii="宋体" w:hAnsi="宋体" w:cs="宋体"/>
                <w:color w:val="auto"/>
                <w:highlight w:val="none"/>
              </w:rPr>
              <w:t>▲吊装集成箱体甲醛释放量≤0.05mg/m³；重金属：可溶性铅≤90mg/kg，可溶性镉≤75mg/kg，可溶性铬≤60mg/kg，可溶性汞≤60mg/kg；金属件外，喷涂层涂层应无漏喷、锈蚀，涂层应光滑均匀,色泽一致,应无流挂、疙瘩、皱皮、飞漆等缺陷。</w:t>
            </w:r>
          </w:p>
          <w:p w14:paraId="10C92AFD">
            <w:pPr>
              <w:rPr>
                <w:b/>
                <w:bCs/>
                <w:color w:val="auto"/>
                <w:highlight w:val="none"/>
              </w:rPr>
            </w:pPr>
            <w:r>
              <w:rPr>
                <w:rFonts w:hint="eastAsia" w:ascii="宋体" w:hAnsi="宋体" w:cs="宋体"/>
                <w:b/>
                <w:bCs/>
                <w:color w:val="auto"/>
                <w:highlight w:val="none"/>
              </w:rPr>
              <w:t>提供第三方专业检测机构出具的含有CNAS、CMA标志的产品检测报告的扫描件，佐证投标参数满足招标参数要求。</w:t>
            </w:r>
          </w:p>
        </w:tc>
        <w:tc>
          <w:tcPr>
            <w:tcW w:w="384" w:type="pct"/>
            <w:vAlign w:val="center"/>
          </w:tcPr>
          <w:p w14:paraId="1082F8A4">
            <w:pPr>
              <w:jc w:val="center"/>
              <w:rPr>
                <w:color w:val="auto"/>
                <w:highlight w:val="none"/>
              </w:rPr>
            </w:pPr>
            <w:r>
              <w:rPr>
                <w:rFonts w:hint="eastAsia" w:ascii="宋体" w:hAnsi="宋体" w:cs="宋体"/>
                <w:color w:val="auto"/>
                <w:highlight w:val="none"/>
              </w:rPr>
              <w:t>套</w:t>
            </w:r>
          </w:p>
        </w:tc>
        <w:tc>
          <w:tcPr>
            <w:tcW w:w="385" w:type="pct"/>
            <w:vAlign w:val="center"/>
          </w:tcPr>
          <w:p w14:paraId="0B895F0F">
            <w:pPr>
              <w:jc w:val="center"/>
              <w:textAlignment w:val="center"/>
              <w:rPr>
                <w:color w:val="auto"/>
                <w:highlight w:val="none"/>
              </w:rPr>
            </w:pPr>
            <w:r>
              <w:rPr>
                <w:rFonts w:hint="eastAsia" w:ascii="宋体" w:hAnsi="宋体" w:cs="宋体"/>
                <w:color w:val="auto"/>
                <w:kern w:val="0"/>
                <w:szCs w:val="21"/>
                <w:highlight w:val="none"/>
                <w:lang w:bidi="ar"/>
              </w:rPr>
              <w:t>16</w:t>
            </w:r>
          </w:p>
        </w:tc>
      </w:tr>
      <w:tr w14:paraId="54DFA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014F84DF">
            <w:pPr>
              <w:jc w:val="center"/>
              <w:rPr>
                <w:color w:val="auto"/>
                <w:highlight w:val="none"/>
              </w:rPr>
            </w:pPr>
            <w:r>
              <w:rPr>
                <w:rFonts w:hint="eastAsia" w:ascii="宋体" w:hAnsi="宋体" w:cs="宋体"/>
                <w:color w:val="auto"/>
                <w:highlight w:val="none"/>
              </w:rPr>
              <w:t>3</w:t>
            </w:r>
          </w:p>
        </w:tc>
        <w:tc>
          <w:tcPr>
            <w:tcW w:w="782" w:type="pct"/>
            <w:vAlign w:val="center"/>
          </w:tcPr>
          <w:p w14:paraId="62A906DF">
            <w:pPr>
              <w:jc w:val="center"/>
              <w:rPr>
                <w:color w:val="auto"/>
                <w:highlight w:val="none"/>
              </w:rPr>
            </w:pPr>
            <w:r>
              <w:rPr>
                <w:rFonts w:hint="eastAsia" w:ascii="宋体" w:hAnsi="宋体" w:cs="宋体"/>
                <w:color w:val="auto"/>
                <w:highlight w:val="none"/>
              </w:rPr>
              <w:t>顶装固定支架</w:t>
            </w:r>
          </w:p>
        </w:tc>
        <w:tc>
          <w:tcPr>
            <w:tcW w:w="3079" w:type="pct"/>
            <w:vAlign w:val="center"/>
          </w:tcPr>
          <w:p w14:paraId="09798B22">
            <w:pPr>
              <w:rPr>
                <w:rFonts w:hint="eastAsia" w:ascii="宋体" w:hAnsi="宋体" w:cs="宋体"/>
                <w:color w:val="auto"/>
                <w:highlight w:val="none"/>
              </w:rPr>
            </w:pPr>
            <w:r>
              <w:rPr>
                <w:rFonts w:hint="eastAsia" w:ascii="宋体" w:hAnsi="宋体" w:cs="宋体"/>
                <w:color w:val="auto"/>
                <w:highlight w:val="none"/>
              </w:rPr>
              <w:t>采用优质镀锌钢板经激光切割、数控冲压、数控折弯成型，生产工业采取模块组合，便于安装，外观流线形设计，简洁美观,表面经环氧树脂粉末静电喷涂、高温固化处理，耐腐蚀。</w:t>
            </w:r>
          </w:p>
          <w:p w14:paraId="16DB486F">
            <w:pPr>
              <w:rPr>
                <w:rFonts w:hint="eastAsia" w:ascii="宋体" w:hAnsi="宋体" w:cs="宋体"/>
                <w:color w:val="auto"/>
                <w:highlight w:val="none"/>
              </w:rPr>
            </w:pPr>
            <w:r>
              <w:rPr>
                <w:rFonts w:hint="eastAsia" w:ascii="宋体" w:hAnsi="宋体" w:cs="宋体"/>
                <w:color w:val="auto"/>
                <w:highlight w:val="none"/>
              </w:rPr>
              <w:t>▲吊装吊架金属外观：电镀层表面应无剥落、返锈、毛刺 ；电镀层，表面应无烧焦、起泡、针孔、裂纹、花斑（不包括镀彩锌）和划痕 ；附着力：不低于2级；重金属：可溶性铅≤90mg/kg检测，可溶性镉≤75mg/kg，可溶性铬≤60mg/kg，可溶性汞≤60mg/kg。</w:t>
            </w:r>
          </w:p>
          <w:p w14:paraId="75767CD3">
            <w:pPr>
              <w:rPr>
                <w:b/>
                <w:bCs/>
                <w:color w:val="auto"/>
                <w:highlight w:val="none"/>
              </w:rPr>
            </w:pPr>
            <w:r>
              <w:rPr>
                <w:rFonts w:hint="eastAsia" w:ascii="宋体" w:hAnsi="宋体" w:cs="宋体"/>
                <w:b/>
                <w:bCs/>
                <w:color w:val="auto"/>
                <w:highlight w:val="none"/>
              </w:rPr>
              <w:t>提供第三方专业检测机构出具的含有CNAS、CMA标志的产品检测报告的扫描件，佐证投标参数满足招标参数要求。</w:t>
            </w:r>
          </w:p>
        </w:tc>
        <w:tc>
          <w:tcPr>
            <w:tcW w:w="384" w:type="pct"/>
            <w:vAlign w:val="center"/>
          </w:tcPr>
          <w:p w14:paraId="5D9F94D3">
            <w:pPr>
              <w:jc w:val="center"/>
              <w:rPr>
                <w:color w:val="auto"/>
                <w:highlight w:val="none"/>
              </w:rPr>
            </w:pPr>
            <w:r>
              <w:rPr>
                <w:rFonts w:hint="eastAsia" w:ascii="宋体" w:hAnsi="宋体" w:cs="宋体"/>
                <w:color w:val="auto"/>
                <w:highlight w:val="none"/>
              </w:rPr>
              <w:t>套</w:t>
            </w:r>
          </w:p>
        </w:tc>
        <w:tc>
          <w:tcPr>
            <w:tcW w:w="385" w:type="pct"/>
            <w:vAlign w:val="center"/>
          </w:tcPr>
          <w:p w14:paraId="4E1D4B54">
            <w:pPr>
              <w:jc w:val="center"/>
              <w:textAlignment w:val="center"/>
              <w:rPr>
                <w:color w:val="auto"/>
                <w:highlight w:val="none"/>
              </w:rPr>
            </w:pPr>
            <w:r>
              <w:rPr>
                <w:rFonts w:hint="eastAsia" w:ascii="宋体" w:hAnsi="宋体" w:cs="宋体"/>
                <w:color w:val="auto"/>
                <w:kern w:val="0"/>
                <w:szCs w:val="21"/>
                <w:highlight w:val="none"/>
                <w:lang w:bidi="ar"/>
              </w:rPr>
              <w:t>32</w:t>
            </w:r>
          </w:p>
        </w:tc>
      </w:tr>
      <w:tr w14:paraId="4320C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22E9F828">
            <w:pPr>
              <w:jc w:val="center"/>
              <w:rPr>
                <w:color w:val="auto"/>
                <w:highlight w:val="none"/>
              </w:rPr>
            </w:pPr>
            <w:r>
              <w:rPr>
                <w:rFonts w:hint="eastAsia" w:ascii="宋体" w:hAnsi="宋体" w:cs="宋体"/>
                <w:color w:val="auto"/>
                <w:highlight w:val="none"/>
              </w:rPr>
              <w:t>4</w:t>
            </w:r>
          </w:p>
        </w:tc>
        <w:tc>
          <w:tcPr>
            <w:tcW w:w="782" w:type="pct"/>
            <w:vAlign w:val="center"/>
          </w:tcPr>
          <w:p w14:paraId="04E1E236">
            <w:pPr>
              <w:jc w:val="center"/>
              <w:rPr>
                <w:color w:val="auto"/>
                <w:highlight w:val="none"/>
              </w:rPr>
            </w:pPr>
            <w:r>
              <w:rPr>
                <w:rFonts w:hint="eastAsia" w:ascii="宋体" w:hAnsi="宋体" w:cs="宋体"/>
                <w:color w:val="auto"/>
                <w:highlight w:val="none"/>
              </w:rPr>
              <w:t>顶装固定支架护罩</w:t>
            </w:r>
          </w:p>
        </w:tc>
        <w:tc>
          <w:tcPr>
            <w:tcW w:w="3079" w:type="pct"/>
            <w:vAlign w:val="center"/>
          </w:tcPr>
          <w:p w14:paraId="68AFF6A0">
            <w:pPr>
              <w:rPr>
                <w:color w:val="auto"/>
                <w:highlight w:val="none"/>
              </w:rPr>
            </w:pPr>
            <w:r>
              <w:rPr>
                <w:rFonts w:hint="eastAsia" w:ascii="宋体" w:hAnsi="宋体" w:cs="宋体"/>
                <w:color w:val="auto"/>
                <w:highlight w:val="none"/>
              </w:rPr>
              <w:t>采用优质镀锌钢板经激光切割、数控冲压、数控折弯成型，生产工业采取模块组合，便于安装及维护，外观流线形设计，简洁美观,表面经环氧树脂粉末静电喷涂、高温固化处理，耐腐蚀。</w:t>
            </w:r>
          </w:p>
        </w:tc>
        <w:tc>
          <w:tcPr>
            <w:tcW w:w="384" w:type="pct"/>
            <w:vAlign w:val="center"/>
          </w:tcPr>
          <w:p w14:paraId="41953D21">
            <w:pPr>
              <w:jc w:val="center"/>
              <w:rPr>
                <w:color w:val="auto"/>
                <w:highlight w:val="none"/>
              </w:rPr>
            </w:pPr>
            <w:r>
              <w:rPr>
                <w:rFonts w:hint="eastAsia" w:ascii="宋体" w:hAnsi="宋体" w:cs="宋体"/>
                <w:color w:val="auto"/>
                <w:highlight w:val="none"/>
              </w:rPr>
              <w:t>套</w:t>
            </w:r>
          </w:p>
        </w:tc>
        <w:tc>
          <w:tcPr>
            <w:tcW w:w="385" w:type="pct"/>
            <w:vAlign w:val="center"/>
          </w:tcPr>
          <w:p w14:paraId="1556EF23">
            <w:pPr>
              <w:jc w:val="center"/>
              <w:textAlignment w:val="center"/>
              <w:rPr>
                <w:color w:val="auto"/>
                <w:highlight w:val="none"/>
              </w:rPr>
            </w:pPr>
            <w:r>
              <w:rPr>
                <w:rFonts w:hint="eastAsia" w:ascii="宋体" w:hAnsi="宋体" w:cs="宋体"/>
                <w:color w:val="auto"/>
                <w:kern w:val="0"/>
                <w:szCs w:val="21"/>
                <w:highlight w:val="none"/>
                <w:lang w:bidi="ar"/>
              </w:rPr>
              <w:t>32</w:t>
            </w:r>
          </w:p>
        </w:tc>
      </w:tr>
      <w:tr w14:paraId="3F866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5B1FDBA3">
            <w:pPr>
              <w:jc w:val="center"/>
              <w:rPr>
                <w:color w:val="auto"/>
                <w:highlight w:val="none"/>
              </w:rPr>
            </w:pPr>
            <w:r>
              <w:rPr>
                <w:rFonts w:hint="eastAsia" w:ascii="宋体" w:hAnsi="宋体" w:cs="宋体"/>
                <w:color w:val="auto"/>
                <w:highlight w:val="none"/>
              </w:rPr>
              <w:t>5</w:t>
            </w:r>
          </w:p>
        </w:tc>
        <w:tc>
          <w:tcPr>
            <w:tcW w:w="782" w:type="pct"/>
            <w:vAlign w:val="center"/>
          </w:tcPr>
          <w:p w14:paraId="7039D454">
            <w:pPr>
              <w:jc w:val="center"/>
              <w:rPr>
                <w:color w:val="auto"/>
                <w:highlight w:val="none"/>
              </w:rPr>
            </w:pPr>
            <w:r>
              <w:rPr>
                <w:rFonts w:hint="eastAsia" w:ascii="宋体" w:hAnsi="宋体" w:cs="宋体"/>
                <w:color w:val="auto"/>
                <w:highlight w:val="none"/>
              </w:rPr>
              <w:t>顶装摇臂动力装置</w:t>
            </w:r>
          </w:p>
        </w:tc>
        <w:tc>
          <w:tcPr>
            <w:tcW w:w="3079" w:type="pct"/>
            <w:vAlign w:val="center"/>
          </w:tcPr>
          <w:p w14:paraId="75938BBB">
            <w:pPr>
              <w:rPr>
                <w:rFonts w:hint="eastAsia" w:ascii="宋体" w:hAnsi="宋体" w:cs="宋体"/>
                <w:color w:val="auto"/>
                <w:highlight w:val="none"/>
              </w:rPr>
            </w:pPr>
            <w:r>
              <w:rPr>
                <w:rFonts w:hint="eastAsia" w:ascii="宋体" w:hAnsi="宋体" w:cs="宋体"/>
                <w:color w:val="auto"/>
                <w:highlight w:val="none"/>
              </w:rPr>
              <w:t>▲智能吊装推杆电机，超静音安全低压直流24V低压电机动力，摇臂采用直径≥65MM，厚度≥1.5MM优质铝合金挤压成型，摇臂连接座采用优质铝合金模具压铸经CNC加工成型，动力装置和主体结构模块化组合，安装维护便捷，运行无噪音。智能吊装推杆电机低温（-20℃）工作不低于2h；高温要求温度（40℃）工作不低于2h。</w:t>
            </w:r>
          </w:p>
          <w:p w14:paraId="38647075">
            <w:pPr>
              <w:rPr>
                <w:rFonts w:hint="eastAsia" w:ascii="宋体" w:hAnsi="宋体" w:cs="宋体"/>
                <w:b/>
                <w:bCs/>
                <w:color w:val="auto"/>
                <w:highlight w:val="none"/>
              </w:rPr>
            </w:pPr>
            <w:r>
              <w:rPr>
                <w:rFonts w:hint="eastAsia" w:ascii="宋体" w:hAnsi="宋体" w:cs="宋体"/>
                <w:b/>
                <w:bCs/>
                <w:color w:val="auto"/>
                <w:highlight w:val="none"/>
              </w:rPr>
              <w:t>提供第三方专业检测机构出具的含有CNAS、CMA标志的产品检测报告的扫描件，佐证投标参数满足招标参数要求。</w:t>
            </w:r>
          </w:p>
          <w:p w14:paraId="003B0529">
            <w:pPr>
              <w:rPr>
                <w:rFonts w:hint="eastAsia" w:ascii="宋体" w:hAnsi="宋体" w:cs="宋体"/>
                <w:color w:val="auto"/>
                <w:highlight w:val="none"/>
              </w:rPr>
            </w:pPr>
            <w:r>
              <w:rPr>
                <w:rFonts w:hint="eastAsia" w:ascii="宋体" w:hAnsi="宋体" w:cs="宋体"/>
                <w:color w:val="auto"/>
                <w:highlight w:val="none"/>
              </w:rPr>
              <w:t>▲吊装摇臂有害物质限量、重金属要求：可溶性铅≤90mg/kg，可溶性镉≤75mg/kg，可溶性铬≤60mg/kg，可溶性汞≤60mg/kg；对电镀层要求表面应无剥落、返锈、毛刺，电镀层表面应无烧焦、起泡、针孔、裂纹、花斑（不包括镀彩锌）和划痕，金属电镀附着了不低于2级。</w:t>
            </w:r>
          </w:p>
          <w:p w14:paraId="7341A266">
            <w:pPr>
              <w:rPr>
                <w:b/>
                <w:bCs/>
                <w:color w:val="auto"/>
                <w:highlight w:val="none"/>
              </w:rPr>
            </w:pPr>
            <w:r>
              <w:rPr>
                <w:rFonts w:hint="eastAsia" w:ascii="宋体" w:hAnsi="宋体" w:cs="宋体"/>
                <w:b/>
                <w:bCs/>
                <w:color w:val="auto"/>
                <w:highlight w:val="none"/>
              </w:rPr>
              <w:t>提供第三方专业检测机构出具的含有CNAS、CMA标志的产品检测报告的扫描件，佐证投标参数满足招标参数要求。</w:t>
            </w:r>
          </w:p>
        </w:tc>
        <w:tc>
          <w:tcPr>
            <w:tcW w:w="384" w:type="pct"/>
            <w:vAlign w:val="center"/>
          </w:tcPr>
          <w:p w14:paraId="38001F37">
            <w:pPr>
              <w:jc w:val="center"/>
              <w:rPr>
                <w:color w:val="auto"/>
                <w:highlight w:val="none"/>
              </w:rPr>
            </w:pPr>
            <w:r>
              <w:rPr>
                <w:rFonts w:hint="eastAsia" w:ascii="宋体" w:hAnsi="宋体" w:cs="宋体"/>
                <w:color w:val="auto"/>
                <w:highlight w:val="none"/>
              </w:rPr>
              <w:t>个</w:t>
            </w:r>
          </w:p>
        </w:tc>
        <w:tc>
          <w:tcPr>
            <w:tcW w:w="385" w:type="pct"/>
            <w:vAlign w:val="center"/>
          </w:tcPr>
          <w:p w14:paraId="77BA4217">
            <w:pPr>
              <w:jc w:val="center"/>
              <w:textAlignment w:val="center"/>
              <w:rPr>
                <w:color w:val="auto"/>
                <w:highlight w:val="none"/>
              </w:rPr>
            </w:pPr>
            <w:r>
              <w:rPr>
                <w:rFonts w:hint="eastAsia" w:ascii="宋体" w:hAnsi="宋体" w:cs="宋体"/>
                <w:color w:val="auto"/>
                <w:kern w:val="0"/>
                <w:szCs w:val="21"/>
                <w:highlight w:val="none"/>
                <w:lang w:bidi="ar"/>
              </w:rPr>
              <w:t>28</w:t>
            </w:r>
          </w:p>
        </w:tc>
      </w:tr>
      <w:tr w14:paraId="770B8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221C65D7">
            <w:pPr>
              <w:jc w:val="center"/>
              <w:rPr>
                <w:color w:val="auto"/>
                <w:highlight w:val="none"/>
              </w:rPr>
            </w:pPr>
            <w:r>
              <w:rPr>
                <w:rFonts w:hint="eastAsia" w:ascii="宋体" w:hAnsi="宋体" w:cs="宋体"/>
                <w:color w:val="auto"/>
                <w:highlight w:val="none"/>
              </w:rPr>
              <w:t>6</w:t>
            </w:r>
          </w:p>
        </w:tc>
        <w:tc>
          <w:tcPr>
            <w:tcW w:w="782" w:type="pct"/>
            <w:vAlign w:val="center"/>
          </w:tcPr>
          <w:p w14:paraId="367BAECA">
            <w:pPr>
              <w:jc w:val="center"/>
              <w:rPr>
                <w:color w:val="auto"/>
                <w:highlight w:val="none"/>
              </w:rPr>
            </w:pPr>
            <w:r>
              <w:rPr>
                <w:rFonts w:hint="eastAsia" w:ascii="宋体" w:hAnsi="宋体" w:cs="宋体"/>
                <w:color w:val="auto"/>
                <w:highlight w:val="none"/>
              </w:rPr>
              <w:t>顶装摇臂智能软件控制器</w:t>
            </w:r>
          </w:p>
        </w:tc>
        <w:tc>
          <w:tcPr>
            <w:tcW w:w="3079" w:type="pct"/>
            <w:vAlign w:val="center"/>
          </w:tcPr>
          <w:p w14:paraId="41ED5260">
            <w:pPr>
              <w:rPr>
                <w:color w:val="auto"/>
                <w:highlight w:val="none"/>
              </w:rPr>
            </w:pPr>
            <w:r>
              <w:rPr>
                <w:rFonts w:hint="eastAsia" w:ascii="宋体" w:hAnsi="宋体" w:cs="宋体"/>
                <w:color w:val="auto"/>
                <w:highlight w:val="none"/>
              </w:rPr>
              <w:t>接收智能化主控制系统控制通信，控制摇臂升降、通风、供水、排水、电流、电压、灯光、供电状态、电流过载、摇臂升降状态、语音提示报警及系统故障提示等等信号采集处理，反馈一切信息和主控系统进行自动化处理。</w:t>
            </w:r>
          </w:p>
        </w:tc>
        <w:tc>
          <w:tcPr>
            <w:tcW w:w="384" w:type="pct"/>
            <w:vAlign w:val="center"/>
          </w:tcPr>
          <w:p w14:paraId="487E024B">
            <w:pPr>
              <w:jc w:val="center"/>
              <w:rPr>
                <w:color w:val="auto"/>
                <w:highlight w:val="none"/>
              </w:rPr>
            </w:pPr>
            <w:r>
              <w:rPr>
                <w:rFonts w:hint="eastAsia" w:ascii="宋体" w:hAnsi="宋体" w:cs="宋体"/>
                <w:color w:val="auto"/>
                <w:highlight w:val="none"/>
              </w:rPr>
              <w:t>套</w:t>
            </w:r>
          </w:p>
        </w:tc>
        <w:tc>
          <w:tcPr>
            <w:tcW w:w="385" w:type="pct"/>
            <w:vAlign w:val="center"/>
          </w:tcPr>
          <w:p w14:paraId="252AD3C9">
            <w:pPr>
              <w:jc w:val="center"/>
              <w:textAlignment w:val="center"/>
              <w:rPr>
                <w:color w:val="auto"/>
                <w:highlight w:val="none"/>
              </w:rPr>
            </w:pPr>
            <w:r>
              <w:rPr>
                <w:rFonts w:hint="eastAsia" w:ascii="宋体" w:hAnsi="宋体" w:cs="宋体"/>
                <w:color w:val="auto"/>
                <w:kern w:val="0"/>
                <w:szCs w:val="21"/>
                <w:highlight w:val="none"/>
                <w:lang w:bidi="ar"/>
              </w:rPr>
              <w:t>28</w:t>
            </w:r>
          </w:p>
        </w:tc>
      </w:tr>
      <w:tr w14:paraId="42CE4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1020D937">
            <w:pPr>
              <w:jc w:val="center"/>
              <w:rPr>
                <w:color w:val="auto"/>
                <w:highlight w:val="none"/>
              </w:rPr>
            </w:pPr>
            <w:r>
              <w:rPr>
                <w:rFonts w:hint="eastAsia" w:ascii="宋体" w:hAnsi="宋体" w:cs="宋体"/>
                <w:color w:val="auto"/>
                <w:highlight w:val="none"/>
              </w:rPr>
              <w:t>7</w:t>
            </w:r>
          </w:p>
        </w:tc>
        <w:tc>
          <w:tcPr>
            <w:tcW w:w="782" w:type="pct"/>
            <w:vAlign w:val="center"/>
          </w:tcPr>
          <w:p w14:paraId="5739C867">
            <w:pPr>
              <w:jc w:val="center"/>
              <w:rPr>
                <w:color w:val="auto"/>
                <w:highlight w:val="none"/>
              </w:rPr>
            </w:pPr>
            <w:r>
              <w:rPr>
                <w:rFonts w:hint="eastAsia" w:ascii="宋体" w:hAnsi="宋体" w:cs="宋体"/>
                <w:color w:val="auto"/>
                <w:highlight w:val="none"/>
              </w:rPr>
              <w:t>智能电源腔体</w:t>
            </w:r>
          </w:p>
        </w:tc>
        <w:tc>
          <w:tcPr>
            <w:tcW w:w="3079" w:type="pct"/>
            <w:vAlign w:val="center"/>
          </w:tcPr>
          <w:p w14:paraId="5ECA04D0">
            <w:pPr>
              <w:rPr>
                <w:color w:val="auto"/>
                <w:highlight w:val="none"/>
              </w:rPr>
            </w:pPr>
            <w:r>
              <w:rPr>
                <w:rFonts w:hint="eastAsia" w:ascii="宋体" w:hAnsi="宋体" w:cs="宋体"/>
                <w:color w:val="auto"/>
                <w:highlight w:val="none"/>
              </w:rPr>
              <w:t>腔体采用阻燃级ABS塑料原料经定制开发模具注塑一次性加工成型，生产工艺采用模块化组合，模块内部采用双舱体设计，水电隔离设计，防水功能，相互不干扰，保证设备安全可靠性预留多个供应系统安装位置可适应不同教学实验要求。</w:t>
            </w:r>
          </w:p>
        </w:tc>
        <w:tc>
          <w:tcPr>
            <w:tcW w:w="384" w:type="pct"/>
            <w:vAlign w:val="center"/>
          </w:tcPr>
          <w:p w14:paraId="072780E6">
            <w:pPr>
              <w:jc w:val="center"/>
              <w:rPr>
                <w:color w:val="auto"/>
                <w:highlight w:val="none"/>
              </w:rPr>
            </w:pPr>
            <w:r>
              <w:rPr>
                <w:rFonts w:hint="eastAsia" w:ascii="宋体" w:hAnsi="宋体" w:cs="宋体"/>
                <w:color w:val="auto"/>
                <w:highlight w:val="none"/>
              </w:rPr>
              <w:t>个</w:t>
            </w:r>
          </w:p>
        </w:tc>
        <w:tc>
          <w:tcPr>
            <w:tcW w:w="385" w:type="pct"/>
            <w:vAlign w:val="center"/>
          </w:tcPr>
          <w:p w14:paraId="1188A929">
            <w:pPr>
              <w:jc w:val="center"/>
              <w:textAlignment w:val="center"/>
              <w:rPr>
                <w:color w:val="auto"/>
                <w:highlight w:val="none"/>
              </w:rPr>
            </w:pPr>
            <w:r>
              <w:rPr>
                <w:rFonts w:hint="eastAsia" w:ascii="宋体" w:hAnsi="宋体" w:cs="宋体"/>
                <w:color w:val="auto"/>
                <w:kern w:val="0"/>
                <w:szCs w:val="21"/>
                <w:highlight w:val="none"/>
                <w:lang w:bidi="ar"/>
              </w:rPr>
              <w:t>28</w:t>
            </w:r>
          </w:p>
        </w:tc>
      </w:tr>
      <w:tr w14:paraId="5FFB6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7E7F66E3">
            <w:pPr>
              <w:jc w:val="center"/>
              <w:rPr>
                <w:color w:val="auto"/>
                <w:highlight w:val="none"/>
              </w:rPr>
            </w:pPr>
            <w:r>
              <w:rPr>
                <w:rFonts w:hint="eastAsia" w:ascii="宋体" w:hAnsi="宋体" w:cs="宋体"/>
                <w:color w:val="auto"/>
                <w:highlight w:val="none"/>
              </w:rPr>
              <w:t>8</w:t>
            </w:r>
          </w:p>
        </w:tc>
        <w:tc>
          <w:tcPr>
            <w:tcW w:w="782" w:type="pct"/>
            <w:vAlign w:val="center"/>
          </w:tcPr>
          <w:p w14:paraId="789AFDAF">
            <w:pPr>
              <w:jc w:val="center"/>
              <w:rPr>
                <w:color w:val="auto"/>
                <w:highlight w:val="none"/>
              </w:rPr>
            </w:pPr>
            <w:r>
              <w:rPr>
                <w:rFonts w:hint="eastAsia" w:ascii="宋体" w:hAnsi="宋体" w:cs="宋体"/>
                <w:color w:val="auto"/>
                <w:highlight w:val="none"/>
              </w:rPr>
              <w:t>智能彩色液晶显示屛</w:t>
            </w:r>
          </w:p>
        </w:tc>
        <w:tc>
          <w:tcPr>
            <w:tcW w:w="3079" w:type="pct"/>
            <w:vAlign w:val="center"/>
          </w:tcPr>
          <w:p w14:paraId="6D032014">
            <w:pPr>
              <w:rPr>
                <w:color w:val="auto"/>
                <w:highlight w:val="none"/>
              </w:rPr>
            </w:pPr>
            <w:r>
              <w:rPr>
                <w:rFonts w:hint="eastAsia" w:ascii="宋体" w:hAnsi="宋体" w:cs="宋体"/>
                <w:color w:val="auto"/>
                <w:highlight w:val="none"/>
              </w:rPr>
              <w:t>显示屏≥3.0寸TFT-LCD液晶显示屏，屛面数据清晰，接收智能化主控制系统控制，界面可显示通风、供水、排水、电流、电压、灯光、供电状态、电流过载提示、摇臂升降状态、语音提示报警及系统故障提示等等功能，显示设定及实际电压值；吊装的动作，吸风罩有无回位，水槽水位状态，操作失误及系统故障实时警示提醒，便于老师及学生了解操作情况。</w:t>
            </w:r>
          </w:p>
        </w:tc>
        <w:tc>
          <w:tcPr>
            <w:tcW w:w="384" w:type="pct"/>
            <w:vAlign w:val="center"/>
          </w:tcPr>
          <w:p w14:paraId="2BF282B2">
            <w:pPr>
              <w:jc w:val="center"/>
              <w:rPr>
                <w:color w:val="auto"/>
                <w:highlight w:val="none"/>
              </w:rPr>
            </w:pPr>
            <w:r>
              <w:rPr>
                <w:rFonts w:hint="eastAsia" w:ascii="宋体" w:hAnsi="宋体" w:cs="宋体"/>
                <w:color w:val="auto"/>
                <w:highlight w:val="none"/>
              </w:rPr>
              <w:t>个</w:t>
            </w:r>
          </w:p>
        </w:tc>
        <w:tc>
          <w:tcPr>
            <w:tcW w:w="385" w:type="pct"/>
            <w:vAlign w:val="center"/>
          </w:tcPr>
          <w:p w14:paraId="118CC201">
            <w:pPr>
              <w:jc w:val="center"/>
              <w:textAlignment w:val="center"/>
              <w:rPr>
                <w:color w:val="auto"/>
                <w:highlight w:val="none"/>
              </w:rPr>
            </w:pPr>
            <w:r>
              <w:rPr>
                <w:rFonts w:hint="eastAsia" w:ascii="宋体" w:hAnsi="宋体" w:cs="宋体"/>
                <w:color w:val="auto"/>
                <w:kern w:val="0"/>
                <w:szCs w:val="21"/>
                <w:highlight w:val="none"/>
                <w:lang w:bidi="ar"/>
              </w:rPr>
              <w:t>56</w:t>
            </w:r>
          </w:p>
        </w:tc>
      </w:tr>
      <w:tr w14:paraId="3237E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4A3634F9">
            <w:pPr>
              <w:jc w:val="center"/>
              <w:rPr>
                <w:color w:val="auto"/>
                <w:highlight w:val="none"/>
              </w:rPr>
            </w:pPr>
            <w:r>
              <w:rPr>
                <w:rFonts w:hint="eastAsia" w:ascii="宋体" w:hAnsi="宋体" w:cs="宋体"/>
                <w:color w:val="auto"/>
                <w:highlight w:val="none"/>
              </w:rPr>
              <w:t>9</w:t>
            </w:r>
          </w:p>
        </w:tc>
        <w:tc>
          <w:tcPr>
            <w:tcW w:w="782" w:type="pct"/>
            <w:vAlign w:val="center"/>
          </w:tcPr>
          <w:p w14:paraId="1C9B0A2D">
            <w:pPr>
              <w:jc w:val="center"/>
              <w:rPr>
                <w:color w:val="auto"/>
                <w:highlight w:val="none"/>
              </w:rPr>
            </w:pPr>
            <w:r>
              <w:rPr>
                <w:rFonts w:hint="eastAsia" w:ascii="宋体" w:hAnsi="宋体" w:cs="宋体"/>
                <w:color w:val="auto"/>
                <w:highlight w:val="none"/>
              </w:rPr>
              <w:t>多功能电源模块</w:t>
            </w:r>
          </w:p>
        </w:tc>
        <w:tc>
          <w:tcPr>
            <w:tcW w:w="3079" w:type="pct"/>
            <w:vAlign w:val="center"/>
          </w:tcPr>
          <w:p w14:paraId="02E23266">
            <w:pPr>
              <w:rPr>
                <w:rFonts w:hint="eastAsia" w:ascii="宋体" w:hAnsi="宋体" w:cs="宋体"/>
                <w:color w:val="auto"/>
                <w:highlight w:val="none"/>
              </w:rPr>
            </w:pPr>
            <w:r>
              <w:rPr>
                <w:rFonts w:hint="eastAsia" w:ascii="宋体" w:hAnsi="宋体" w:cs="宋体"/>
                <w:color w:val="auto"/>
                <w:highlight w:val="none"/>
              </w:rPr>
              <w:t>1.电路板采用贴片元件生产技术，微电脑控制。</w:t>
            </w:r>
          </w:p>
          <w:p w14:paraId="3AB4228F">
            <w:pPr>
              <w:rPr>
                <w:rFonts w:hint="eastAsia" w:ascii="宋体" w:hAnsi="宋体" w:cs="宋体"/>
                <w:color w:val="auto"/>
                <w:highlight w:val="none"/>
              </w:rPr>
            </w:pPr>
            <w:r>
              <w:rPr>
                <w:rFonts w:hint="eastAsia" w:ascii="宋体" w:hAnsi="宋体" w:cs="宋体"/>
                <w:color w:val="auto"/>
                <w:highlight w:val="none"/>
              </w:rPr>
              <w:t>2.操作面板基本规格尺寸：≥140mm*170mm，采用耐磨、耐腐蚀、耐高温,耐冲击≥1.0mm厚PC板材极光切割触摸面板工艺制造。</w:t>
            </w:r>
          </w:p>
          <w:p w14:paraId="2B9EA7F0">
            <w:pPr>
              <w:rPr>
                <w:rFonts w:hint="eastAsia" w:ascii="宋体" w:hAnsi="宋体" w:cs="宋体"/>
                <w:color w:val="auto"/>
                <w:highlight w:val="none"/>
              </w:rPr>
            </w:pPr>
            <w:r>
              <w:rPr>
                <w:rFonts w:hint="eastAsia" w:ascii="宋体" w:hAnsi="宋体" w:cs="宋体"/>
                <w:color w:val="auto"/>
                <w:highlight w:val="none"/>
              </w:rPr>
              <w:t>3.交直流电源具有过载保护智能检测功能，设置“过载”图标提示。采用按钮复位功能免除反复过载冲击负载。</w:t>
            </w:r>
          </w:p>
          <w:p w14:paraId="009D6075">
            <w:pPr>
              <w:rPr>
                <w:color w:val="auto"/>
                <w:highlight w:val="none"/>
              </w:rPr>
            </w:pPr>
            <w:r>
              <w:rPr>
                <w:rFonts w:hint="eastAsia" w:ascii="宋体" w:hAnsi="宋体" w:cs="宋体"/>
                <w:color w:val="auto"/>
                <w:highlight w:val="none"/>
              </w:rPr>
              <w:t>4.学生高压电源可接收主控电源发送的锁定信号，学生接收老输送的设定电源电压，教师锁定时，学生自己无法操作，这样可避免学生的误操作。老师端可以分组或独立控制。</w:t>
            </w:r>
          </w:p>
        </w:tc>
        <w:tc>
          <w:tcPr>
            <w:tcW w:w="384" w:type="pct"/>
            <w:vAlign w:val="center"/>
          </w:tcPr>
          <w:p w14:paraId="308A19CF">
            <w:pPr>
              <w:jc w:val="center"/>
              <w:rPr>
                <w:color w:val="auto"/>
                <w:highlight w:val="none"/>
              </w:rPr>
            </w:pPr>
            <w:r>
              <w:rPr>
                <w:rFonts w:hint="eastAsia" w:ascii="宋体" w:hAnsi="宋体" w:cs="宋体"/>
                <w:color w:val="auto"/>
                <w:highlight w:val="none"/>
              </w:rPr>
              <w:t>个</w:t>
            </w:r>
          </w:p>
        </w:tc>
        <w:tc>
          <w:tcPr>
            <w:tcW w:w="385" w:type="pct"/>
            <w:vAlign w:val="center"/>
          </w:tcPr>
          <w:p w14:paraId="3D0CE19C">
            <w:pPr>
              <w:jc w:val="center"/>
              <w:textAlignment w:val="center"/>
              <w:rPr>
                <w:color w:val="auto"/>
                <w:highlight w:val="none"/>
              </w:rPr>
            </w:pPr>
            <w:r>
              <w:rPr>
                <w:rFonts w:hint="eastAsia" w:ascii="宋体" w:hAnsi="宋体" w:cs="宋体"/>
                <w:color w:val="auto"/>
                <w:kern w:val="0"/>
                <w:szCs w:val="21"/>
                <w:highlight w:val="none"/>
                <w:lang w:bidi="ar"/>
              </w:rPr>
              <w:t>56</w:t>
            </w:r>
          </w:p>
        </w:tc>
      </w:tr>
      <w:tr w14:paraId="01FD3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24B105BC">
            <w:pPr>
              <w:jc w:val="center"/>
              <w:rPr>
                <w:color w:val="auto"/>
                <w:highlight w:val="none"/>
              </w:rPr>
            </w:pPr>
            <w:r>
              <w:rPr>
                <w:rFonts w:hint="eastAsia" w:ascii="宋体" w:hAnsi="宋体" w:cs="宋体"/>
                <w:color w:val="auto"/>
                <w:highlight w:val="none"/>
              </w:rPr>
              <w:t>10</w:t>
            </w:r>
          </w:p>
        </w:tc>
        <w:tc>
          <w:tcPr>
            <w:tcW w:w="782" w:type="pct"/>
            <w:vAlign w:val="center"/>
          </w:tcPr>
          <w:p w14:paraId="3635CC33">
            <w:pPr>
              <w:jc w:val="center"/>
              <w:rPr>
                <w:color w:val="auto"/>
                <w:highlight w:val="none"/>
              </w:rPr>
            </w:pPr>
            <w:r>
              <w:rPr>
                <w:rFonts w:hint="eastAsia" w:ascii="宋体" w:hAnsi="宋体" w:cs="宋体"/>
                <w:color w:val="auto"/>
                <w:highlight w:val="none"/>
              </w:rPr>
              <w:t>急停控制软件系统装置</w:t>
            </w:r>
          </w:p>
        </w:tc>
        <w:tc>
          <w:tcPr>
            <w:tcW w:w="3079" w:type="pct"/>
            <w:vAlign w:val="center"/>
          </w:tcPr>
          <w:p w14:paraId="48E77E45">
            <w:pPr>
              <w:rPr>
                <w:color w:val="auto"/>
                <w:highlight w:val="none"/>
              </w:rPr>
            </w:pPr>
            <w:r>
              <w:rPr>
                <w:rFonts w:hint="eastAsia" w:ascii="宋体" w:hAnsi="宋体" w:cs="宋体"/>
                <w:color w:val="auto"/>
                <w:highlight w:val="none"/>
              </w:rPr>
              <w:t>采用独立控制软件控制，通过急停按钮给出信号源，由智能控制软件自动处理分析。防止在操作实验过程中水、电系统出现故障时紧急制动及摇臂升降过程紧急制动，确保操作安全可靠性。</w:t>
            </w:r>
          </w:p>
        </w:tc>
        <w:tc>
          <w:tcPr>
            <w:tcW w:w="384" w:type="pct"/>
            <w:vAlign w:val="center"/>
          </w:tcPr>
          <w:p w14:paraId="73E3EA51">
            <w:pPr>
              <w:jc w:val="center"/>
              <w:rPr>
                <w:color w:val="auto"/>
                <w:highlight w:val="none"/>
              </w:rPr>
            </w:pPr>
            <w:r>
              <w:rPr>
                <w:rFonts w:hint="eastAsia" w:ascii="宋体" w:hAnsi="宋体" w:cs="宋体"/>
                <w:color w:val="auto"/>
                <w:highlight w:val="none"/>
              </w:rPr>
              <w:t>个</w:t>
            </w:r>
          </w:p>
        </w:tc>
        <w:tc>
          <w:tcPr>
            <w:tcW w:w="385" w:type="pct"/>
            <w:vAlign w:val="center"/>
          </w:tcPr>
          <w:p w14:paraId="09A109AF">
            <w:pPr>
              <w:jc w:val="center"/>
              <w:textAlignment w:val="center"/>
              <w:rPr>
                <w:color w:val="auto"/>
                <w:highlight w:val="none"/>
              </w:rPr>
            </w:pPr>
            <w:r>
              <w:rPr>
                <w:rFonts w:hint="eastAsia" w:ascii="宋体" w:hAnsi="宋体" w:cs="宋体"/>
                <w:color w:val="auto"/>
                <w:kern w:val="0"/>
                <w:szCs w:val="21"/>
                <w:highlight w:val="none"/>
                <w:lang w:bidi="ar"/>
              </w:rPr>
              <w:t>28</w:t>
            </w:r>
          </w:p>
        </w:tc>
      </w:tr>
      <w:tr w14:paraId="051BA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69AF6BCE">
            <w:pPr>
              <w:jc w:val="center"/>
              <w:rPr>
                <w:color w:val="auto"/>
                <w:highlight w:val="none"/>
              </w:rPr>
            </w:pPr>
            <w:r>
              <w:rPr>
                <w:rFonts w:hint="eastAsia" w:ascii="宋体" w:hAnsi="宋体" w:cs="宋体"/>
                <w:color w:val="auto"/>
                <w:highlight w:val="none"/>
              </w:rPr>
              <w:t>11</w:t>
            </w:r>
          </w:p>
        </w:tc>
        <w:tc>
          <w:tcPr>
            <w:tcW w:w="782" w:type="pct"/>
            <w:vAlign w:val="center"/>
          </w:tcPr>
          <w:p w14:paraId="09C7B7E6">
            <w:pPr>
              <w:jc w:val="center"/>
              <w:rPr>
                <w:color w:val="auto"/>
                <w:highlight w:val="none"/>
              </w:rPr>
            </w:pPr>
            <w:r>
              <w:rPr>
                <w:rFonts w:hint="eastAsia" w:ascii="宋体" w:hAnsi="宋体" w:cs="宋体"/>
                <w:color w:val="auto"/>
                <w:highlight w:val="none"/>
              </w:rPr>
              <w:t>模块化供电线路</w:t>
            </w:r>
          </w:p>
        </w:tc>
        <w:tc>
          <w:tcPr>
            <w:tcW w:w="3079" w:type="pct"/>
            <w:vAlign w:val="center"/>
          </w:tcPr>
          <w:p w14:paraId="4DE6B8E9">
            <w:pPr>
              <w:rPr>
                <w:color w:val="auto"/>
                <w:highlight w:val="none"/>
              </w:rPr>
            </w:pPr>
            <w:r>
              <w:rPr>
                <w:rFonts w:hint="eastAsia" w:ascii="宋体" w:hAnsi="宋体" w:cs="宋体"/>
                <w:color w:val="auto"/>
                <w:highlight w:val="none"/>
              </w:rPr>
              <w:t>信号屏蔽线及电源线采取集数化设计，电线进行系统布线。每组模块间采用活接式连接，方便安装、故障排除、检修。</w:t>
            </w:r>
          </w:p>
        </w:tc>
        <w:tc>
          <w:tcPr>
            <w:tcW w:w="384" w:type="pct"/>
            <w:vAlign w:val="center"/>
          </w:tcPr>
          <w:p w14:paraId="2750B1FD">
            <w:pPr>
              <w:jc w:val="center"/>
              <w:rPr>
                <w:color w:val="auto"/>
                <w:highlight w:val="none"/>
              </w:rPr>
            </w:pPr>
            <w:r>
              <w:rPr>
                <w:rFonts w:hint="eastAsia" w:ascii="宋体" w:hAnsi="宋体" w:cs="宋体"/>
                <w:color w:val="auto"/>
                <w:highlight w:val="none"/>
              </w:rPr>
              <w:t>套</w:t>
            </w:r>
          </w:p>
        </w:tc>
        <w:tc>
          <w:tcPr>
            <w:tcW w:w="385" w:type="pct"/>
            <w:vAlign w:val="center"/>
          </w:tcPr>
          <w:p w14:paraId="5DC90D9A">
            <w:pPr>
              <w:jc w:val="center"/>
              <w:textAlignment w:val="center"/>
              <w:rPr>
                <w:color w:val="auto"/>
                <w:highlight w:val="none"/>
              </w:rPr>
            </w:pPr>
            <w:r>
              <w:rPr>
                <w:rFonts w:hint="eastAsia" w:ascii="宋体" w:hAnsi="宋体" w:cs="宋体"/>
                <w:color w:val="auto"/>
                <w:kern w:val="0"/>
                <w:szCs w:val="21"/>
                <w:highlight w:val="none"/>
                <w:lang w:bidi="ar"/>
              </w:rPr>
              <w:t>28</w:t>
            </w:r>
          </w:p>
        </w:tc>
      </w:tr>
      <w:tr w14:paraId="67076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11C31438">
            <w:pPr>
              <w:jc w:val="center"/>
              <w:rPr>
                <w:color w:val="auto"/>
                <w:highlight w:val="none"/>
              </w:rPr>
            </w:pPr>
            <w:r>
              <w:rPr>
                <w:rFonts w:hint="eastAsia" w:ascii="宋体" w:hAnsi="宋体" w:cs="宋体"/>
                <w:color w:val="auto"/>
                <w:highlight w:val="none"/>
              </w:rPr>
              <w:t>12</w:t>
            </w:r>
          </w:p>
        </w:tc>
        <w:tc>
          <w:tcPr>
            <w:tcW w:w="782" w:type="pct"/>
            <w:vAlign w:val="center"/>
          </w:tcPr>
          <w:p w14:paraId="03EB66D7">
            <w:pPr>
              <w:jc w:val="center"/>
              <w:rPr>
                <w:color w:val="auto"/>
                <w:highlight w:val="none"/>
              </w:rPr>
            </w:pPr>
            <w:r>
              <w:rPr>
                <w:rFonts w:hint="eastAsia" w:ascii="宋体" w:hAnsi="宋体" w:cs="宋体"/>
                <w:color w:val="auto"/>
                <w:highlight w:val="none"/>
              </w:rPr>
              <w:t>智能照明控制软件系统装置</w:t>
            </w:r>
          </w:p>
        </w:tc>
        <w:tc>
          <w:tcPr>
            <w:tcW w:w="3079" w:type="pct"/>
            <w:vAlign w:val="center"/>
          </w:tcPr>
          <w:p w14:paraId="78D4E5F2">
            <w:pPr>
              <w:rPr>
                <w:color w:val="auto"/>
                <w:highlight w:val="none"/>
              </w:rPr>
            </w:pPr>
            <w:r>
              <w:rPr>
                <w:rFonts w:hint="eastAsia" w:ascii="宋体" w:hAnsi="宋体" w:cs="宋体"/>
                <w:color w:val="auto"/>
                <w:highlight w:val="none"/>
              </w:rPr>
              <w:t>采用4个不低于460*70mm标准LED吸顶模组，灯板采用不低于2.0mm厚pc光扩散板，扩大了发光面，使光线变的柔和，达到匀光而又透光，同时满足各种雾度值和透光率的需求。及在保证高透光率，降低光衰的情况下，有着良好的光源遮蔽性效果，符合视觉工效学原则及室内工作场所照明。模块化安装，维修便捷。所有灯光模组由独立控制软件系统控制，可以根据实际照明需求进行4个模组单个关闭及开启功能。</w:t>
            </w:r>
          </w:p>
        </w:tc>
        <w:tc>
          <w:tcPr>
            <w:tcW w:w="384" w:type="pct"/>
            <w:vAlign w:val="center"/>
          </w:tcPr>
          <w:p w14:paraId="1A867CB0">
            <w:pPr>
              <w:jc w:val="center"/>
              <w:rPr>
                <w:color w:val="auto"/>
                <w:highlight w:val="none"/>
              </w:rPr>
            </w:pPr>
            <w:r>
              <w:rPr>
                <w:rFonts w:hint="eastAsia" w:ascii="宋体" w:hAnsi="宋体" w:cs="宋体"/>
                <w:color w:val="auto"/>
                <w:highlight w:val="none"/>
              </w:rPr>
              <w:t>套</w:t>
            </w:r>
          </w:p>
        </w:tc>
        <w:tc>
          <w:tcPr>
            <w:tcW w:w="385" w:type="pct"/>
            <w:vAlign w:val="center"/>
          </w:tcPr>
          <w:p w14:paraId="346A2482">
            <w:pPr>
              <w:jc w:val="center"/>
              <w:textAlignment w:val="center"/>
              <w:rPr>
                <w:color w:val="auto"/>
                <w:highlight w:val="none"/>
              </w:rPr>
            </w:pPr>
            <w:r>
              <w:rPr>
                <w:rFonts w:hint="eastAsia" w:ascii="宋体" w:hAnsi="宋体" w:cs="宋体"/>
                <w:color w:val="auto"/>
                <w:kern w:val="0"/>
                <w:szCs w:val="21"/>
                <w:highlight w:val="none"/>
                <w:lang w:bidi="ar"/>
              </w:rPr>
              <w:t>32</w:t>
            </w:r>
          </w:p>
        </w:tc>
      </w:tr>
      <w:tr w14:paraId="4DCC8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232299AB">
            <w:pPr>
              <w:jc w:val="center"/>
              <w:rPr>
                <w:color w:val="auto"/>
                <w:highlight w:val="none"/>
              </w:rPr>
            </w:pPr>
            <w:r>
              <w:rPr>
                <w:rFonts w:hint="eastAsia" w:ascii="宋体" w:hAnsi="宋体" w:cs="宋体"/>
                <w:color w:val="auto"/>
                <w:highlight w:val="none"/>
              </w:rPr>
              <w:t>13</w:t>
            </w:r>
          </w:p>
        </w:tc>
        <w:tc>
          <w:tcPr>
            <w:tcW w:w="782" w:type="pct"/>
            <w:vAlign w:val="center"/>
          </w:tcPr>
          <w:p w14:paraId="016DF676">
            <w:pPr>
              <w:jc w:val="center"/>
              <w:rPr>
                <w:color w:val="auto"/>
                <w:highlight w:val="none"/>
              </w:rPr>
            </w:pPr>
            <w:r>
              <w:rPr>
                <w:rFonts w:hint="eastAsia" w:ascii="宋体" w:hAnsi="宋体" w:cs="宋体"/>
                <w:color w:val="auto"/>
                <w:highlight w:val="none"/>
              </w:rPr>
              <w:t>万向吸风罩一体式集成</w:t>
            </w:r>
          </w:p>
        </w:tc>
        <w:tc>
          <w:tcPr>
            <w:tcW w:w="3079" w:type="pct"/>
            <w:vAlign w:val="center"/>
          </w:tcPr>
          <w:p w14:paraId="7294CF53">
            <w:pPr>
              <w:rPr>
                <w:rFonts w:hint="eastAsia" w:ascii="宋体" w:hAnsi="宋体" w:cs="宋体"/>
                <w:color w:val="auto"/>
                <w:highlight w:val="none"/>
              </w:rPr>
            </w:pPr>
            <w:r>
              <w:rPr>
                <w:rFonts w:hint="eastAsia" w:ascii="宋体" w:hAnsi="宋体" w:cs="宋体"/>
                <w:color w:val="auto"/>
                <w:highlight w:val="none"/>
              </w:rPr>
              <w:t>吸风罩集成于吊装一体内，随摇臂面板一起运动，不使用时一起收于吊装内，老师授课时不挡学生视线。整体整洁大方。</w:t>
            </w:r>
          </w:p>
          <w:p w14:paraId="51E2A7C7">
            <w:pPr>
              <w:rPr>
                <w:rFonts w:hint="eastAsia" w:ascii="宋体" w:hAnsi="宋体" w:cs="宋体"/>
                <w:color w:val="auto"/>
                <w:highlight w:val="none"/>
              </w:rPr>
            </w:pPr>
            <w:r>
              <w:rPr>
                <w:rFonts w:hint="eastAsia" w:ascii="宋体" w:hAnsi="宋体" w:cs="宋体"/>
                <w:color w:val="auto"/>
                <w:highlight w:val="none"/>
              </w:rPr>
              <w:t>万向吊装吸风帽，吸风罩集成于吊装一体内，随摇臂面板一起运动，不使用时一起收于吊装内，老师授课时不挡学生视线。</w:t>
            </w:r>
          </w:p>
          <w:p w14:paraId="7F4B4FA3">
            <w:pPr>
              <w:rPr>
                <w:rFonts w:hint="eastAsia" w:ascii="宋体" w:hAnsi="宋体" w:cs="宋体"/>
                <w:color w:val="auto"/>
                <w:highlight w:val="none"/>
              </w:rPr>
            </w:pPr>
            <w:r>
              <w:rPr>
                <w:rFonts w:hint="eastAsia" w:ascii="宋体" w:hAnsi="宋体" w:cs="宋体"/>
                <w:color w:val="auto"/>
                <w:highlight w:val="none"/>
              </w:rPr>
              <w:t>1.关节：与吊装主体连接处关节采用铝合金压铸成型工艺，后期CNC定位加工，使摇臂实现90°旋转。</w:t>
            </w:r>
          </w:p>
          <w:p w14:paraId="073B11F6">
            <w:pPr>
              <w:rPr>
                <w:rFonts w:hint="eastAsia" w:ascii="宋体" w:hAnsi="宋体" w:cs="宋体"/>
                <w:color w:val="auto"/>
                <w:highlight w:val="none"/>
              </w:rPr>
            </w:pPr>
            <w:r>
              <w:rPr>
                <w:rFonts w:hint="eastAsia" w:ascii="宋体" w:hAnsi="宋体" w:cs="宋体"/>
                <w:color w:val="auto"/>
                <w:highlight w:val="none"/>
              </w:rPr>
              <w:t>2.关节密封圈：不易老化之高密度橡胶。</w:t>
            </w:r>
          </w:p>
          <w:p w14:paraId="002CB3A8">
            <w:pPr>
              <w:rPr>
                <w:rFonts w:hint="eastAsia" w:ascii="宋体" w:hAnsi="宋体" w:cs="宋体"/>
                <w:color w:val="auto"/>
                <w:highlight w:val="none"/>
              </w:rPr>
            </w:pPr>
            <w:r>
              <w:rPr>
                <w:rFonts w:hint="eastAsia" w:ascii="宋体" w:hAnsi="宋体" w:cs="宋体"/>
                <w:color w:val="auto"/>
                <w:highlight w:val="none"/>
              </w:rPr>
              <w:t>3.伸缩管：前两段风管采用铝合金精密管伸缩结构，内壁连接处采用高密度PP材质密封，伸出顺畅。</w:t>
            </w:r>
          </w:p>
          <w:p w14:paraId="4DF4EABA">
            <w:pPr>
              <w:rPr>
                <w:rFonts w:hint="eastAsia" w:ascii="宋体" w:hAnsi="宋体" w:cs="宋体"/>
                <w:color w:val="auto"/>
                <w:highlight w:val="none"/>
              </w:rPr>
            </w:pPr>
            <w:r>
              <w:rPr>
                <w:rFonts w:hint="eastAsia" w:ascii="宋体" w:hAnsi="宋体" w:cs="宋体"/>
                <w:color w:val="auto"/>
                <w:highlight w:val="none"/>
              </w:rPr>
              <w:t>4.尾端风管：尾端风管采用定向风管，随意弯曲定向。管壁硬质pvc料 壁厚≥3.5mm 。</w:t>
            </w:r>
          </w:p>
          <w:p w14:paraId="47DDD257">
            <w:pPr>
              <w:rPr>
                <w:rFonts w:hint="eastAsia" w:ascii="宋体" w:hAnsi="宋体" w:cs="宋体"/>
                <w:color w:val="auto"/>
                <w:highlight w:val="none"/>
              </w:rPr>
            </w:pPr>
            <w:r>
              <w:rPr>
                <w:rFonts w:hint="eastAsia" w:ascii="宋体" w:hAnsi="宋体" w:cs="宋体"/>
                <w:color w:val="auto"/>
                <w:highlight w:val="none"/>
              </w:rPr>
              <w:t>5.风罩固定柄：采用PP料一体成型，两段设计有双卡口，使用完毕后双卡口扣与伸缩管尾端，整体机构紧凑，可以与摇臂一起收藏与整体吊装内。</w:t>
            </w:r>
          </w:p>
          <w:p w14:paraId="23DB23A2">
            <w:pPr>
              <w:rPr>
                <w:rFonts w:hint="eastAsia" w:ascii="宋体" w:hAnsi="宋体" w:cs="宋体"/>
                <w:color w:val="auto"/>
                <w:highlight w:val="none"/>
              </w:rPr>
            </w:pPr>
            <w:r>
              <w:rPr>
                <w:rFonts w:hint="eastAsia" w:ascii="宋体" w:hAnsi="宋体" w:cs="宋体"/>
                <w:color w:val="auto"/>
                <w:highlight w:val="none"/>
              </w:rPr>
              <w:t>6.拱形集气罩：直径不低于160mm高75MM，不易老化之高密度高弹性橡胶吸风罩。</w:t>
            </w:r>
          </w:p>
          <w:p w14:paraId="28F2B108">
            <w:pPr>
              <w:rPr>
                <w:rFonts w:hint="eastAsia" w:ascii="宋体" w:hAnsi="宋体" w:cs="宋体"/>
                <w:color w:val="auto"/>
                <w:highlight w:val="none"/>
              </w:rPr>
            </w:pPr>
            <w:r>
              <w:rPr>
                <w:rFonts w:hint="eastAsia" w:ascii="宋体" w:hAnsi="宋体" w:cs="宋体"/>
                <w:color w:val="auto"/>
                <w:highlight w:val="none"/>
              </w:rPr>
              <w:t>▲吸风罩有害物质限量：邻苯二甲酸酯 DBP≤0，BBP≤0.1 ，DEHP≤0.1 ，DNOP≤0.1 ，DINP≤0.1，DIDP≤0.1 ，重金属：可溶性铅≤90mg/kg ，可溶性镉≤75mg/kg ，可溶性铬≤60mg/kg，可溶性汞≤60mg/kg。</w:t>
            </w:r>
          </w:p>
          <w:p w14:paraId="017E35B5">
            <w:pPr>
              <w:rPr>
                <w:b/>
                <w:bCs/>
                <w:color w:val="auto"/>
                <w:highlight w:val="none"/>
              </w:rPr>
            </w:pPr>
            <w:r>
              <w:rPr>
                <w:rFonts w:hint="eastAsia" w:ascii="宋体" w:hAnsi="宋体" w:cs="宋体"/>
                <w:b/>
                <w:bCs/>
                <w:color w:val="auto"/>
                <w:highlight w:val="none"/>
              </w:rPr>
              <w:t>提供第三方专业检测机构出具的含有CNAS、CMA标志的产品检测报告的扫描件，佐证投标参数满足招标参数要求。</w:t>
            </w:r>
          </w:p>
        </w:tc>
        <w:tc>
          <w:tcPr>
            <w:tcW w:w="384" w:type="pct"/>
            <w:vAlign w:val="center"/>
          </w:tcPr>
          <w:p w14:paraId="61DF2443">
            <w:pPr>
              <w:jc w:val="center"/>
              <w:rPr>
                <w:color w:val="auto"/>
                <w:highlight w:val="none"/>
              </w:rPr>
            </w:pPr>
            <w:r>
              <w:rPr>
                <w:rFonts w:hint="eastAsia" w:ascii="宋体" w:hAnsi="宋体" w:cs="宋体"/>
                <w:color w:val="auto"/>
                <w:highlight w:val="none"/>
              </w:rPr>
              <w:t>个</w:t>
            </w:r>
          </w:p>
        </w:tc>
        <w:tc>
          <w:tcPr>
            <w:tcW w:w="385" w:type="pct"/>
            <w:vAlign w:val="center"/>
          </w:tcPr>
          <w:p w14:paraId="487F116E">
            <w:pPr>
              <w:jc w:val="center"/>
              <w:textAlignment w:val="center"/>
              <w:rPr>
                <w:color w:val="auto"/>
                <w:highlight w:val="none"/>
              </w:rPr>
            </w:pPr>
            <w:r>
              <w:rPr>
                <w:rFonts w:hint="eastAsia" w:ascii="宋体" w:hAnsi="宋体" w:cs="宋体"/>
                <w:color w:val="auto"/>
                <w:kern w:val="0"/>
                <w:szCs w:val="21"/>
                <w:highlight w:val="none"/>
                <w:lang w:bidi="ar"/>
              </w:rPr>
              <w:t>56</w:t>
            </w:r>
          </w:p>
        </w:tc>
      </w:tr>
      <w:tr w14:paraId="6FF28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3B7A905C">
            <w:pPr>
              <w:jc w:val="center"/>
              <w:rPr>
                <w:color w:val="auto"/>
                <w:highlight w:val="none"/>
              </w:rPr>
            </w:pPr>
            <w:r>
              <w:rPr>
                <w:rFonts w:hint="eastAsia" w:ascii="宋体" w:hAnsi="宋体" w:cs="宋体"/>
                <w:color w:val="auto"/>
                <w:highlight w:val="none"/>
              </w:rPr>
              <w:t>14</w:t>
            </w:r>
          </w:p>
        </w:tc>
        <w:tc>
          <w:tcPr>
            <w:tcW w:w="782" w:type="pct"/>
            <w:vAlign w:val="center"/>
          </w:tcPr>
          <w:p w14:paraId="6800E21A">
            <w:pPr>
              <w:jc w:val="center"/>
              <w:rPr>
                <w:color w:val="auto"/>
                <w:highlight w:val="none"/>
              </w:rPr>
            </w:pPr>
            <w:r>
              <w:rPr>
                <w:rFonts w:hint="eastAsia" w:ascii="宋体" w:hAnsi="宋体" w:cs="宋体"/>
                <w:color w:val="auto"/>
                <w:highlight w:val="none"/>
              </w:rPr>
              <w:t>自动给排水软件控制系统</w:t>
            </w:r>
          </w:p>
        </w:tc>
        <w:tc>
          <w:tcPr>
            <w:tcW w:w="3079" w:type="pct"/>
            <w:vAlign w:val="center"/>
          </w:tcPr>
          <w:p w14:paraId="04EEE0A2">
            <w:pPr>
              <w:rPr>
                <w:rFonts w:hint="eastAsia" w:ascii="宋体" w:hAnsi="宋体" w:cs="宋体"/>
                <w:color w:val="auto"/>
                <w:highlight w:val="none"/>
              </w:rPr>
            </w:pPr>
            <w:r>
              <w:rPr>
                <w:rFonts w:hint="eastAsia" w:ascii="宋体" w:hAnsi="宋体" w:cs="宋体"/>
                <w:color w:val="auto"/>
                <w:highlight w:val="none"/>
              </w:rPr>
              <w:t>自动排水模块1组、水模拟量控制器1组、电源控制器1套、自动保护系统1组。</w:t>
            </w:r>
          </w:p>
          <w:p w14:paraId="5B2C4A84">
            <w:pPr>
              <w:rPr>
                <w:color w:val="auto"/>
                <w:highlight w:val="none"/>
              </w:rPr>
            </w:pPr>
            <w:r>
              <w:rPr>
                <w:rFonts w:hint="eastAsia" w:ascii="宋体" w:hAnsi="宋体" w:cs="宋体"/>
                <w:color w:val="auto"/>
                <w:highlight w:val="none"/>
              </w:rPr>
              <w:t>所有排水由智能化控制系统集中控制，三联高低位龙头处设置排水接口，接口与学生水槽柜采用优质硅胶软管（具有防酸、防碱、耐腐蚀功能）连接，接口均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p>
        </w:tc>
        <w:tc>
          <w:tcPr>
            <w:tcW w:w="384" w:type="pct"/>
            <w:vAlign w:val="center"/>
          </w:tcPr>
          <w:p w14:paraId="4D33957A">
            <w:pPr>
              <w:jc w:val="center"/>
              <w:rPr>
                <w:color w:val="auto"/>
                <w:highlight w:val="none"/>
              </w:rPr>
            </w:pPr>
            <w:r>
              <w:rPr>
                <w:rFonts w:hint="eastAsia" w:ascii="宋体" w:hAnsi="宋体" w:cs="宋体"/>
                <w:color w:val="auto"/>
                <w:highlight w:val="none"/>
              </w:rPr>
              <w:t>套</w:t>
            </w:r>
          </w:p>
        </w:tc>
        <w:tc>
          <w:tcPr>
            <w:tcW w:w="385" w:type="pct"/>
            <w:vAlign w:val="center"/>
          </w:tcPr>
          <w:p w14:paraId="4EFA35E5">
            <w:pPr>
              <w:jc w:val="center"/>
              <w:textAlignment w:val="center"/>
              <w:rPr>
                <w:color w:val="auto"/>
                <w:highlight w:val="none"/>
              </w:rPr>
            </w:pPr>
            <w:r>
              <w:rPr>
                <w:rFonts w:hint="eastAsia" w:ascii="宋体" w:hAnsi="宋体" w:cs="宋体"/>
                <w:color w:val="auto"/>
                <w:kern w:val="0"/>
                <w:szCs w:val="21"/>
                <w:highlight w:val="none"/>
                <w:lang w:bidi="ar"/>
              </w:rPr>
              <w:t>28</w:t>
            </w:r>
          </w:p>
        </w:tc>
      </w:tr>
      <w:tr w14:paraId="4EDAC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45D0566B">
            <w:pPr>
              <w:jc w:val="center"/>
              <w:rPr>
                <w:color w:val="auto"/>
                <w:highlight w:val="none"/>
              </w:rPr>
            </w:pPr>
            <w:r>
              <w:rPr>
                <w:rFonts w:hint="eastAsia" w:ascii="宋体" w:hAnsi="宋体" w:cs="宋体"/>
                <w:color w:val="auto"/>
                <w:highlight w:val="none"/>
              </w:rPr>
              <w:t>15</w:t>
            </w:r>
          </w:p>
        </w:tc>
        <w:tc>
          <w:tcPr>
            <w:tcW w:w="782" w:type="pct"/>
            <w:vAlign w:val="center"/>
          </w:tcPr>
          <w:p w14:paraId="64901F82">
            <w:pPr>
              <w:jc w:val="center"/>
              <w:rPr>
                <w:color w:val="auto"/>
                <w:highlight w:val="none"/>
              </w:rPr>
            </w:pPr>
            <w:r>
              <w:rPr>
                <w:rFonts w:hint="eastAsia" w:ascii="宋体" w:hAnsi="宋体" w:cs="宋体"/>
                <w:color w:val="auto"/>
                <w:highlight w:val="none"/>
              </w:rPr>
              <w:t>自动给排水接口</w:t>
            </w:r>
          </w:p>
        </w:tc>
        <w:tc>
          <w:tcPr>
            <w:tcW w:w="3079" w:type="pct"/>
            <w:vAlign w:val="center"/>
          </w:tcPr>
          <w:p w14:paraId="0815B9DD">
            <w:pPr>
              <w:rPr>
                <w:color w:val="auto"/>
                <w:highlight w:val="none"/>
              </w:rPr>
            </w:pPr>
            <w:r>
              <w:rPr>
                <w:rFonts w:hint="eastAsia" w:ascii="宋体" w:hAnsi="宋体" w:cs="宋体"/>
                <w:color w:val="auto"/>
                <w:highlight w:val="none"/>
              </w:rPr>
              <w:t>接收智能化控制系统控制，功能面板采用钢制面板，每组功能板上预留不锈钢快速给排水接口1对。并配置配套给排水软管2根。快速给水接口厚≥3mm，304不锈钢材质，带自动止水功能，快速排水接口采用PP材质专用接口。</w:t>
            </w:r>
          </w:p>
        </w:tc>
        <w:tc>
          <w:tcPr>
            <w:tcW w:w="384" w:type="pct"/>
            <w:vAlign w:val="center"/>
          </w:tcPr>
          <w:p w14:paraId="4487FB86">
            <w:pPr>
              <w:jc w:val="center"/>
              <w:rPr>
                <w:color w:val="auto"/>
                <w:highlight w:val="none"/>
              </w:rPr>
            </w:pPr>
            <w:r>
              <w:rPr>
                <w:rFonts w:hint="eastAsia" w:ascii="宋体" w:hAnsi="宋体" w:cs="宋体"/>
                <w:color w:val="auto"/>
                <w:highlight w:val="none"/>
              </w:rPr>
              <w:t>套</w:t>
            </w:r>
          </w:p>
        </w:tc>
        <w:tc>
          <w:tcPr>
            <w:tcW w:w="385" w:type="pct"/>
            <w:vAlign w:val="center"/>
          </w:tcPr>
          <w:p w14:paraId="2FC90BE9">
            <w:pPr>
              <w:jc w:val="center"/>
              <w:textAlignment w:val="center"/>
              <w:rPr>
                <w:color w:val="auto"/>
                <w:highlight w:val="none"/>
              </w:rPr>
            </w:pPr>
            <w:r>
              <w:rPr>
                <w:rFonts w:hint="eastAsia" w:ascii="宋体" w:hAnsi="宋体" w:cs="宋体"/>
                <w:color w:val="auto"/>
                <w:kern w:val="0"/>
                <w:szCs w:val="21"/>
                <w:highlight w:val="none"/>
                <w:lang w:bidi="ar"/>
              </w:rPr>
              <w:t>28</w:t>
            </w:r>
          </w:p>
        </w:tc>
      </w:tr>
      <w:tr w14:paraId="7DA7E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3A1FB6FF">
            <w:pPr>
              <w:jc w:val="center"/>
              <w:rPr>
                <w:color w:val="auto"/>
                <w:highlight w:val="none"/>
              </w:rPr>
            </w:pPr>
            <w:r>
              <w:rPr>
                <w:rFonts w:hint="eastAsia" w:ascii="宋体" w:hAnsi="宋体" w:cs="宋体"/>
                <w:color w:val="auto"/>
                <w:highlight w:val="none"/>
              </w:rPr>
              <w:t>16</w:t>
            </w:r>
          </w:p>
        </w:tc>
        <w:tc>
          <w:tcPr>
            <w:tcW w:w="782" w:type="pct"/>
            <w:vAlign w:val="center"/>
          </w:tcPr>
          <w:p w14:paraId="6DBC178C">
            <w:pPr>
              <w:jc w:val="center"/>
              <w:rPr>
                <w:color w:val="auto"/>
                <w:highlight w:val="none"/>
              </w:rPr>
            </w:pPr>
            <w:r>
              <w:rPr>
                <w:rFonts w:hint="eastAsia" w:ascii="宋体" w:hAnsi="宋体" w:cs="宋体"/>
                <w:color w:val="auto"/>
                <w:highlight w:val="none"/>
              </w:rPr>
              <w:t>给水布管</w:t>
            </w:r>
          </w:p>
        </w:tc>
        <w:tc>
          <w:tcPr>
            <w:tcW w:w="3079" w:type="pct"/>
            <w:vAlign w:val="center"/>
          </w:tcPr>
          <w:p w14:paraId="63E03790">
            <w:pPr>
              <w:rPr>
                <w:color w:val="auto"/>
                <w:highlight w:val="none"/>
              </w:rPr>
            </w:pPr>
            <w:r>
              <w:rPr>
                <w:rFonts w:hint="eastAsia" w:ascii="宋体" w:hAnsi="宋体" w:cs="宋体"/>
                <w:color w:val="auto"/>
                <w:highlight w:val="none"/>
              </w:rPr>
              <w:t>给水主管选用φ20-32mmPP-R给水管，模块化设计，每组模块间采用活接式连接，方便安装、检修。</w:t>
            </w:r>
          </w:p>
        </w:tc>
        <w:tc>
          <w:tcPr>
            <w:tcW w:w="384" w:type="pct"/>
            <w:vAlign w:val="center"/>
          </w:tcPr>
          <w:p w14:paraId="2BC08A1F">
            <w:pPr>
              <w:jc w:val="center"/>
              <w:rPr>
                <w:color w:val="auto"/>
                <w:highlight w:val="none"/>
              </w:rPr>
            </w:pPr>
            <w:r>
              <w:rPr>
                <w:rFonts w:hint="eastAsia" w:ascii="宋体" w:hAnsi="宋体" w:cs="宋体"/>
                <w:color w:val="auto"/>
                <w:highlight w:val="none"/>
              </w:rPr>
              <w:t>项</w:t>
            </w:r>
          </w:p>
        </w:tc>
        <w:tc>
          <w:tcPr>
            <w:tcW w:w="385" w:type="pct"/>
            <w:vAlign w:val="center"/>
          </w:tcPr>
          <w:p w14:paraId="147F95F0">
            <w:pPr>
              <w:jc w:val="center"/>
              <w:textAlignment w:val="center"/>
              <w:rPr>
                <w:color w:val="auto"/>
                <w:highlight w:val="none"/>
              </w:rPr>
            </w:pPr>
            <w:r>
              <w:rPr>
                <w:rFonts w:hint="eastAsia" w:ascii="宋体" w:hAnsi="宋体" w:cs="宋体"/>
                <w:color w:val="auto"/>
                <w:kern w:val="0"/>
                <w:szCs w:val="21"/>
                <w:highlight w:val="none"/>
                <w:lang w:bidi="ar"/>
              </w:rPr>
              <w:t>2</w:t>
            </w:r>
          </w:p>
        </w:tc>
      </w:tr>
      <w:tr w14:paraId="7202A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2D649A95">
            <w:pPr>
              <w:jc w:val="center"/>
              <w:rPr>
                <w:color w:val="auto"/>
                <w:highlight w:val="none"/>
              </w:rPr>
            </w:pPr>
            <w:r>
              <w:rPr>
                <w:rFonts w:hint="eastAsia" w:ascii="宋体" w:hAnsi="宋体" w:cs="宋体"/>
                <w:color w:val="auto"/>
                <w:highlight w:val="none"/>
              </w:rPr>
              <w:t>17</w:t>
            </w:r>
          </w:p>
        </w:tc>
        <w:tc>
          <w:tcPr>
            <w:tcW w:w="782" w:type="pct"/>
            <w:vAlign w:val="center"/>
          </w:tcPr>
          <w:p w14:paraId="078B02E6">
            <w:pPr>
              <w:jc w:val="center"/>
              <w:rPr>
                <w:color w:val="auto"/>
                <w:highlight w:val="none"/>
              </w:rPr>
            </w:pPr>
            <w:r>
              <w:rPr>
                <w:rFonts w:hint="eastAsia" w:ascii="宋体" w:hAnsi="宋体" w:cs="宋体"/>
                <w:color w:val="auto"/>
                <w:highlight w:val="none"/>
              </w:rPr>
              <w:t>排水布管</w:t>
            </w:r>
          </w:p>
        </w:tc>
        <w:tc>
          <w:tcPr>
            <w:tcW w:w="3079" w:type="pct"/>
            <w:vAlign w:val="center"/>
          </w:tcPr>
          <w:p w14:paraId="7AFAF0F1">
            <w:pPr>
              <w:rPr>
                <w:color w:val="auto"/>
                <w:highlight w:val="none"/>
              </w:rPr>
            </w:pPr>
            <w:r>
              <w:rPr>
                <w:rFonts w:hint="eastAsia" w:ascii="宋体" w:hAnsi="宋体" w:cs="宋体"/>
                <w:color w:val="auto"/>
                <w:highlight w:val="none"/>
              </w:rPr>
              <w:t>排水管选用加厚φ50-75mmPVC-U国标管（具有防酸、防碱、耐腐蚀功能），模块化设计，每组模块间采用活接式连接，方便安装、检修。</w:t>
            </w:r>
          </w:p>
        </w:tc>
        <w:tc>
          <w:tcPr>
            <w:tcW w:w="384" w:type="pct"/>
            <w:vAlign w:val="center"/>
          </w:tcPr>
          <w:p w14:paraId="07FA4105">
            <w:pPr>
              <w:jc w:val="center"/>
              <w:rPr>
                <w:color w:val="auto"/>
                <w:highlight w:val="none"/>
              </w:rPr>
            </w:pPr>
            <w:r>
              <w:rPr>
                <w:rFonts w:hint="eastAsia" w:ascii="宋体" w:hAnsi="宋体" w:cs="宋体"/>
                <w:color w:val="auto"/>
                <w:highlight w:val="none"/>
              </w:rPr>
              <w:t>项</w:t>
            </w:r>
          </w:p>
        </w:tc>
        <w:tc>
          <w:tcPr>
            <w:tcW w:w="385" w:type="pct"/>
            <w:vAlign w:val="center"/>
          </w:tcPr>
          <w:p w14:paraId="269D0CD9">
            <w:pPr>
              <w:jc w:val="center"/>
              <w:textAlignment w:val="center"/>
              <w:rPr>
                <w:color w:val="auto"/>
                <w:highlight w:val="none"/>
              </w:rPr>
            </w:pPr>
            <w:r>
              <w:rPr>
                <w:rFonts w:hint="eastAsia" w:ascii="宋体" w:hAnsi="宋体" w:cs="宋体"/>
                <w:color w:val="auto"/>
                <w:kern w:val="0"/>
                <w:szCs w:val="21"/>
                <w:highlight w:val="none"/>
                <w:lang w:bidi="ar"/>
              </w:rPr>
              <w:t>2</w:t>
            </w:r>
          </w:p>
        </w:tc>
      </w:tr>
      <w:tr w14:paraId="0A11D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6A7BAFCA">
            <w:pPr>
              <w:jc w:val="center"/>
              <w:rPr>
                <w:color w:val="auto"/>
                <w:highlight w:val="none"/>
              </w:rPr>
            </w:pPr>
            <w:r>
              <w:rPr>
                <w:rFonts w:hint="eastAsia" w:ascii="宋体" w:hAnsi="宋体" w:cs="宋体"/>
                <w:color w:val="auto"/>
                <w:highlight w:val="none"/>
              </w:rPr>
              <w:t>18</w:t>
            </w:r>
          </w:p>
        </w:tc>
        <w:tc>
          <w:tcPr>
            <w:tcW w:w="782" w:type="pct"/>
            <w:vAlign w:val="center"/>
          </w:tcPr>
          <w:p w14:paraId="2613BBD1">
            <w:pPr>
              <w:jc w:val="center"/>
              <w:rPr>
                <w:color w:val="auto"/>
                <w:highlight w:val="none"/>
              </w:rPr>
            </w:pPr>
            <w:r>
              <w:rPr>
                <w:rFonts w:hint="eastAsia" w:ascii="宋体" w:hAnsi="宋体" w:cs="宋体"/>
                <w:color w:val="auto"/>
                <w:highlight w:val="none"/>
              </w:rPr>
              <w:t>吊装系统集成服务</w:t>
            </w:r>
          </w:p>
        </w:tc>
        <w:tc>
          <w:tcPr>
            <w:tcW w:w="3079" w:type="pct"/>
            <w:vAlign w:val="center"/>
          </w:tcPr>
          <w:p w14:paraId="5E18F5D3">
            <w:pPr>
              <w:rPr>
                <w:rFonts w:hint="eastAsia" w:ascii="宋体" w:hAnsi="宋体" w:cs="宋体"/>
                <w:color w:val="auto"/>
                <w:highlight w:val="none"/>
              </w:rPr>
            </w:pPr>
            <w:r>
              <w:rPr>
                <w:rFonts w:hint="eastAsia" w:ascii="宋体" w:hAnsi="宋体" w:cs="宋体"/>
                <w:color w:val="auto"/>
                <w:highlight w:val="none"/>
              </w:rPr>
              <w:t>1.吊顶式安装系统采用模块化结构设计，采用吊装安装方式，包括但不限于教室电路、灯具照明、顶面、墙面氛围处理。</w:t>
            </w:r>
          </w:p>
          <w:p w14:paraId="7E9B82A1">
            <w:pPr>
              <w:rPr>
                <w:rFonts w:hint="eastAsia" w:ascii="宋体" w:hAnsi="宋体" w:cs="宋体"/>
                <w:color w:val="auto"/>
                <w:highlight w:val="none"/>
              </w:rPr>
            </w:pPr>
            <w:r>
              <w:rPr>
                <w:rFonts w:hint="eastAsia" w:ascii="宋体" w:hAnsi="宋体" w:cs="宋体"/>
                <w:color w:val="auto"/>
                <w:highlight w:val="none"/>
              </w:rPr>
              <w:t>2.系统结构安装调试。</w:t>
            </w:r>
          </w:p>
          <w:p w14:paraId="2EEF58AB">
            <w:pPr>
              <w:rPr>
                <w:rFonts w:hint="eastAsia" w:ascii="宋体" w:hAnsi="宋体" w:cs="宋体"/>
                <w:color w:val="auto"/>
                <w:highlight w:val="none"/>
              </w:rPr>
            </w:pPr>
            <w:r>
              <w:rPr>
                <w:rFonts w:hint="eastAsia" w:ascii="宋体" w:hAnsi="宋体" w:cs="宋体"/>
                <w:color w:val="auto"/>
                <w:highlight w:val="none"/>
              </w:rPr>
              <w:t>3.系统控制安装调试。</w:t>
            </w:r>
          </w:p>
          <w:p w14:paraId="2F296D77">
            <w:pPr>
              <w:rPr>
                <w:rFonts w:hint="eastAsia" w:ascii="宋体" w:hAnsi="宋体" w:cs="宋体"/>
                <w:color w:val="auto"/>
                <w:highlight w:val="none"/>
              </w:rPr>
            </w:pPr>
            <w:r>
              <w:rPr>
                <w:rFonts w:hint="eastAsia" w:ascii="宋体" w:hAnsi="宋体" w:cs="宋体"/>
                <w:color w:val="auto"/>
                <w:highlight w:val="none"/>
              </w:rPr>
              <w:t>4.供电系统安装调试。</w:t>
            </w:r>
          </w:p>
          <w:p w14:paraId="635943CC">
            <w:pPr>
              <w:rPr>
                <w:color w:val="auto"/>
                <w:highlight w:val="none"/>
              </w:rPr>
            </w:pPr>
            <w:r>
              <w:rPr>
                <w:rFonts w:hint="eastAsia" w:ascii="宋体" w:hAnsi="宋体" w:cs="宋体"/>
                <w:color w:val="auto"/>
                <w:highlight w:val="none"/>
              </w:rPr>
              <w:t>5.照明系统安装调试。</w:t>
            </w:r>
          </w:p>
        </w:tc>
        <w:tc>
          <w:tcPr>
            <w:tcW w:w="384" w:type="pct"/>
            <w:vAlign w:val="center"/>
          </w:tcPr>
          <w:p w14:paraId="728AD394">
            <w:pPr>
              <w:jc w:val="center"/>
              <w:rPr>
                <w:color w:val="auto"/>
                <w:highlight w:val="none"/>
              </w:rPr>
            </w:pPr>
            <w:r>
              <w:rPr>
                <w:rFonts w:hint="eastAsia" w:ascii="宋体" w:hAnsi="宋体" w:cs="宋体"/>
                <w:color w:val="auto"/>
                <w:highlight w:val="none"/>
              </w:rPr>
              <w:t>项</w:t>
            </w:r>
          </w:p>
        </w:tc>
        <w:tc>
          <w:tcPr>
            <w:tcW w:w="385" w:type="pct"/>
            <w:vAlign w:val="center"/>
          </w:tcPr>
          <w:p w14:paraId="52E3D93D">
            <w:pPr>
              <w:jc w:val="center"/>
              <w:textAlignment w:val="center"/>
              <w:rPr>
                <w:color w:val="auto"/>
                <w:highlight w:val="none"/>
              </w:rPr>
            </w:pPr>
            <w:r>
              <w:rPr>
                <w:rFonts w:hint="eastAsia" w:ascii="宋体" w:hAnsi="宋体" w:cs="宋体"/>
                <w:color w:val="auto"/>
                <w:kern w:val="0"/>
                <w:szCs w:val="21"/>
                <w:highlight w:val="none"/>
                <w:lang w:bidi="ar"/>
              </w:rPr>
              <w:t>2</w:t>
            </w:r>
          </w:p>
        </w:tc>
      </w:tr>
      <w:tr w14:paraId="5FD6A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69A76F5C">
            <w:pPr>
              <w:jc w:val="center"/>
              <w:rPr>
                <w:color w:val="auto"/>
                <w:highlight w:val="none"/>
              </w:rPr>
            </w:pPr>
            <w:r>
              <w:rPr>
                <w:rFonts w:hint="eastAsia" w:ascii="宋体" w:hAnsi="宋体" w:cs="宋体"/>
                <w:color w:val="auto"/>
                <w:highlight w:val="none"/>
              </w:rPr>
              <w:t>19</w:t>
            </w:r>
          </w:p>
        </w:tc>
        <w:tc>
          <w:tcPr>
            <w:tcW w:w="782" w:type="pct"/>
            <w:vAlign w:val="center"/>
          </w:tcPr>
          <w:p w14:paraId="57680000">
            <w:pPr>
              <w:jc w:val="center"/>
              <w:rPr>
                <w:color w:val="auto"/>
                <w:highlight w:val="none"/>
              </w:rPr>
            </w:pPr>
            <w:r>
              <w:rPr>
                <w:rFonts w:hint="eastAsia" w:ascii="宋体" w:hAnsi="宋体" w:cs="宋体"/>
                <w:color w:val="auto"/>
                <w:highlight w:val="none"/>
              </w:rPr>
              <w:t>系统安装辅件</w:t>
            </w:r>
          </w:p>
        </w:tc>
        <w:tc>
          <w:tcPr>
            <w:tcW w:w="3079" w:type="pct"/>
            <w:vAlign w:val="center"/>
          </w:tcPr>
          <w:p w14:paraId="4BD4E933">
            <w:pPr>
              <w:rPr>
                <w:color w:val="auto"/>
                <w:highlight w:val="none"/>
              </w:rPr>
            </w:pPr>
            <w:r>
              <w:rPr>
                <w:rFonts w:hint="eastAsia" w:ascii="宋体" w:hAnsi="宋体" w:cs="宋体"/>
                <w:color w:val="auto"/>
                <w:highlight w:val="none"/>
              </w:rPr>
              <w:t>采用型材吊装方式，减少楼板承重，防止左右晃动，可进行上下、左右的平衡调节。主要辅件有：型材、龙骨架连接件、高度调节结构等。</w:t>
            </w:r>
          </w:p>
        </w:tc>
        <w:tc>
          <w:tcPr>
            <w:tcW w:w="384" w:type="pct"/>
            <w:vAlign w:val="center"/>
          </w:tcPr>
          <w:p w14:paraId="42032444">
            <w:pPr>
              <w:jc w:val="center"/>
              <w:rPr>
                <w:color w:val="auto"/>
                <w:highlight w:val="none"/>
              </w:rPr>
            </w:pPr>
            <w:r>
              <w:rPr>
                <w:rFonts w:hint="eastAsia" w:ascii="宋体" w:hAnsi="宋体" w:cs="宋体"/>
                <w:color w:val="auto"/>
                <w:highlight w:val="none"/>
              </w:rPr>
              <w:t>项</w:t>
            </w:r>
          </w:p>
        </w:tc>
        <w:tc>
          <w:tcPr>
            <w:tcW w:w="385" w:type="pct"/>
            <w:vAlign w:val="center"/>
          </w:tcPr>
          <w:p w14:paraId="0D931D46">
            <w:pPr>
              <w:jc w:val="center"/>
              <w:textAlignment w:val="center"/>
              <w:rPr>
                <w:color w:val="auto"/>
                <w:highlight w:val="none"/>
              </w:rPr>
            </w:pPr>
            <w:r>
              <w:rPr>
                <w:rFonts w:hint="eastAsia" w:ascii="宋体" w:hAnsi="宋体" w:cs="宋体"/>
                <w:color w:val="auto"/>
                <w:kern w:val="0"/>
                <w:szCs w:val="21"/>
                <w:highlight w:val="none"/>
                <w:lang w:bidi="ar"/>
              </w:rPr>
              <w:t>2</w:t>
            </w:r>
          </w:p>
        </w:tc>
      </w:tr>
      <w:tr w14:paraId="02691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5000" w:type="pct"/>
            <w:gridSpan w:val="5"/>
            <w:vAlign w:val="center"/>
          </w:tcPr>
          <w:p w14:paraId="49EC1EDE">
            <w:pPr>
              <w:jc w:val="center"/>
              <w:textAlignment w:val="center"/>
              <w:rPr>
                <w:rFonts w:hint="eastAsia" w:ascii="宋体" w:hAnsi="宋体" w:cs="宋体"/>
                <w:color w:val="auto"/>
                <w:highlight w:val="none"/>
              </w:rPr>
            </w:pPr>
            <w:r>
              <w:rPr>
                <w:rFonts w:hint="eastAsia" w:ascii="宋体" w:hAnsi="宋体" w:cs="宋体"/>
                <w:b/>
                <w:bCs/>
                <w:color w:val="auto"/>
                <w:highlight w:val="none"/>
              </w:rPr>
              <w:t>56座智能生物吊装系统*2套</w:t>
            </w:r>
          </w:p>
        </w:tc>
      </w:tr>
      <w:tr w14:paraId="67412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370" w:type="pct"/>
            <w:vAlign w:val="center"/>
          </w:tcPr>
          <w:p w14:paraId="14EBDDE9">
            <w:pPr>
              <w:jc w:val="center"/>
              <w:rPr>
                <w:color w:val="auto"/>
                <w:highlight w:val="none"/>
              </w:rPr>
            </w:pPr>
            <w:r>
              <w:rPr>
                <w:rFonts w:hint="eastAsia" w:ascii="宋体" w:hAnsi="宋体" w:cs="宋体"/>
                <w:b/>
                <w:bCs/>
                <w:color w:val="auto"/>
                <w:highlight w:val="none"/>
              </w:rPr>
              <w:t>序号</w:t>
            </w:r>
          </w:p>
        </w:tc>
        <w:tc>
          <w:tcPr>
            <w:tcW w:w="782" w:type="pct"/>
            <w:vAlign w:val="center"/>
          </w:tcPr>
          <w:p w14:paraId="37ACDE48">
            <w:pPr>
              <w:jc w:val="center"/>
              <w:rPr>
                <w:color w:val="auto"/>
                <w:highlight w:val="none"/>
              </w:rPr>
            </w:pPr>
            <w:r>
              <w:rPr>
                <w:rFonts w:hint="eastAsia" w:ascii="宋体" w:hAnsi="宋体" w:cs="宋体"/>
                <w:b/>
                <w:bCs/>
                <w:color w:val="auto"/>
                <w:highlight w:val="none"/>
              </w:rPr>
              <w:t>名称</w:t>
            </w:r>
          </w:p>
        </w:tc>
        <w:tc>
          <w:tcPr>
            <w:tcW w:w="3079" w:type="pct"/>
            <w:vAlign w:val="center"/>
          </w:tcPr>
          <w:p w14:paraId="7DD84832">
            <w:pPr>
              <w:jc w:val="center"/>
              <w:rPr>
                <w:color w:val="auto"/>
                <w:highlight w:val="none"/>
              </w:rPr>
            </w:pPr>
            <w:r>
              <w:rPr>
                <w:rFonts w:hint="eastAsia" w:ascii="宋体" w:hAnsi="宋体" w:cs="宋体"/>
                <w:b/>
                <w:bCs/>
                <w:color w:val="auto"/>
                <w:highlight w:val="none"/>
              </w:rPr>
              <w:t>一般性能及技术参数要求</w:t>
            </w:r>
          </w:p>
        </w:tc>
        <w:tc>
          <w:tcPr>
            <w:tcW w:w="384" w:type="pct"/>
            <w:vAlign w:val="center"/>
          </w:tcPr>
          <w:p w14:paraId="6D569069">
            <w:pPr>
              <w:jc w:val="center"/>
              <w:rPr>
                <w:color w:val="auto"/>
                <w:highlight w:val="none"/>
              </w:rPr>
            </w:pPr>
            <w:r>
              <w:rPr>
                <w:rFonts w:hint="eastAsia" w:ascii="宋体" w:hAnsi="宋体" w:cs="宋体"/>
                <w:b/>
                <w:bCs/>
                <w:color w:val="auto"/>
                <w:highlight w:val="none"/>
              </w:rPr>
              <w:t>单位</w:t>
            </w:r>
          </w:p>
        </w:tc>
        <w:tc>
          <w:tcPr>
            <w:tcW w:w="385" w:type="pct"/>
            <w:vAlign w:val="center"/>
          </w:tcPr>
          <w:p w14:paraId="2CEEFBDD">
            <w:pPr>
              <w:jc w:val="center"/>
              <w:textAlignment w:val="center"/>
              <w:rPr>
                <w:color w:val="auto"/>
                <w:highlight w:val="none"/>
              </w:rPr>
            </w:pPr>
            <w:r>
              <w:rPr>
                <w:rFonts w:hint="eastAsia"/>
                <w:b/>
                <w:bCs/>
                <w:color w:val="auto"/>
                <w:highlight w:val="none"/>
              </w:rPr>
              <w:t>数量</w:t>
            </w:r>
          </w:p>
        </w:tc>
      </w:tr>
      <w:tr w14:paraId="3577C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370" w:type="pct"/>
            <w:vAlign w:val="center"/>
          </w:tcPr>
          <w:p w14:paraId="4889D3AD">
            <w:pPr>
              <w:jc w:val="center"/>
              <w:rPr>
                <w:rFonts w:hint="eastAsia" w:ascii="宋体" w:hAnsi="宋体" w:cs="宋体"/>
                <w:b/>
                <w:bCs/>
                <w:color w:val="auto"/>
                <w:highlight w:val="none"/>
              </w:rPr>
            </w:pPr>
          </w:p>
        </w:tc>
        <w:tc>
          <w:tcPr>
            <w:tcW w:w="782" w:type="pct"/>
            <w:vAlign w:val="center"/>
          </w:tcPr>
          <w:p w14:paraId="6A8A7E9E">
            <w:pPr>
              <w:jc w:val="center"/>
              <w:rPr>
                <w:rFonts w:hint="eastAsia" w:ascii="宋体" w:hAnsi="宋体" w:cs="宋体"/>
                <w:b/>
                <w:bCs/>
                <w:color w:val="auto"/>
                <w:highlight w:val="none"/>
              </w:rPr>
            </w:pPr>
          </w:p>
        </w:tc>
        <w:tc>
          <w:tcPr>
            <w:tcW w:w="3079" w:type="pct"/>
            <w:vAlign w:val="center"/>
          </w:tcPr>
          <w:p w14:paraId="5E286D61">
            <w:pPr>
              <w:jc w:val="center"/>
              <w:rPr>
                <w:rFonts w:hint="eastAsia" w:ascii="宋体" w:hAnsi="宋体" w:cs="宋体"/>
                <w:b/>
                <w:bCs/>
                <w:color w:val="auto"/>
                <w:highlight w:val="none"/>
              </w:rPr>
            </w:pPr>
            <w:r>
              <w:rPr>
                <w:rFonts w:hint="eastAsia" w:ascii="宋体" w:hAnsi="宋体" w:cs="宋体"/>
                <w:b/>
                <w:bCs/>
                <w:color w:val="auto"/>
                <w:highlight w:val="none"/>
              </w:rPr>
              <w:t>集成主控制软件系统</w:t>
            </w:r>
          </w:p>
        </w:tc>
        <w:tc>
          <w:tcPr>
            <w:tcW w:w="384" w:type="pct"/>
            <w:vAlign w:val="center"/>
          </w:tcPr>
          <w:p w14:paraId="4FF9175A">
            <w:pPr>
              <w:jc w:val="center"/>
              <w:rPr>
                <w:rFonts w:hint="eastAsia" w:ascii="宋体" w:hAnsi="宋体" w:cs="宋体"/>
                <w:b/>
                <w:bCs/>
                <w:color w:val="auto"/>
                <w:highlight w:val="none"/>
              </w:rPr>
            </w:pPr>
          </w:p>
        </w:tc>
        <w:tc>
          <w:tcPr>
            <w:tcW w:w="385" w:type="pct"/>
            <w:vAlign w:val="center"/>
          </w:tcPr>
          <w:p w14:paraId="2201ADDD">
            <w:pPr>
              <w:jc w:val="center"/>
              <w:textAlignment w:val="center"/>
              <w:rPr>
                <w:rFonts w:hint="eastAsia" w:ascii="宋体" w:hAnsi="宋体" w:cs="宋体"/>
                <w:b/>
                <w:bCs/>
                <w:color w:val="auto"/>
                <w:highlight w:val="none"/>
              </w:rPr>
            </w:pPr>
          </w:p>
        </w:tc>
      </w:tr>
      <w:tr w14:paraId="5DE9B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4FF7D1CC">
            <w:pPr>
              <w:jc w:val="center"/>
              <w:rPr>
                <w:color w:val="auto"/>
                <w:highlight w:val="none"/>
              </w:rPr>
            </w:pPr>
            <w:r>
              <w:rPr>
                <w:rFonts w:hint="eastAsia" w:ascii="宋体" w:hAnsi="宋体" w:cs="宋体"/>
                <w:color w:val="auto"/>
                <w:highlight w:val="none"/>
              </w:rPr>
              <w:t>1</w:t>
            </w:r>
          </w:p>
        </w:tc>
        <w:tc>
          <w:tcPr>
            <w:tcW w:w="782" w:type="pct"/>
            <w:vAlign w:val="center"/>
          </w:tcPr>
          <w:p w14:paraId="71386156">
            <w:pPr>
              <w:jc w:val="center"/>
              <w:rPr>
                <w:color w:val="auto"/>
                <w:highlight w:val="none"/>
              </w:rPr>
            </w:pPr>
            <w:r>
              <w:rPr>
                <w:rFonts w:hint="eastAsia" w:ascii="宋体" w:hAnsi="宋体" w:cs="宋体"/>
                <w:color w:val="auto"/>
                <w:highlight w:val="none"/>
              </w:rPr>
              <w:t>顶装智能系统总控柜</w:t>
            </w:r>
          </w:p>
        </w:tc>
        <w:tc>
          <w:tcPr>
            <w:tcW w:w="3079" w:type="pct"/>
            <w:vAlign w:val="center"/>
          </w:tcPr>
          <w:p w14:paraId="1AFB2578">
            <w:pPr>
              <w:rPr>
                <w:color w:val="auto"/>
                <w:highlight w:val="none"/>
              </w:rPr>
            </w:pPr>
            <w:r>
              <w:rPr>
                <w:rFonts w:hint="eastAsia" w:ascii="宋体" w:hAnsi="宋体" w:cs="宋体"/>
                <w:color w:val="auto"/>
                <w:highlight w:val="none"/>
              </w:rPr>
              <w:t>智能控制柜配置包括但不限于：总漏电保护器、每分路独立漏电保护器、总控制器1个、开关电源1个，≥10寸屏1个，启动开关1个，单片机控制器及功能扩展模块1套，单片机保护模块1个、急停控制系统1个，工作指示灯系统1套，分组控制系统5套。</w:t>
            </w:r>
          </w:p>
        </w:tc>
        <w:tc>
          <w:tcPr>
            <w:tcW w:w="384" w:type="pct"/>
            <w:vAlign w:val="center"/>
          </w:tcPr>
          <w:p w14:paraId="2FD91E92">
            <w:pPr>
              <w:jc w:val="center"/>
              <w:rPr>
                <w:color w:val="auto"/>
                <w:highlight w:val="none"/>
              </w:rPr>
            </w:pPr>
            <w:r>
              <w:rPr>
                <w:rFonts w:hint="eastAsia" w:ascii="宋体" w:hAnsi="宋体" w:cs="宋体"/>
                <w:color w:val="auto"/>
                <w:highlight w:val="none"/>
              </w:rPr>
              <w:t>台</w:t>
            </w:r>
          </w:p>
        </w:tc>
        <w:tc>
          <w:tcPr>
            <w:tcW w:w="385" w:type="pct"/>
            <w:vAlign w:val="center"/>
          </w:tcPr>
          <w:p w14:paraId="3776A6CC">
            <w:pPr>
              <w:jc w:val="center"/>
              <w:textAlignment w:val="center"/>
              <w:rPr>
                <w:color w:val="auto"/>
                <w:highlight w:val="none"/>
              </w:rPr>
            </w:pPr>
            <w:r>
              <w:rPr>
                <w:rFonts w:hint="eastAsia" w:ascii="宋体" w:hAnsi="宋体" w:cs="宋体"/>
                <w:color w:val="auto"/>
                <w:kern w:val="0"/>
                <w:szCs w:val="21"/>
                <w:highlight w:val="none"/>
                <w:lang w:bidi="ar"/>
              </w:rPr>
              <w:t>2</w:t>
            </w:r>
          </w:p>
        </w:tc>
      </w:tr>
      <w:tr w14:paraId="1D58E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6B58A7E5">
            <w:pPr>
              <w:jc w:val="center"/>
              <w:rPr>
                <w:color w:val="auto"/>
                <w:highlight w:val="none"/>
              </w:rPr>
            </w:pPr>
            <w:r>
              <w:rPr>
                <w:rFonts w:hint="eastAsia" w:ascii="宋体" w:hAnsi="宋体" w:cs="宋体"/>
                <w:color w:val="auto"/>
                <w:highlight w:val="none"/>
              </w:rPr>
              <w:t>2</w:t>
            </w:r>
          </w:p>
        </w:tc>
        <w:tc>
          <w:tcPr>
            <w:tcW w:w="782" w:type="pct"/>
            <w:vAlign w:val="center"/>
          </w:tcPr>
          <w:p w14:paraId="432DE803">
            <w:pPr>
              <w:jc w:val="center"/>
              <w:rPr>
                <w:color w:val="auto"/>
                <w:highlight w:val="none"/>
              </w:rPr>
            </w:pPr>
            <w:r>
              <w:rPr>
                <w:rFonts w:hint="eastAsia" w:ascii="宋体" w:hAnsi="宋体" w:cs="宋体"/>
                <w:color w:val="auto"/>
                <w:highlight w:val="none"/>
              </w:rPr>
              <w:t>智能防漏电安全电源</w:t>
            </w:r>
          </w:p>
        </w:tc>
        <w:tc>
          <w:tcPr>
            <w:tcW w:w="3079" w:type="pct"/>
            <w:vAlign w:val="center"/>
          </w:tcPr>
          <w:p w14:paraId="532AA39D">
            <w:pPr>
              <w:rPr>
                <w:rFonts w:hint="eastAsia" w:ascii="宋体" w:hAnsi="宋体" w:cs="宋体"/>
                <w:color w:val="auto"/>
                <w:highlight w:val="none"/>
              </w:rPr>
            </w:pPr>
            <w:r>
              <w:rPr>
                <w:rFonts w:hint="eastAsia" w:ascii="宋体" w:hAnsi="宋体" w:cs="宋体"/>
                <w:color w:val="auto"/>
                <w:highlight w:val="none"/>
              </w:rPr>
              <w:t>1.接触电流和保护导体电流：设备的设计和结构能保证接触电流或保护导体电流均不可能产生电击危险。</w:t>
            </w:r>
          </w:p>
          <w:p w14:paraId="25D3A6C9">
            <w:pPr>
              <w:rPr>
                <w:rFonts w:hint="eastAsia" w:ascii="宋体" w:hAnsi="宋体" w:cs="宋体"/>
                <w:color w:val="auto"/>
                <w:highlight w:val="none"/>
              </w:rPr>
            </w:pPr>
            <w:r>
              <w:rPr>
                <w:rFonts w:hint="eastAsia" w:ascii="宋体" w:hAnsi="宋体" w:cs="宋体"/>
                <w:color w:val="auto"/>
                <w:highlight w:val="none"/>
              </w:rPr>
              <w:t>2.要求设备试验电压≥250V。</w:t>
            </w:r>
          </w:p>
          <w:p w14:paraId="43B24450">
            <w:pPr>
              <w:rPr>
                <w:rFonts w:hint="eastAsia" w:ascii="宋体" w:hAnsi="宋体" w:cs="宋体"/>
                <w:color w:val="auto"/>
                <w:highlight w:val="none"/>
              </w:rPr>
            </w:pPr>
            <w:r>
              <w:rPr>
                <w:rFonts w:hint="eastAsia" w:ascii="宋体" w:hAnsi="宋体" w:cs="宋体"/>
                <w:color w:val="auto"/>
                <w:highlight w:val="none"/>
              </w:rPr>
              <w:t>3.要求设备相对温度≥40℃,相对湿度≥90%。</w:t>
            </w:r>
          </w:p>
          <w:p w14:paraId="28F37BFE">
            <w:pPr>
              <w:rPr>
                <w:rFonts w:hint="eastAsia" w:ascii="宋体" w:hAnsi="宋体" w:cs="宋体"/>
                <w:color w:val="auto"/>
                <w:highlight w:val="none"/>
              </w:rPr>
            </w:pPr>
            <w:r>
              <w:rPr>
                <w:rFonts w:hint="eastAsia" w:ascii="宋体" w:hAnsi="宋体" w:cs="宋体"/>
                <w:color w:val="auto"/>
                <w:highlight w:val="none"/>
              </w:rPr>
              <w:t>4.要求设备在220V±15%的电压范围内正常工作。</w:t>
            </w:r>
          </w:p>
          <w:p w14:paraId="1FE88B54">
            <w:pPr>
              <w:rPr>
                <w:rFonts w:hint="eastAsia" w:ascii="宋体" w:hAnsi="宋体" w:cs="宋体"/>
                <w:color w:val="auto"/>
                <w:highlight w:val="none"/>
              </w:rPr>
            </w:pPr>
            <w:r>
              <w:rPr>
                <w:rFonts w:hint="eastAsia" w:ascii="宋体" w:hAnsi="宋体" w:cs="宋体"/>
                <w:color w:val="auto"/>
                <w:highlight w:val="none"/>
              </w:rPr>
              <w:t>5.要求设备最大接触电流≤3.5mA。</w:t>
            </w:r>
          </w:p>
          <w:p w14:paraId="3735D701">
            <w:pPr>
              <w:rPr>
                <w:rFonts w:hint="eastAsia" w:ascii="宋体" w:hAnsi="宋体" w:cs="宋体"/>
                <w:color w:val="auto"/>
                <w:highlight w:val="none"/>
              </w:rPr>
            </w:pPr>
            <w:r>
              <w:rPr>
                <w:rFonts w:hint="eastAsia" w:ascii="宋体" w:hAnsi="宋体" w:cs="宋体"/>
                <w:color w:val="auto"/>
                <w:highlight w:val="none"/>
              </w:rPr>
              <w:t>6.设备输出频率精度应达到50/60土0.1Hz。</w:t>
            </w:r>
          </w:p>
          <w:p w14:paraId="278611C3">
            <w:pPr>
              <w:rPr>
                <w:color w:val="auto"/>
                <w:highlight w:val="none"/>
              </w:rPr>
            </w:pPr>
            <w:r>
              <w:rPr>
                <w:rFonts w:hint="eastAsia" w:ascii="宋体" w:hAnsi="宋体" w:cs="宋体"/>
                <w:color w:val="auto"/>
                <w:highlight w:val="none"/>
              </w:rPr>
              <w:t>7.设备输出波形失真率应≤3%THD(线性负载)。</w:t>
            </w:r>
          </w:p>
        </w:tc>
        <w:tc>
          <w:tcPr>
            <w:tcW w:w="384" w:type="pct"/>
            <w:vAlign w:val="center"/>
          </w:tcPr>
          <w:p w14:paraId="5D643BDB">
            <w:pPr>
              <w:jc w:val="center"/>
              <w:rPr>
                <w:color w:val="auto"/>
                <w:highlight w:val="none"/>
              </w:rPr>
            </w:pPr>
            <w:r>
              <w:rPr>
                <w:rFonts w:hint="eastAsia" w:ascii="宋体" w:hAnsi="宋体" w:cs="宋体"/>
                <w:color w:val="auto"/>
                <w:highlight w:val="none"/>
              </w:rPr>
              <w:t>台</w:t>
            </w:r>
          </w:p>
        </w:tc>
        <w:tc>
          <w:tcPr>
            <w:tcW w:w="385" w:type="pct"/>
            <w:vAlign w:val="center"/>
          </w:tcPr>
          <w:p w14:paraId="69592E7A">
            <w:pPr>
              <w:jc w:val="center"/>
              <w:textAlignment w:val="center"/>
              <w:rPr>
                <w:color w:val="auto"/>
                <w:highlight w:val="none"/>
              </w:rPr>
            </w:pPr>
            <w:r>
              <w:rPr>
                <w:rFonts w:hint="eastAsia" w:ascii="宋体" w:hAnsi="宋体" w:cs="宋体"/>
                <w:color w:val="auto"/>
                <w:kern w:val="0"/>
                <w:szCs w:val="21"/>
                <w:highlight w:val="none"/>
                <w:lang w:bidi="ar"/>
              </w:rPr>
              <w:t>2</w:t>
            </w:r>
          </w:p>
        </w:tc>
      </w:tr>
      <w:tr w14:paraId="45A6D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77186FA8">
            <w:pPr>
              <w:jc w:val="center"/>
              <w:rPr>
                <w:color w:val="auto"/>
                <w:highlight w:val="none"/>
              </w:rPr>
            </w:pPr>
            <w:r>
              <w:rPr>
                <w:rFonts w:hint="eastAsia" w:ascii="宋体" w:hAnsi="宋体" w:cs="宋体"/>
                <w:color w:val="auto"/>
                <w:highlight w:val="none"/>
              </w:rPr>
              <w:t>3</w:t>
            </w:r>
          </w:p>
        </w:tc>
        <w:tc>
          <w:tcPr>
            <w:tcW w:w="782" w:type="pct"/>
            <w:vAlign w:val="center"/>
          </w:tcPr>
          <w:p w14:paraId="7F8065EE">
            <w:pPr>
              <w:jc w:val="center"/>
              <w:rPr>
                <w:color w:val="auto"/>
                <w:highlight w:val="none"/>
              </w:rPr>
            </w:pPr>
            <w:r>
              <w:rPr>
                <w:rFonts w:hint="eastAsia" w:ascii="宋体" w:hAnsi="宋体" w:cs="宋体"/>
                <w:color w:val="auto"/>
                <w:highlight w:val="none"/>
              </w:rPr>
              <w:t>顶装智能软件控制平台</w:t>
            </w:r>
          </w:p>
        </w:tc>
        <w:tc>
          <w:tcPr>
            <w:tcW w:w="3079" w:type="pct"/>
            <w:vAlign w:val="center"/>
          </w:tcPr>
          <w:p w14:paraId="7BD35CDC">
            <w:pPr>
              <w:rPr>
                <w:rFonts w:hint="eastAsia" w:ascii="宋体" w:hAnsi="宋体" w:cs="宋体"/>
                <w:color w:val="auto"/>
                <w:highlight w:val="none"/>
              </w:rPr>
            </w:pPr>
            <w:r>
              <w:rPr>
                <w:rFonts w:hint="eastAsia" w:ascii="宋体" w:hAnsi="宋体" w:cs="宋体"/>
                <w:color w:val="auto"/>
                <w:highlight w:val="none"/>
              </w:rPr>
              <w:t>规格：≥10寸彩色液晶触摸屏，集成主控制系统，包括但不限于：供水控制、照明控制、电源控制、摇臂控制，可执行各分项分页控制。</w:t>
            </w:r>
          </w:p>
          <w:p w14:paraId="769E586F">
            <w:pPr>
              <w:rPr>
                <w:rFonts w:hint="eastAsia" w:ascii="宋体" w:hAnsi="宋体" w:cs="宋体"/>
                <w:color w:val="auto"/>
                <w:highlight w:val="none"/>
              </w:rPr>
            </w:pPr>
            <w:r>
              <w:rPr>
                <w:rFonts w:hint="eastAsia" w:ascii="宋体" w:hAnsi="宋体" w:cs="宋体"/>
                <w:color w:val="auto"/>
                <w:highlight w:val="none"/>
              </w:rPr>
              <w:t>1.供水控制：集中控制整室给排水；设置总给水开关，可以对学生端和老师端单独给水：实验废水可以单独控制老师端，学生端排水，也可以一键排空所有老师端，学生端水槽内废水。</w:t>
            </w:r>
          </w:p>
          <w:p w14:paraId="33B3858C">
            <w:pPr>
              <w:rPr>
                <w:rFonts w:hint="eastAsia" w:ascii="宋体" w:hAnsi="宋体" w:cs="宋体"/>
                <w:color w:val="auto"/>
                <w:highlight w:val="none"/>
              </w:rPr>
            </w:pPr>
            <w:r>
              <w:rPr>
                <w:rFonts w:hint="eastAsia" w:ascii="宋体" w:hAnsi="宋体" w:cs="宋体"/>
                <w:color w:val="auto"/>
                <w:highlight w:val="none"/>
              </w:rPr>
              <w:t>2.照明控制：分组控制整室照明；照明控制系统可以对照明进行控制，可以单独进行控制，进行单选、全选、反选，分组进行控制。</w:t>
            </w:r>
          </w:p>
          <w:p w14:paraId="09172301">
            <w:pPr>
              <w:rPr>
                <w:rFonts w:hint="eastAsia" w:ascii="宋体" w:hAnsi="宋体" w:cs="宋体"/>
                <w:color w:val="auto"/>
                <w:highlight w:val="none"/>
              </w:rPr>
            </w:pPr>
            <w:r>
              <w:rPr>
                <w:rFonts w:hint="eastAsia" w:ascii="宋体" w:hAnsi="宋体" w:cs="宋体"/>
                <w:color w:val="auto"/>
                <w:highlight w:val="none"/>
              </w:rPr>
              <w:t>3.电源控制：控制每点的电压，可以控制学生，老师端高压220V，低压交直流输出；可以单独进行控制，进行单选、全选、反选，分组进行控制；保障220V电源具有漏电、短路、过载保护，保证安全可靠。低压输出学生电源交直流电压，具有智能保护系统，短路过载具有自动复位功能。</w:t>
            </w:r>
          </w:p>
          <w:p w14:paraId="57A69A5B">
            <w:pPr>
              <w:rPr>
                <w:color w:val="auto"/>
                <w:highlight w:val="none"/>
              </w:rPr>
            </w:pPr>
            <w:r>
              <w:rPr>
                <w:rFonts w:hint="eastAsia" w:ascii="宋体" w:hAnsi="宋体" w:cs="宋体"/>
                <w:color w:val="auto"/>
                <w:highlight w:val="none"/>
              </w:rPr>
              <w:t>4.摇臂控制：升降控制单元，过载过流保护，上下限到位保护。对摇臂进行进行单选、全选、反选，分组进行控制升起，放下；控制系统带障碍物保护功能，具有防夹，防卡功能，当摇臂在运动的过程中遇到障碍物时会自动停止。</w:t>
            </w:r>
          </w:p>
        </w:tc>
        <w:tc>
          <w:tcPr>
            <w:tcW w:w="384" w:type="pct"/>
            <w:vAlign w:val="center"/>
          </w:tcPr>
          <w:p w14:paraId="2D7C695B">
            <w:pPr>
              <w:jc w:val="center"/>
              <w:rPr>
                <w:color w:val="auto"/>
                <w:highlight w:val="none"/>
              </w:rPr>
            </w:pPr>
            <w:r>
              <w:rPr>
                <w:rFonts w:hint="eastAsia" w:ascii="宋体" w:hAnsi="宋体" w:cs="宋体"/>
                <w:color w:val="auto"/>
                <w:highlight w:val="none"/>
              </w:rPr>
              <w:t>套</w:t>
            </w:r>
          </w:p>
        </w:tc>
        <w:tc>
          <w:tcPr>
            <w:tcW w:w="385" w:type="pct"/>
            <w:vAlign w:val="center"/>
          </w:tcPr>
          <w:p w14:paraId="18E288CD">
            <w:pPr>
              <w:jc w:val="center"/>
              <w:textAlignment w:val="center"/>
              <w:rPr>
                <w:color w:val="auto"/>
                <w:highlight w:val="none"/>
              </w:rPr>
            </w:pPr>
            <w:r>
              <w:rPr>
                <w:rFonts w:hint="eastAsia" w:ascii="宋体" w:hAnsi="宋体" w:cs="宋体"/>
                <w:color w:val="auto"/>
                <w:kern w:val="0"/>
                <w:szCs w:val="21"/>
                <w:highlight w:val="none"/>
                <w:lang w:bidi="ar"/>
              </w:rPr>
              <w:t>2</w:t>
            </w:r>
          </w:p>
        </w:tc>
      </w:tr>
      <w:tr w14:paraId="701CC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2BC1E717">
            <w:pPr>
              <w:jc w:val="center"/>
              <w:rPr>
                <w:color w:val="auto"/>
                <w:highlight w:val="none"/>
              </w:rPr>
            </w:pPr>
            <w:r>
              <w:rPr>
                <w:rFonts w:hint="eastAsia" w:ascii="宋体" w:hAnsi="宋体" w:cs="宋体"/>
                <w:color w:val="auto"/>
                <w:highlight w:val="none"/>
              </w:rPr>
              <w:t>4</w:t>
            </w:r>
          </w:p>
        </w:tc>
        <w:tc>
          <w:tcPr>
            <w:tcW w:w="782" w:type="pct"/>
            <w:vAlign w:val="center"/>
          </w:tcPr>
          <w:p w14:paraId="48CB212A">
            <w:pPr>
              <w:jc w:val="center"/>
              <w:rPr>
                <w:color w:val="auto"/>
                <w:highlight w:val="none"/>
              </w:rPr>
            </w:pPr>
            <w:r>
              <w:rPr>
                <w:rFonts w:hint="eastAsia" w:ascii="宋体" w:hAnsi="宋体" w:cs="宋体"/>
                <w:color w:val="auto"/>
                <w:highlight w:val="none"/>
              </w:rPr>
              <w:t>APP控制系统</w:t>
            </w:r>
          </w:p>
        </w:tc>
        <w:tc>
          <w:tcPr>
            <w:tcW w:w="3079" w:type="pct"/>
            <w:vAlign w:val="center"/>
          </w:tcPr>
          <w:p w14:paraId="33C430DC">
            <w:pPr>
              <w:rPr>
                <w:rFonts w:hint="eastAsia" w:ascii="宋体" w:hAnsi="宋体" w:cs="宋体"/>
                <w:color w:val="auto"/>
                <w:highlight w:val="none"/>
              </w:rPr>
            </w:pPr>
            <w:r>
              <w:rPr>
                <w:rFonts w:hint="eastAsia" w:ascii="宋体" w:hAnsi="宋体" w:cs="宋体"/>
                <w:color w:val="auto"/>
                <w:highlight w:val="none"/>
              </w:rPr>
              <w:t>1.初次以超级管理员身份登陆APP，提供密码修改，多用户注册，多用户进行管理功能。</w:t>
            </w:r>
          </w:p>
          <w:p w14:paraId="08933148">
            <w:pPr>
              <w:rPr>
                <w:rFonts w:hint="eastAsia" w:ascii="宋体" w:hAnsi="宋体" w:cs="宋体"/>
                <w:color w:val="auto"/>
                <w:highlight w:val="none"/>
              </w:rPr>
            </w:pPr>
            <w:r>
              <w:rPr>
                <w:rFonts w:hint="eastAsia" w:ascii="宋体" w:hAnsi="宋体" w:cs="宋体"/>
                <w:color w:val="auto"/>
                <w:highlight w:val="none"/>
              </w:rPr>
              <w:t>2.系统设置系统升级功能，系统时间修改，帮助等功能。</w:t>
            </w:r>
          </w:p>
          <w:p w14:paraId="11D643F7">
            <w:pPr>
              <w:rPr>
                <w:rFonts w:hint="eastAsia" w:ascii="宋体" w:hAnsi="宋体" w:cs="宋体"/>
                <w:color w:val="auto"/>
                <w:highlight w:val="none"/>
              </w:rPr>
            </w:pPr>
            <w:r>
              <w:rPr>
                <w:rFonts w:hint="eastAsia" w:ascii="宋体" w:hAnsi="宋体" w:cs="宋体"/>
                <w:color w:val="auto"/>
                <w:highlight w:val="none"/>
              </w:rPr>
              <w:t>3.设置状态显示界面，实时了解教室内每个设备工作状态，可以一目了然的了解当前实验室各个设备运行情况。当设备出错时可以方便了解故障原因，可以对故障进行复位功能。</w:t>
            </w:r>
          </w:p>
          <w:p w14:paraId="63FA2608">
            <w:pPr>
              <w:rPr>
                <w:rFonts w:hint="eastAsia" w:ascii="宋体" w:hAnsi="宋体" w:cs="宋体"/>
                <w:color w:val="auto"/>
                <w:highlight w:val="none"/>
              </w:rPr>
            </w:pPr>
            <w:r>
              <w:rPr>
                <w:rFonts w:hint="eastAsia" w:ascii="宋体" w:hAnsi="宋体" w:cs="宋体"/>
                <w:color w:val="auto"/>
                <w:highlight w:val="none"/>
              </w:rPr>
              <w:t>4.后台设置设备运行状态黑匣子功能，实时记录设备运行状态。故障时可以调取查看，方便管理。</w:t>
            </w:r>
          </w:p>
          <w:p w14:paraId="0E91EFCE">
            <w:pPr>
              <w:rPr>
                <w:color w:val="auto"/>
                <w:highlight w:val="none"/>
              </w:rPr>
            </w:pPr>
            <w:r>
              <w:rPr>
                <w:rFonts w:hint="eastAsia" w:ascii="宋体" w:hAnsi="宋体" w:cs="宋体"/>
                <w:color w:val="auto"/>
                <w:highlight w:val="none"/>
              </w:rPr>
              <w:t>5.分组控制电源控制系统、照明控制系统、给排水控制系统,摇臂控制系统,通风控制系统。</w:t>
            </w:r>
          </w:p>
        </w:tc>
        <w:tc>
          <w:tcPr>
            <w:tcW w:w="384" w:type="pct"/>
            <w:vAlign w:val="center"/>
          </w:tcPr>
          <w:p w14:paraId="0FA95EB9">
            <w:pPr>
              <w:jc w:val="center"/>
              <w:rPr>
                <w:color w:val="auto"/>
                <w:highlight w:val="none"/>
              </w:rPr>
            </w:pPr>
            <w:r>
              <w:rPr>
                <w:rFonts w:hint="eastAsia" w:ascii="宋体" w:hAnsi="宋体" w:cs="宋体"/>
                <w:color w:val="auto"/>
                <w:highlight w:val="none"/>
              </w:rPr>
              <w:t>套</w:t>
            </w:r>
          </w:p>
        </w:tc>
        <w:tc>
          <w:tcPr>
            <w:tcW w:w="385" w:type="pct"/>
            <w:vAlign w:val="center"/>
          </w:tcPr>
          <w:p w14:paraId="6FA38B1D">
            <w:pPr>
              <w:jc w:val="center"/>
              <w:textAlignment w:val="center"/>
              <w:rPr>
                <w:color w:val="auto"/>
                <w:highlight w:val="none"/>
              </w:rPr>
            </w:pPr>
            <w:r>
              <w:rPr>
                <w:rFonts w:hint="eastAsia" w:ascii="宋体" w:hAnsi="宋体" w:cs="宋体"/>
                <w:color w:val="auto"/>
                <w:kern w:val="0"/>
                <w:szCs w:val="21"/>
                <w:highlight w:val="none"/>
                <w:lang w:bidi="ar"/>
              </w:rPr>
              <w:t>2</w:t>
            </w:r>
          </w:p>
        </w:tc>
      </w:tr>
      <w:tr w14:paraId="0CF9F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1A572466">
            <w:pPr>
              <w:jc w:val="center"/>
              <w:rPr>
                <w:color w:val="auto"/>
                <w:highlight w:val="none"/>
              </w:rPr>
            </w:pPr>
            <w:r>
              <w:rPr>
                <w:rFonts w:hint="eastAsia" w:ascii="宋体" w:hAnsi="宋体" w:cs="宋体"/>
                <w:color w:val="auto"/>
                <w:highlight w:val="none"/>
              </w:rPr>
              <w:t>5</w:t>
            </w:r>
          </w:p>
        </w:tc>
        <w:tc>
          <w:tcPr>
            <w:tcW w:w="782" w:type="pct"/>
            <w:vAlign w:val="center"/>
          </w:tcPr>
          <w:p w14:paraId="1C1C0C7D">
            <w:pPr>
              <w:jc w:val="center"/>
              <w:rPr>
                <w:color w:val="auto"/>
                <w:highlight w:val="none"/>
              </w:rPr>
            </w:pPr>
            <w:r>
              <w:rPr>
                <w:rFonts w:hint="eastAsia" w:ascii="宋体" w:hAnsi="宋体" w:cs="宋体"/>
                <w:color w:val="auto"/>
                <w:highlight w:val="none"/>
              </w:rPr>
              <w:t>温湿度监视系统</w:t>
            </w:r>
          </w:p>
        </w:tc>
        <w:tc>
          <w:tcPr>
            <w:tcW w:w="3079" w:type="pct"/>
            <w:vAlign w:val="center"/>
          </w:tcPr>
          <w:p w14:paraId="7B17CA0F">
            <w:pPr>
              <w:rPr>
                <w:color w:val="auto"/>
                <w:highlight w:val="none"/>
              </w:rPr>
            </w:pPr>
            <w:r>
              <w:rPr>
                <w:rFonts w:hint="eastAsia" w:ascii="宋体" w:hAnsi="宋体" w:cs="宋体"/>
                <w:color w:val="auto"/>
                <w:highlight w:val="none"/>
              </w:rPr>
              <w:t>内置精密温湿度传感装置，在中控屏中实时显示当前环境的温度和湿度，实时了解房间内的温度和湿度，保障室内舒适的环境舒适性。</w:t>
            </w:r>
          </w:p>
        </w:tc>
        <w:tc>
          <w:tcPr>
            <w:tcW w:w="384" w:type="pct"/>
            <w:vAlign w:val="center"/>
          </w:tcPr>
          <w:p w14:paraId="5AAF998F">
            <w:pPr>
              <w:jc w:val="center"/>
              <w:rPr>
                <w:color w:val="auto"/>
                <w:highlight w:val="none"/>
              </w:rPr>
            </w:pPr>
            <w:r>
              <w:rPr>
                <w:rFonts w:hint="eastAsia" w:ascii="宋体" w:hAnsi="宋体" w:cs="宋体"/>
                <w:color w:val="auto"/>
                <w:highlight w:val="none"/>
              </w:rPr>
              <w:t>项</w:t>
            </w:r>
          </w:p>
        </w:tc>
        <w:tc>
          <w:tcPr>
            <w:tcW w:w="385" w:type="pct"/>
            <w:vAlign w:val="center"/>
          </w:tcPr>
          <w:p w14:paraId="1DA2E362">
            <w:pPr>
              <w:jc w:val="center"/>
              <w:textAlignment w:val="center"/>
              <w:rPr>
                <w:color w:val="auto"/>
                <w:highlight w:val="none"/>
              </w:rPr>
            </w:pPr>
            <w:r>
              <w:rPr>
                <w:rFonts w:hint="eastAsia" w:ascii="宋体" w:hAnsi="宋体" w:cs="宋体"/>
                <w:color w:val="auto"/>
                <w:kern w:val="0"/>
                <w:szCs w:val="21"/>
                <w:highlight w:val="none"/>
                <w:lang w:bidi="ar"/>
              </w:rPr>
              <w:t>2</w:t>
            </w:r>
          </w:p>
        </w:tc>
      </w:tr>
      <w:tr w14:paraId="16D21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370" w:type="pct"/>
            <w:vAlign w:val="center"/>
          </w:tcPr>
          <w:p w14:paraId="6C9F6FDA">
            <w:pPr>
              <w:jc w:val="center"/>
              <w:rPr>
                <w:rFonts w:hint="eastAsia" w:ascii="宋体" w:hAnsi="宋体" w:cs="宋体"/>
                <w:color w:val="auto"/>
                <w:highlight w:val="none"/>
              </w:rPr>
            </w:pPr>
          </w:p>
        </w:tc>
        <w:tc>
          <w:tcPr>
            <w:tcW w:w="782" w:type="pct"/>
            <w:vAlign w:val="center"/>
          </w:tcPr>
          <w:p w14:paraId="3B92ED64">
            <w:pPr>
              <w:jc w:val="center"/>
              <w:rPr>
                <w:rFonts w:hint="eastAsia" w:ascii="宋体" w:hAnsi="宋体" w:cs="宋体"/>
                <w:color w:val="auto"/>
                <w:highlight w:val="none"/>
              </w:rPr>
            </w:pPr>
          </w:p>
        </w:tc>
        <w:tc>
          <w:tcPr>
            <w:tcW w:w="3079" w:type="pct"/>
            <w:vAlign w:val="center"/>
          </w:tcPr>
          <w:p w14:paraId="0EA9DE16">
            <w:pPr>
              <w:jc w:val="center"/>
              <w:rPr>
                <w:rFonts w:hint="eastAsia" w:ascii="宋体" w:hAnsi="宋体" w:cs="宋体"/>
                <w:b/>
                <w:bCs/>
                <w:color w:val="auto"/>
                <w:highlight w:val="none"/>
              </w:rPr>
            </w:pPr>
            <w:r>
              <w:rPr>
                <w:rFonts w:hint="eastAsia" w:ascii="宋体" w:hAnsi="宋体" w:cs="宋体"/>
                <w:b/>
                <w:bCs/>
                <w:color w:val="auto"/>
                <w:highlight w:val="none"/>
              </w:rPr>
              <w:t>顶装综合系统</w:t>
            </w:r>
          </w:p>
        </w:tc>
        <w:tc>
          <w:tcPr>
            <w:tcW w:w="384" w:type="pct"/>
            <w:vAlign w:val="center"/>
          </w:tcPr>
          <w:p w14:paraId="25B9B3C8">
            <w:pPr>
              <w:jc w:val="center"/>
              <w:rPr>
                <w:rFonts w:hint="eastAsia" w:ascii="宋体" w:hAnsi="宋体" w:cs="宋体"/>
                <w:color w:val="auto"/>
                <w:highlight w:val="none"/>
              </w:rPr>
            </w:pPr>
          </w:p>
        </w:tc>
        <w:tc>
          <w:tcPr>
            <w:tcW w:w="385" w:type="pct"/>
            <w:vAlign w:val="center"/>
          </w:tcPr>
          <w:p w14:paraId="6032C590">
            <w:pPr>
              <w:jc w:val="center"/>
              <w:textAlignment w:val="center"/>
              <w:rPr>
                <w:rFonts w:hint="eastAsia" w:ascii="宋体" w:hAnsi="宋体" w:cs="宋体"/>
                <w:color w:val="auto"/>
                <w:highlight w:val="none"/>
              </w:rPr>
            </w:pPr>
          </w:p>
        </w:tc>
      </w:tr>
      <w:tr w14:paraId="54687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13EB0DAD">
            <w:pPr>
              <w:jc w:val="center"/>
              <w:rPr>
                <w:color w:val="auto"/>
                <w:highlight w:val="none"/>
              </w:rPr>
            </w:pPr>
            <w:r>
              <w:rPr>
                <w:rFonts w:hint="eastAsia" w:ascii="宋体" w:hAnsi="宋体" w:cs="宋体"/>
                <w:color w:val="auto"/>
                <w:highlight w:val="none"/>
              </w:rPr>
              <w:t>1</w:t>
            </w:r>
          </w:p>
        </w:tc>
        <w:tc>
          <w:tcPr>
            <w:tcW w:w="782" w:type="pct"/>
            <w:vAlign w:val="center"/>
          </w:tcPr>
          <w:p w14:paraId="3B785D25">
            <w:pPr>
              <w:jc w:val="center"/>
              <w:rPr>
                <w:color w:val="auto"/>
                <w:highlight w:val="none"/>
              </w:rPr>
            </w:pPr>
            <w:r>
              <w:rPr>
                <w:rFonts w:hint="eastAsia" w:ascii="宋体" w:hAnsi="宋体" w:cs="宋体"/>
                <w:color w:val="auto"/>
                <w:highlight w:val="none"/>
              </w:rPr>
              <w:t>顶装内主体结构</w:t>
            </w:r>
          </w:p>
        </w:tc>
        <w:tc>
          <w:tcPr>
            <w:tcW w:w="3079" w:type="pct"/>
            <w:vAlign w:val="center"/>
          </w:tcPr>
          <w:p w14:paraId="139A303B">
            <w:pPr>
              <w:rPr>
                <w:rFonts w:hint="eastAsia" w:ascii="宋体" w:hAnsi="宋体" w:cs="宋体"/>
                <w:color w:val="auto"/>
                <w:highlight w:val="none"/>
              </w:rPr>
            </w:pPr>
            <w:r>
              <w:rPr>
                <w:rFonts w:hint="eastAsia" w:ascii="宋体" w:hAnsi="宋体" w:cs="宋体"/>
                <w:color w:val="auto"/>
                <w:highlight w:val="none"/>
              </w:rPr>
              <w:t>1.承重骨架采用优质工业级高强度铝型材经CNC精加工成型，质量轻、强度高、耐腐蚀、结构稳定。</w:t>
            </w:r>
          </w:p>
          <w:p w14:paraId="1D390E78">
            <w:pPr>
              <w:rPr>
                <w:rFonts w:hint="eastAsia" w:ascii="宋体" w:hAnsi="宋体" w:cs="宋体"/>
                <w:color w:val="auto"/>
                <w:highlight w:val="none"/>
              </w:rPr>
            </w:pPr>
            <w:r>
              <w:rPr>
                <w:rFonts w:hint="eastAsia" w:ascii="宋体" w:hAnsi="宋体" w:cs="宋体"/>
                <w:color w:val="auto"/>
                <w:highlight w:val="none"/>
              </w:rPr>
              <w:t>2.动力底座采用厚度不低于15mm高强度铝铜合金板经CNC精加工成型，动力轴采用优质SUS304不锈钢棒材经CNC及数控车床加工成型。承重性能强和耐酸碱、耐腐蚀。</w:t>
            </w:r>
          </w:p>
          <w:p w14:paraId="30ECCC90">
            <w:pPr>
              <w:rPr>
                <w:color w:val="auto"/>
                <w:highlight w:val="none"/>
              </w:rPr>
            </w:pPr>
            <w:r>
              <w:rPr>
                <w:rFonts w:hint="eastAsia" w:ascii="宋体" w:hAnsi="宋体" w:cs="宋体"/>
                <w:color w:val="auto"/>
                <w:highlight w:val="none"/>
              </w:rPr>
              <w:t>3.吊装主舱体有害物质限量邻苯二甲酸酯：DBP≤0.1，BBP≤0.1,DEHD≤0.1,DNOP≤0.1,DINP≤0.1；重金属：可溶性铅≤90mg/kg，可溶性镉≤75mg/kg，可溶性铬≤60mg/kg，可溶性汞≤60mg/kg。</w:t>
            </w:r>
          </w:p>
        </w:tc>
        <w:tc>
          <w:tcPr>
            <w:tcW w:w="384" w:type="pct"/>
            <w:vAlign w:val="center"/>
          </w:tcPr>
          <w:p w14:paraId="07708848">
            <w:pPr>
              <w:jc w:val="center"/>
              <w:rPr>
                <w:color w:val="auto"/>
                <w:highlight w:val="none"/>
              </w:rPr>
            </w:pPr>
            <w:r>
              <w:rPr>
                <w:rFonts w:hint="eastAsia" w:ascii="宋体" w:hAnsi="宋体" w:cs="宋体"/>
                <w:color w:val="auto"/>
                <w:highlight w:val="none"/>
              </w:rPr>
              <w:t>套</w:t>
            </w:r>
          </w:p>
        </w:tc>
        <w:tc>
          <w:tcPr>
            <w:tcW w:w="385" w:type="pct"/>
            <w:vAlign w:val="center"/>
          </w:tcPr>
          <w:p w14:paraId="0328EF14">
            <w:pPr>
              <w:jc w:val="center"/>
              <w:textAlignment w:val="center"/>
              <w:rPr>
                <w:color w:val="auto"/>
                <w:highlight w:val="none"/>
              </w:rPr>
            </w:pPr>
            <w:r>
              <w:rPr>
                <w:rFonts w:hint="eastAsia" w:ascii="宋体" w:hAnsi="宋体" w:cs="宋体"/>
                <w:color w:val="auto"/>
                <w:kern w:val="0"/>
                <w:szCs w:val="21"/>
                <w:highlight w:val="none"/>
                <w:lang w:bidi="ar"/>
              </w:rPr>
              <w:t>16</w:t>
            </w:r>
          </w:p>
        </w:tc>
      </w:tr>
      <w:tr w14:paraId="30313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46FF914C">
            <w:pPr>
              <w:jc w:val="center"/>
              <w:rPr>
                <w:color w:val="auto"/>
                <w:highlight w:val="none"/>
              </w:rPr>
            </w:pPr>
            <w:r>
              <w:rPr>
                <w:rFonts w:hint="eastAsia" w:ascii="宋体" w:hAnsi="宋体" w:cs="宋体"/>
                <w:color w:val="auto"/>
                <w:highlight w:val="none"/>
              </w:rPr>
              <w:t>2</w:t>
            </w:r>
          </w:p>
        </w:tc>
        <w:tc>
          <w:tcPr>
            <w:tcW w:w="782" w:type="pct"/>
            <w:vAlign w:val="center"/>
          </w:tcPr>
          <w:p w14:paraId="5575D851">
            <w:pPr>
              <w:jc w:val="center"/>
              <w:rPr>
                <w:color w:val="auto"/>
                <w:highlight w:val="none"/>
              </w:rPr>
            </w:pPr>
            <w:r>
              <w:rPr>
                <w:rFonts w:hint="eastAsia" w:ascii="宋体" w:hAnsi="宋体" w:cs="宋体"/>
                <w:color w:val="auto"/>
                <w:highlight w:val="none"/>
              </w:rPr>
              <w:t>顶装外形体</w:t>
            </w:r>
          </w:p>
        </w:tc>
        <w:tc>
          <w:tcPr>
            <w:tcW w:w="3079" w:type="pct"/>
            <w:vAlign w:val="center"/>
          </w:tcPr>
          <w:p w14:paraId="24F86EBF">
            <w:pPr>
              <w:rPr>
                <w:rFonts w:hint="eastAsia" w:ascii="宋体" w:hAnsi="宋体" w:cs="宋体"/>
                <w:color w:val="auto"/>
                <w:highlight w:val="none"/>
              </w:rPr>
            </w:pPr>
            <w:r>
              <w:rPr>
                <w:rFonts w:hint="eastAsia" w:ascii="宋体" w:hAnsi="宋体" w:cs="宋体"/>
                <w:color w:val="auto"/>
                <w:highlight w:val="none"/>
              </w:rPr>
              <w:t>智能吊装集成箱体采用新型复合材料，经高温模压工艺成型。</w:t>
            </w:r>
          </w:p>
          <w:p w14:paraId="69BD6EA0">
            <w:pPr>
              <w:rPr>
                <w:color w:val="auto"/>
                <w:highlight w:val="none"/>
              </w:rPr>
            </w:pPr>
            <w:r>
              <w:rPr>
                <w:rFonts w:hint="eastAsia" w:ascii="宋体" w:hAnsi="宋体" w:cs="宋体"/>
                <w:color w:val="auto"/>
                <w:highlight w:val="none"/>
              </w:rPr>
              <w:t>吊装集成箱体甲醛释放量≤0.05mg/m³；重金属：可溶性铅≤90mg/kg，可溶性镉≤75mg/kg，可溶性铬≤60mg/kg，可溶性汞≤60mg/kg；金属件外，喷涂层涂层应无漏喷、锈蚀，涂层应光滑均匀,色泽一致,应无流挂、疙瘩、皱皮、飞漆等缺陷。</w:t>
            </w:r>
          </w:p>
        </w:tc>
        <w:tc>
          <w:tcPr>
            <w:tcW w:w="384" w:type="pct"/>
            <w:vAlign w:val="center"/>
          </w:tcPr>
          <w:p w14:paraId="2349D6C7">
            <w:pPr>
              <w:jc w:val="center"/>
              <w:rPr>
                <w:color w:val="auto"/>
                <w:highlight w:val="none"/>
              </w:rPr>
            </w:pPr>
            <w:r>
              <w:rPr>
                <w:rFonts w:hint="eastAsia" w:ascii="宋体" w:hAnsi="宋体" w:cs="宋体"/>
                <w:color w:val="auto"/>
                <w:highlight w:val="none"/>
              </w:rPr>
              <w:t>套</w:t>
            </w:r>
          </w:p>
        </w:tc>
        <w:tc>
          <w:tcPr>
            <w:tcW w:w="385" w:type="pct"/>
            <w:vAlign w:val="center"/>
          </w:tcPr>
          <w:p w14:paraId="62C16449">
            <w:pPr>
              <w:jc w:val="center"/>
              <w:textAlignment w:val="center"/>
              <w:rPr>
                <w:color w:val="auto"/>
                <w:highlight w:val="none"/>
              </w:rPr>
            </w:pPr>
            <w:r>
              <w:rPr>
                <w:rFonts w:hint="eastAsia" w:ascii="宋体" w:hAnsi="宋体" w:cs="宋体"/>
                <w:color w:val="auto"/>
                <w:kern w:val="0"/>
                <w:szCs w:val="21"/>
                <w:highlight w:val="none"/>
                <w:lang w:bidi="ar"/>
              </w:rPr>
              <w:t>16</w:t>
            </w:r>
          </w:p>
        </w:tc>
      </w:tr>
      <w:tr w14:paraId="634D2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6AF5B818">
            <w:pPr>
              <w:jc w:val="center"/>
              <w:rPr>
                <w:color w:val="auto"/>
                <w:highlight w:val="none"/>
              </w:rPr>
            </w:pPr>
            <w:r>
              <w:rPr>
                <w:rFonts w:hint="eastAsia" w:ascii="宋体" w:hAnsi="宋体" w:cs="宋体"/>
                <w:color w:val="auto"/>
                <w:highlight w:val="none"/>
              </w:rPr>
              <w:t>3</w:t>
            </w:r>
          </w:p>
        </w:tc>
        <w:tc>
          <w:tcPr>
            <w:tcW w:w="782" w:type="pct"/>
            <w:vAlign w:val="center"/>
          </w:tcPr>
          <w:p w14:paraId="6FA46E72">
            <w:pPr>
              <w:jc w:val="center"/>
              <w:rPr>
                <w:color w:val="auto"/>
                <w:highlight w:val="none"/>
              </w:rPr>
            </w:pPr>
            <w:r>
              <w:rPr>
                <w:rFonts w:hint="eastAsia" w:ascii="宋体" w:hAnsi="宋体" w:cs="宋体"/>
                <w:color w:val="auto"/>
                <w:highlight w:val="none"/>
              </w:rPr>
              <w:t>顶装固定支架</w:t>
            </w:r>
          </w:p>
        </w:tc>
        <w:tc>
          <w:tcPr>
            <w:tcW w:w="3079" w:type="pct"/>
            <w:vAlign w:val="center"/>
          </w:tcPr>
          <w:p w14:paraId="122E03D4">
            <w:pPr>
              <w:rPr>
                <w:rFonts w:hint="eastAsia" w:ascii="宋体" w:hAnsi="宋体" w:cs="宋体"/>
                <w:color w:val="auto"/>
                <w:highlight w:val="none"/>
              </w:rPr>
            </w:pPr>
            <w:r>
              <w:rPr>
                <w:rFonts w:hint="eastAsia" w:ascii="宋体" w:hAnsi="宋体" w:cs="宋体"/>
                <w:color w:val="auto"/>
                <w:highlight w:val="none"/>
              </w:rPr>
              <w:t>采用优质镀锌钢板经激光切割、数控冲压、数控折弯成型，生产工业采取模块组合，便于安装，外观流线形设计，简洁美观,表面经环氧树脂粉末静电喷涂、高温固化处理，耐腐蚀。</w:t>
            </w:r>
          </w:p>
          <w:p w14:paraId="0A558B99">
            <w:pPr>
              <w:rPr>
                <w:color w:val="auto"/>
                <w:highlight w:val="none"/>
              </w:rPr>
            </w:pPr>
            <w:r>
              <w:rPr>
                <w:rFonts w:hint="eastAsia" w:ascii="宋体" w:hAnsi="宋体" w:cs="宋体"/>
                <w:color w:val="auto"/>
                <w:highlight w:val="none"/>
              </w:rPr>
              <w:t>吊装吊架金属外观：电镀层表面应无剥落、返锈、毛刺 ；电镀层，表面应无烧焦、起泡、针孔、裂纹、花斑（不包括镀彩锌）和划痕 ；附着力：不低于2级；重金属：可溶性铅≤90mg/kg检测，可溶性镉≤75mg/kg，可溶性铬≤60mg/kg，可溶性汞≤60mg/kg。</w:t>
            </w:r>
          </w:p>
        </w:tc>
        <w:tc>
          <w:tcPr>
            <w:tcW w:w="384" w:type="pct"/>
            <w:vAlign w:val="center"/>
          </w:tcPr>
          <w:p w14:paraId="0ED92D2C">
            <w:pPr>
              <w:jc w:val="center"/>
              <w:rPr>
                <w:color w:val="auto"/>
                <w:highlight w:val="none"/>
              </w:rPr>
            </w:pPr>
            <w:r>
              <w:rPr>
                <w:rFonts w:hint="eastAsia" w:ascii="宋体" w:hAnsi="宋体" w:cs="宋体"/>
                <w:color w:val="auto"/>
                <w:highlight w:val="none"/>
              </w:rPr>
              <w:t>套</w:t>
            </w:r>
          </w:p>
        </w:tc>
        <w:tc>
          <w:tcPr>
            <w:tcW w:w="385" w:type="pct"/>
            <w:vAlign w:val="center"/>
          </w:tcPr>
          <w:p w14:paraId="3CA6BA7D">
            <w:pPr>
              <w:jc w:val="center"/>
              <w:textAlignment w:val="center"/>
              <w:rPr>
                <w:color w:val="auto"/>
                <w:highlight w:val="none"/>
              </w:rPr>
            </w:pPr>
            <w:r>
              <w:rPr>
                <w:rFonts w:hint="eastAsia" w:ascii="宋体" w:hAnsi="宋体" w:cs="宋体"/>
                <w:color w:val="auto"/>
                <w:kern w:val="0"/>
                <w:szCs w:val="21"/>
                <w:highlight w:val="none"/>
                <w:lang w:bidi="ar"/>
              </w:rPr>
              <w:t>32</w:t>
            </w:r>
          </w:p>
        </w:tc>
      </w:tr>
      <w:tr w14:paraId="155CA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22FE6761">
            <w:pPr>
              <w:jc w:val="center"/>
              <w:rPr>
                <w:color w:val="auto"/>
                <w:highlight w:val="none"/>
              </w:rPr>
            </w:pPr>
            <w:r>
              <w:rPr>
                <w:rFonts w:hint="eastAsia" w:ascii="宋体" w:hAnsi="宋体" w:cs="宋体"/>
                <w:color w:val="auto"/>
                <w:highlight w:val="none"/>
              </w:rPr>
              <w:t>4</w:t>
            </w:r>
          </w:p>
        </w:tc>
        <w:tc>
          <w:tcPr>
            <w:tcW w:w="782" w:type="pct"/>
            <w:vAlign w:val="center"/>
          </w:tcPr>
          <w:p w14:paraId="14D0BD85">
            <w:pPr>
              <w:jc w:val="center"/>
              <w:rPr>
                <w:color w:val="auto"/>
                <w:highlight w:val="none"/>
              </w:rPr>
            </w:pPr>
            <w:r>
              <w:rPr>
                <w:rFonts w:hint="eastAsia" w:ascii="宋体" w:hAnsi="宋体" w:cs="宋体"/>
                <w:color w:val="auto"/>
                <w:highlight w:val="none"/>
              </w:rPr>
              <w:t>顶装固定支架护罩</w:t>
            </w:r>
          </w:p>
        </w:tc>
        <w:tc>
          <w:tcPr>
            <w:tcW w:w="3079" w:type="pct"/>
            <w:vAlign w:val="center"/>
          </w:tcPr>
          <w:p w14:paraId="27036385">
            <w:pPr>
              <w:rPr>
                <w:color w:val="auto"/>
                <w:highlight w:val="none"/>
              </w:rPr>
            </w:pPr>
            <w:r>
              <w:rPr>
                <w:rFonts w:hint="eastAsia" w:ascii="宋体" w:hAnsi="宋体" w:cs="宋体"/>
                <w:color w:val="auto"/>
                <w:highlight w:val="none"/>
              </w:rPr>
              <w:t>采用优质镀锌钢板经激光切割、数控冲压、数控折弯成型，生产工业采取模块组合，便于安装及维护，外观流线形设计，简洁美观,表面经环氧树脂粉末静电喷涂、高温固化处理，耐腐蚀。</w:t>
            </w:r>
          </w:p>
        </w:tc>
        <w:tc>
          <w:tcPr>
            <w:tcW w:w="384" w:type="pct"/>
            <w:vAlign w:val="center"/>
          </w:tcPr>
          <w:p w14:paraId="480DB4BD">
            <w:pPr>
              <w:jc w:val="center"/>
              <w:rPr>
                <w:color w:val="auto"/>
                <w:highlight w:val="none"/>
              </w:rPr>
            </w:pPr>
            <w:r>
              <w:rPr>
                <w:rFonts w:hint="eastAsia" w:ascii="宋体" w:hAnsi="宋体" w:cs="宋体"/>
                <w:color w:val="auto"/>
                <w:highlight w:val="none"/>
              </w:rPr>
              <w:t>套</w:t>
            </w:r>
          </w:p>
        </w:tc>
        <w:tc>
          <w:tcPr>
            <w:tcW w:w="385" w:type="pct"/>
            <w:vAlign w:val="center"/>
          </w:tcPr>
          <w:p w14:paraId="50DBA52E">
            <w:pPr>
              <w:jc w:val="center"/>
              <w:textAlignment w:val="center"/>
              <w:rPr>
                <w:color w:val="auto"/>
                <w:highlight w:val="none"/>
              </w:rPr>
            </w:pPr>
            <w:r>
              <w:rPr>
                <w:rFonts w:hint="eastAsia" w:ascii="宋体" w:hAnsi="宋体" w:cs="宋体"/>
                <w:color w:val="auto"/>
                <w:kern w:val="0"/>
                <w:szCs w:val="21"/>
                <w:highlight w:val="none"/>
                <w:lang w:bidi="ar"/>
              </w:rPr>
              <w:t>32</w:t>
            </w:r>
          </w:p>
        </w:tc>
      </w:tr>
      <w:tr w14:paraId="67413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1F51AB33">
            <w:pPr>
              <w:jc w:val="center"/>
              <w:rPr>
                <w:color w:val="auto"/>
                <w:highlight w:val="none"/>
              </w:rPr>
            </w:pPr>
            <w:r>
              <w:rPr>
                <w:rFonts w:hint="eastAsia" w:ascii="宋体" w:hAnsi="宋体" w:cs="宋体"/>
                <w:color w:val="auto"/>
                <w:highlight w:val="none"/>
              </w:rPr>
              <w:t>5</w:t>
            </w:r>
          </w:p>
        </w:tc>
        <w:tc>
          <w:tcPr>
            <w:tcW w:w="782" w:type="pct"/>
            <w:vAlign w:val="center"/>
          </w:tcPr>
          <w:p w14:paraId="1B218611">
            <w:pPr>
              <w:jc w:val="center"/>
              <w:rPr>
                <w:color w:val="auto"/>
                <w:highlight w:val="none"/>
              </w:rPr>
            </w:pPr>
            <w:r>
              <w:rPr>
                <w:rFonts w:hint="eastAsia" w:ascii="宋体" w:hAnsi="宋体" w:cs="宋体"/>
                <w:color w:val="auto"/>
                <w:highlight w:val="none"/>
              </w:rPr>
              <w:t>顶装摇臂动力装置</w:t>
            </w:r>
          </w:p>
        </w:tc>
        <w:tc>
          <w:tcPr>
            <w:tcW w:w="3079" w:type="pct"/>
            <w:vAlign w:val="center"/>
          </w:tcPr>
          <w:p w14:paraId="7020F90A">
            <w:pPr>
              <w:rPr>
                <w:rFonts w:hint="eastAsia" w:ascii="宋体" w:hAnsi="宋体" w:cs="宋体"/>
                <w:color w:val="auto"/>
                <w:highlight w:val="none"/>
              </w:rPr>
            </w:pPr>
            <w:r>
              <w:rPr>
                <w:rFonts w:hint="eastAsia" w:ascii="宋体" w:hAnsi="宋体" w:cs="宋体"/>
                <w:color w:val="auto"/>
                <w:highlight w:val="none"/>
              </w:rPr>
              <w:t>智能吊装推杆电机，超静音安全低压直流24V低压电机动力，摇臂采用直径≥65MM，厚度≥1.5MM优质铝合金挤压成型，摇臂连接座采用优质铝合金模具压铸经CNC加工成型，动力装置和主体结构模块化组合，安装维护便捷，运行无噪音。智能吊装推杆电机低温（-20℃）工作不低于2h；高温要求温度（40℃）工作不低于2h。</w:t>
            </w:r>
          </w:p>
          <w:p w14:paraId="3BFEDDAF">
            <w:pPr>
              <w:rPr>
                <w:color w:val="auto"/>
                <w:highlight w:val="none"/>
              </w:rPr>
            </w:pPr>
            <w:r>
              <w:rPr>
                <w:rFonts w:hint="eastAsia" w:ascii="宋体" w:hAnsi="宋体" w:cs="宋体"/>
                <w:color w:val="auto"/>
                <w:highlight w:val="none"/>
              </w:rPr>
              <w:t>吊装摇臂有害物质限量、重金属要求：可溶性铅≤90mg/kg，可溶性镉≤75mg/kg，可溶性铬≤60mg/kg，可溶性汞≤60mg/kg；对电镀层要求表面应无剥落、返锈、毛刺，电镀层表面应无烧焦、起泡、针孔、裂纹、花斑（不包括镀彩锌）和划痕，金属电镀附着了不低于2级。</w:t>
            </w:r>
          </w:p>
        </w:tc>
        <w:tc>
          <w:tcPr>
            <w:tcW w:w="384" w:type="pct"/>
            <w:vAlign w:val="center"/>
          </w:tcPr>
          <w:p w14:paraId="3B8B4F87">
            <w:pPr>
              <w:jc w:val="center"/>
              <w:rPr>
                <w:color w:val="auto"/>
                <w:highlight w:val="none"/>
              </w:rPr>
            </w:pPr>
            <w:r>
              <w:rPr>
                <w:rFonts w:hint="eastAsia" w:ascii="宋体" w:hAnsi="宋体" w:cs="宋体"/>
                <w:color w:val="auto"/>
                <w:highlight w:val="none"/>
              </w:rPr>
              <w:t>个</w:t>
            </w:r>
          </w:p>
        </w:tc>
        <w:tc>
          <w:tcPr>
            <w:tcW w:w="385" w:type="pct"/>
            <w:vAlign w:val="center"/>
          </w:tcPr>
          <w:p w14:paraId="6A76B66C">
            <w:pPr>
              <w:jc w:val="center"/>
              <w:textAlignment w:val="center"/>
              <w:rPr>
                <w:color w:val="auto"/>
                <w:highlight w:val="none"/>
              </w:rPr>
            </w:pPr>
            <w:r>
              <w:rPr>
                <w:rFonts w:hint="eastAsia" w:ascii="宋体" w:hAnsi="宋体" w:cs="宋体"/>
                <w:color w:val="auto"/>
                <w:kern w:val="0"/>
                <w:szCs w:val="21"/>
                <w:highlight w:val="none"/>
                <w:lang w:bidi="ar"/>
              </w:rPr>
              <w:t>28</w:t>
            </w:r>
          </w:p>
        </w:tc>
      </w:tr>
      <w:tr w14:paraId="0F18E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4C30F6CB">
            <w:pPr>
              <w:jc w:val="center"/>
              <w:rPr>
                <w:color w:val="auto"/>
                <w:highlight w:val="none"/>
              </w:rPr>
            </w:pPr>
            <w:r>
              <w:rPr>
                <w:rFonts w:hint="eastAsia" w:ascii="宋体" w:hAnsi="宋体" w:cs="宋体"/>
                <w:color w:val="auto"/>
                <w:highlight w:val="none"/>
              </w:rPr>
              <w:t>6</w:t>
            </w:r>
          </w:p>
        </w:tc>
        <w:tc>
          <w:tcPr>
            <w:tcW w:w="782" w:type="pct"/>
            <w:vAlign w:val="center"/>
          </w:tcPr>
          <w:p w14:paraId="0D78B3C6">
            <w:pPr>
              <w:jc w:val="center"/>
              <w:rPr>
                <w:color w:val="auto"/>
                <w:highlight w:val="none"/>
              </w:rPr>
            </w:pPr>
            <w:r>
              <w:rPr>
                <w:rFonts w:hint="eastAsia" w:ascii="宋体" w:hAnsi="宋体" w:cs="宋体"/>
                <w:color w:val="auto"/>
                <w:highlight w:val="none"/>
              </w:rPr>
              <w:t>顶装摇臂智能软件控制器</w:t>
            </w:r>
          </w:p>
        </w:tc>
        <w:tc>
          <w:tcPr>
            <w:tcW w:w="3079" w:type="pct"/>
            <w:vAlign w:val="center"/>
          </w:tcPr>
          <w:p w14:paraId="6A95673A">
            <w:pPr>
              <w:rPr>
                <w:color w:val="auto"/>
                <w:highlight w:val="none"/>
              </w:rPr>
            </w:pPr>
            <w:r>
              <w:rPr>
                <w:rFonts w:hint="eastAsia" w:ascii="宋体" w:hAnsi="宋体" w:cs="宋体"/>
                <w:color w:val="auto"/>
                <w:highlight w:val="none"/>
              </w:rPr>
              <w:t>接收智能化主控制系统控制通信，控制摇臂升降、通风、供水、排水、电流、电压、灯光、供电状态、电流过载、摇臂升降状态、语音提示报警及系统故障提示等等信号采集处理，反馈一切信息和主控系统进行自动化处理。</w:t>
            </w:r>
          </w:p>
        </w:tc>
        <w:tc>
          <w:tcPr>
            <w:tcW w:w="384" w:type="pct"/>
            <w:vAlign w:val="center"/>
          </w:tcPr>
          <w:p w14:paraId="00A61409">
            <w:pPr>
              <w:jc w:val="center"/>
              <w:rPr>
                <w:color w:val="auto"/>
                <w:highlight w:val="none"/>
              </w:rPr>
            </w:pPr>
            <w:r>
              <w:rPr>
                <w:rFonts w:hint="eastAsia" w:ascii="宋体" w:hAnsi="宋体" w:cs="宋体"/>
                <w:color w:val="auto"/>
                <w:highlight w:val="none"/>
              </w:rPr>
              <w:t>套</w:t>
            </w:r>
          </w:p>
        </w:tc>
        <w:tc>
          <w:tcPr>
            <w:tcW w:w="385" w:type="pct"/>
            <w:vAlign w:val="center"/>
          </w:tcPr>
          <w:p w14:paraId="7E5B4953">
            <w:pPr>
              <w:jc w:val="center"/>
              <w:textAlignment w:val="center"/>
              <w:rPr>
                <w:color w:val="auto"/>
                <w:highlight w:val="none"/>
              </w:rPr>
            </w:pPr>
            <w:r>
              <w:rPr>
                <w:rFonts w:hint="eastAsia" w:ascii="宋体" w:hAnsi="宋体" w:cs="宋体"/>
                <w:color w:val="auto"/>
                <w:kern w:val="0"/>
                <w:szCs w:val="21"/>
                <w:highlight w:val="none"/>
                <w:lang w:bidi="ar"/>
              </w:rPr>
              <w:t>28</w:t>
            </w:r>
          </w:p>
        </w:tc>
      </w:tr>
      <w:tr w14:paraId="2AB36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4A6A0E47">
            <w:pPr>
              <w:jc w:val="center"/>
              <w:rPr>
                <w:color w:val="auto"/>
                <w:highlight w:val="none"/>
              </w:rPr>
            </w:pPr>
            <w:r>
              <w:rPr>
                <w:rFonts w:hint="eastAsia" w:ascii="宋体" w:hAnsi="宋体" w:cs="宋体"/>
                <w:color w:val="auto"/>
                <w:highlight w:val="none"/>
              </w:rPr>
              <w:t>7</w:t>
            </w:r>
          </w:p>
        </w:tc>
        <w:tc>
          <w:tcPr>
            <w:tcW w:w="782" w:type="pct"/>
            <w:vAlign w:val="center"/>
          </w:tcPr>
          <w:p w14:paraId="61B28F36">
            <w:pPr>
              <w:jc w:val="center"/>
              <w:rPr>
                <w:color w:val="auto"/>
                <w:highlight w:val="none"/>
              </w:rPr>
            </w:pPr>
            <w:r>
              <w:rPr>
                <w:rFonts w:hint="eastAsia" w:ascii="宋体" w:hAnsi="宋体" w:cs="宋体"/>
                <w:color w:val="auto"/>
                <w:highlight w:val="none"/>
              </w:rPr>
              <w:t>智能电源腔体</w:t>
            </w:r>
          </w:p>
        </w:tc>
        <w:tc>
          <w:tcPr>
            <w:tcW w:w="3079" w:type="pct"/>
            <w:vAlign w:val="center"/>
          </w:tcPr>
          <w:p w14:paraId="1A2CE728">
            <w:pPr>
              <w:rPr>
                <w:color w:val="auto"/>
                <w:highlight w:val="none"/>
              </w:rPr>
            </w:pPr>
            <w:r>
              <w:rPr>
                <w:rFonts w:hint="eastAsia" w:ascii="宋体" w:hAnsi="宋体" w:cs="宋体"/>
                <w:color w:val="auto"/>
                <w:highlight w:val="none"/>
              </w:rPr>
              <w:t>腔体采用阻燃级ABS塑料原料经定制开发模具注塑一次性加工成型，生产工艺采用模块化组合，模块内部采用双舱体设计，水电隔离设计，防水功能，相互不干扰，保证设备安全可靠性预留多个供应系统安装位置可适应不同教学实验要求。</w:t>
            </w:r>
          </w:p>
        </w:tc>
        <w:tc>
          <w:tcPr>
            <w:tcW w:w="384" w:type="pct"/>
            <w:vAlign w:val="center"/>
          </w:tcPr>
          <w:p w14:paraId="47ACA985">
            <w:pPr>
              <w:jc w:val="center"/>
              <w:rPr>
                <w:color w:val="auto"/>
                <w:highlight w:val="none"/>
              </w:rPr>
            </w:pPr>
            <w:r>
              <w:rPr>
                <w:rFonts w:hint="eastAsia" w:ascii="宋体" w:hAnsi="宋体" w:cs="宋体"/>
                <w:color w:val="auto"/>
                <w:highlight w:val="none"/>
              </w:rPr>
              <w:t>个</w:t>
            </w:r>
          </w:p>
        </w:tc>
        <w:tc>
          <w:tcPr>
            <w:tcW w:w="385" w:type="pct"/>
            <w:vAlign w:val="center"/>
          </w:tcPr>
          <w:p w14:paraId="45F031CD">
            <w:pPr>
              <w:jc w:val="center"/>
              <w:textAlignment w:val="center"/>
              <w:rPr>
                <w:color w:val="auto"/>
                <w:highlight w:val="none"/>
              </w:rPr>
            </w:pPr>
            <w:r>
              <w:rPr>
                <w:rFonts w:hint="eastAsia" w:ascii="宋体" w:hAnsi="宋体" w:cs="宋体"/>
                <w:color w:val="auto"/>
                <w:kern w:val="0"/>
                <w:szCs w:val="21"/>
                <w:highlight w:val="none"/>
                <w:lang w:bidi="ar"/>
              </w:rPr>
              <w:t>28</w:t>
            </w:r>
          </w:p>
        </w:tc>
      </w:tr>
      <w:tr w14:paraId="5E5F1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3EA42E80">
            <w:pPr>
              <w:jc w:val="center"/>
              <w:rPr>
                <w:color w:val="auto"/>
                <w:highlight w:val="none"/>
              </w:rPr>
            </w:pPr>
            <w:r>
              <w:rPr>
                <w:rFonts w:hint="eastAsia" w:ascii="宋体" w:hAnsi="宋体" w:cs="宋体"/>
                <w:color w:val="auto"/>
                <w:highlight w:val="none"/>
              </w:rPr>
              <w:t>8</w:t>
            </w:r>
          </w:p>
        </w:tc>
        <w:tc>
          <w:tcPr>
            <w:tcW w:w="782" w:type="pct"/>
            <w:vAlign w:val="center"/>
          </w:tcPr>
          <w:p w14:paraId="3B98C9F4">
            <w:pPr>
              <w:jc w:val="center"/>
              <w:rPr>
                <w:color w:val="auto"/>
                <w:highlight w:val="none"/>
              </w:rPr>
            </w:pPr>
            <w:r>
              <w:rPr>
                <w:rFonts w:hint="eastAsia" w:ascii="宋体" w:hAnsi="宋体" w:cs="宋体"/>
                <w:color w:val="auto"/>
                <w:highlight w:val="none"/>
              </w:rPr>
              <w:t>智能彩色液晶显示屛</w:t>
            </w:r>
          </w:p>
        </w:tc>
        <w:tc>
          <w:tcPr>
            <w:tcW w:w="3079" w:type="pct"/>
            <w:vAlign w:val="center"/>
          </w:tcPr>
          <w:p w14:paraId="6F886D3B">
            <w:pPr>
              <w:rPr>
                <w:color w:val="auto"/>
                <w:highlight w:val="none"/>
              </w:rPr>
            </w:pPr>
            <w:r>
              <w:rPr>
                <w:rFonts w:hint="eastAsia" w:ascii="宋体" w:hAnsi="宋体" w:cs="宋体"/>
                <w:color w:val="auto"/>
                <w:highlight w:val="none"/>
              </w:rPr>
              <w:t>显示屏≥3.0寸TFT-LCD液晶显示屏，屛面数据清晰，接收智能化主控制系统控制，界面可显示通风、供水、排水、电流、电压、灯光、供电状态、电流过载提示、摇臂升降状态、语音提示报警及系统故障提示等等功能，显示设定及实际电压值；吊装的动作，吸风罩有无回位，水槽水位状态，操作失误及系统故障实时警示提醒，便于老师及学生了解操作情况。</w:t>
            </w:r>
          </w:p>
        </w:tc>
        <w:tc>
          <w:tcPr>
            <w:tcW w:w="384" w:type="pct"/>
            <w:vAlign w:val="center"/>
          </w:tcPr>
          <w:p w14:paraId="5FD3573C">
            <w:pPr>
              <w:jc w:val="center"/>
              <w:rPr>
                <w:color w:val="auto"/>
                <w:highlight w:val="none"/>
              </w:rPr>
            </w:pPr>
            <w:r>
              <w:rPr>
                <w:rFonts w:hint="eastAsia" w:ascii="宋体" w:hAnsi="宋体" w:cs="宋体"/>
                <w:color w:val="auto"/>
                <w:highlight w:val="none"/>
              </w:rPr>
              <w:t>个</w:t>
            </w:r>
          </w:p>
        </w:tc>
        <w:tc>
          <w:tcPr>
            <w:tcW w:w="385" w:type="pct"/>
            <w:vAlign w:val="center"/>
          </w:tcPr>
          <w:p w14:paraId="49C67ABA">
            <w:pPr>
              <w:jc w:val="center"/>
              <w:textAlignment w:val="center"/>
              <w:rPr>
                <w:color w:val="auto"/>
                <w:highlight w:val="none"/>
              </w:rPr>
            </w:pPr>
            <w:r>
              <w:rPr>
                <w:rFonts w:hint="eastAsia" w:ascii="宋体" w:hAnsi="宋体" w:cs="宋体"/>
                <w:color w:val="auto"/>
                <w:kern w:val="0"/>
                <w:szCs w:val="21"/>
                <w:highlight w:val="none"/>
                <w:lang w:bidi="ar"/>
              </w:rPr>
              <w:t>56</w:t>
            </w:r>
          </w:p>
        </w:tc>
      </w:tr>
      <w:tr w14:paraId="45963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0198920D">
            <w:pPr>
              <w:jc w:val="center"/>
              <w:rPr>
                <w:color w:val="auto"/>
                <w:highlight w:val="none"/>
              </w:rPr>
            </w:pPr>
            <w:r>
              <w:rPr>
                <w:rFonts w:hint="eastAsia" w:ascii="宋体" w:hAnsi="宋体" w:cs="宋体"/>
                <w:color w:val="auto"/>
                <w:highlight w:val="none"/>
              </w:rPr>
              <w:t>9</w:t>
            </w:r>
          </w:p>
        </w:tc>
        <w:tc>
          <w:tcPr>
            <w:tcW w:w="782" w:type="pct"/>
            <w:vAlign w:val="center"/>
          </w:tcPr>
          <w:p w14:paraId="5527A6AE">
            <w:pPr>
              <w:jc w:val="center"/>
              <w:rPr>
                <w:color w:val="auto"/>
                <w:highlight w:val="none"/>
              </w:rPr>
            </w:pPr>
            <w:r>
              <w:rPr>
                <w:rFonts w:hint="eastAsia" w:ascii="宋体" w:hAnsi="宋体" w:cs="宋体"/>
                <w:color w:val="auto"/>
                <w:highlight w:val="none"/>
              </w:rPr>
              <w:t>多功能电源模块</w:t>
            </w:r>
          </w:p>
        </w:tc>
        <w:tc>
          <w:tcPr>
            <w:tcW w:w="3079" w:type="pct"/>
            <w:vAlign w:val="center"/>
          </w:tcPr>
          <w:p w14:paraId="6D32569F">
            <w:pPr>
              <w:rPr>
                <w:rFonts w:hint="eastAsia" w:ascii="宋体" w:hAnsi="宋体" w:cs="宋体"/>
                <w:color w:val="auto"/>
                <w:highlight w:val="none"/>
              </w:rPr>
            </w:pPr>
            <w:r>
              <w:rPr>
                <w:rFonts w:hint="eastAsia" w:ascii="宋体" w:hAnsi="宋体" w:cs="宋体"/>
                <w:color w:val="auto"/>
                <w:highlight w:val="none"/>
              </w:rPr>
              <w:t>1.电路板采用贴片元件生产技术，微电脑控制。</w:t>
            </w:r>
          </w:p>
          <w:p w14:paraId="3F320F44">
            <w:pPr>
              <w:rPr>
                <w:rFonts w:hint="eastAsia" w:ascii="宋体" w:hAnsi="宋体" w:cs="宋体"/>
                <w:color w:val="auto"/>
                <w:highlight w:val="none"/>
              </w:rPr>
            </w:pPr>
            <w:r>
              <w:rPr>
                <w:rFonts w:hint="eastAsia" w:ascii="宋体" w:hAnsi="宋体" w:cs="宋体"/>
                <w:color w:val="auto"/>
                <w:highlight w:val="none"/>
              </w:rPr>
              <w:t>2.操作面板基本规格尺寸：≥140mm*170mm，采用耐磨、耐腐蚀、耐高温,耐冲击≥1.0mm厚PC板材极光切割触摸面板工艺制造。</w:t>
            </w:r>
          </w:p>
          <w:p w14:paraId="7E808721">
            <w:pPr>
              <w:rPr>
                <w:rFonts w:hint="eastAsia" w:ascii="宋体" w:hAnsi="宋体" w:cs="宋体"/>
                <w:color w:val="auto"/>
                <w:highlight w:val="none"/>
              </w:rPr>
            </w:pPr>
            <w:r>
              <w:rPr>
                <w:rFonts w:hint="eastAsia" w:ascii="宋体" w:hAnsi="宋体" w:cs="宋体"/>
                <w:color w:val="auto"/>
                <w:highlight w:val="none"/>
              </w:rPr>
              <w:t>3.交直流电源具有过载保护智能检测功能，设置“过载”图标提示。采用按钮复位功能免除反复过载冲击负载。</w:t>
            </w:r>
          </w:p>
          <w:p w14:paraId="23CCFE9E">
            <w:pPr>
              <w:rPr>
                <w:color w:val="auto"/>
                <w:highlight w:val="none"/>
              </w:rPr>
            </w:pPr>
            <w:r>
              <w:rPr>
                <w:rFonts w:hint="eastAsia" w:ascii="宋体" w:hAnsi="宋体" w:cs="宋体"/>
                <w:color w:val="auto"/>
                <w:highlight w:val="none"/>
              </w:rPr>
              <w:t>4.学生高压电源可接收主控电源发送的锁定信号，学生接收老输送的设定电源电压，教师锁定时，学生自己无法操作，这样可避免学生的误操作。老师端可以分组或独立控制。</w:t>
            </w:r>
          </w:p>
        </w:tc>
        <w:tc>
          <w:tcPr>
            <w:tcW w:w="384" w:type="pct"/>
            <w:vAlign w:val="center"/>
          </w:tcPr>
          <w:p w14:paraId="0A50B02B">
            <w:pPr>
              <w:jc w:val="center"/>
              <w:rPr>
                <w:color w:val="auto"/>
                <w:highlight w:val="none"/>
              </w:rPr>
            </w:pPr>
            <w:r>
              <w:rPr>
                <w:rFonts w:hint="eastAsia" w:ascii="宋体" w:hAnsi="宋体" w:cs="宋体"/>
                <w:color w:val="auto"/>
                <w:highlight w:val="none"/>
              </w:rPr>
              <w:t>个</w:t>
            </w:r>
          </w:p>
        </w:tc>
        <w:tc>
          <w:tcPr>
            <w:tcW w:w="385" w:type="pct"/>
            <w:vAlign w:val="center"/>
          </w:tcPr>
          <w:p w14:paraId="54832102">
            <w:pPr>
              <w:jc w:val="center"/>
              <w:textAlignment w:val="center"/>
              <w:rPr>
                <w:color w:val="auto"/>
                <w:highlight w:val="none"/>
              </w:rPr>
            </w:pPr>
            <w:r>
              <w:rPr>
                <w:rFonts w:hint="eastAsia" w:ascii="宋体" w:hAnsi="宋体" w:cs="宋体"/>
                <w:color w:val="auto"/>
                <w:kern w:val="0"/>
                <w:szCs w:val="21"/>
                <w:highlight w:val="none"/>
                <w:lang w:bidi="ar"/>
              </w:rPr>
              <w:t>56</w:t>
            </w:r>
          </w:p>
        </w:tc>
      </w:tr>
      <w:tr w14:paraId="6A292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2FB6571F">
            <w:pPr>
              <w:jc w:val="center"/>
              <w:rPr>
                <w:color w:val="auto"/>
                <w:highlight w:val="none"/>
              </w:rPr>
            </w:pPr>
            <w:r>
              <w:rPr>
                <w:rFonts w:hint="eastAsia" w:ascii="宋体" w:hAnsi="宋体" w:cs="宋体"/>
                <w:color w:val="auto"/>
                <w:highlight w:val="none"/>
              </w:rPr>
              <w:t>10</w:t>
            </w:r>
          </w:p>
        </w:tc>
        <w:tc>
          <w:tcPr>
            <w:tcW w:w="782" w:type="pct"/>
            <w:vAlign w:val="center"/>
          </w:tcPr>
          <w:p w14:paraId="0138FD55">
            <w:pPr>
              <w:jc w:val="center"/>
              <w:rPr>
                <w:color w:val="auto"/>
                <w:highlight w:val="none"/>
              </w:rPr>
            </w:pPr>
            <w:r>
              <w:rPr>
                <w:rFonts w:hint="eastAsia" w:ascii="宋体" w:hAnsi="宋体" w:cs="宋体"/>
                <w:color w:val="auto"/>
                <w:highlight w:val="none"/>
              </w:rPr>
              <w:t>急停控制软件系统装置</w:t>
            </w:r>
          </w:p>
        </w:tc>
        <w:tc>
          <w:tcPr>
            <w:tcW w:w="3079" w:type="pct"/>
            <w:vAlign w:val="center"/>
          </w:tcPr>
          <w:p w14:paraId="025B5AC8">
            <w:pPr>
              <w:rPr>
                <w:color w:val="auto"/>
                <w:highlight w:val="none"/>
              </w:rPr>
            </w:pPr>
            <w:r>
              <w:rPr>
                <w:rFonts w:hint="eastAsia" w:ascii="宋体" w:hAnsi="宋体" w:cs="宋体"/>
                <w:color w:val="auto"/>
                <w:highlight w:val="none"/>
              </w:rPr>
              <w:t>采用独立控制软件控制，通过急停按钮给出信号源，由智能控制软件自动处理分析。防止在操作实验过程中水、电系统出现故障时紧急制动及摇臂升降过程紧急制动，确保操作安全可靠性。</w:t>
            </w:r>
          </w:p>
        </w:tc>
        <w:tc>
          <w:tcPr>
            <w:tcW w:w="384" w:type="pct"/>
            <w:vAlign w:val="center"/>
          </w:tcPr>
          <w:p w14:paraId="05B66747">
            <w:pPr>
              <w:jc w:val="center"/>
              <w:rPr>
                <w:color w:val="auto"/>
                <w:highlight w:val="none"/>
              </w:rPr>
            </w:pPr>
            <w:r>
              <w:rPr>
                <w:rFonts w:hint="eastAsia" w:ascii="宋体" w:hAnsi="宋体" w:cs="宋体"/>
                <w:color w:val="auto"/>
                <w:highlight w:val="none"/>
              </w:rPr>
              <w:t>个</w:t>
            </w:r>
          </w:p>
        </w:tc>
        <w:tc>
          <w:tcPr>
            <w:tcW w:w="385" w:type="pct"/>
            <w:vAlign w:val="center"/>
          </w:tcPr>
          <w:p w14:paraId="41A4CBBF">
            <w:pPr>
              <w:jc w:val="center"/>
              <w:textAlignment w:val="center"/>
              <w:rPr>
                <w:color w:val="auto"/>
                <w:highlight w:val="none"/>
              </w:rPr>
            </w:pPr>
            <w:r>
              <w:rPr>
                <w:rFonts w:hint="eastAsia" w:ascii="宋体" w:hAnsi="宋体" w:cs="宋体"/>
                <w:color w:val="auto"/>
                <w:kern w:val="0"/>
                <w:szCs w:val="21"/>
                <w:highlight w:val="none"/>
                <w:lang w:bidi="ar"/>
              </w:rPr>
              <w:t>28</w:t>
            </w:r>
          </w:p>
        </w:tc>
      </w:tr>
      <w:tr w14:paraId="279C9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48723CE5">
            <w:pPr>
              <w:jc w:val="center"/>
              <w:rPr>
                <w:color w:val="auto"/>
                <w:highlight w:val="none"/>
              </w:rPr>
            </w:pPr>
            <w:r>
              <w:rPr>
                <w:rFonts w:hint="eastAsia" w:ascii="宋体" w:hAnsi="宋体" w:cs="宋体"/>
                <w:color w:val="auto"/>
                <w:highlight w:val="none"/>
              </w:rPr>
              <w:t>11</w:t>
            </w:r>
          </w:p>
        </w:tc>
        <w:tc>
          <w:tcPr>
            <w:tcW w:w="782" w:type="pct"/>
            <w:vAlign w:val="center"/>
          </w:tcPr>
          <w:p w14:paraId="6197056A">
            <w:pPr>
              <w:jc w:val="center"/>
              <w:rPr>
                <w:color w:val="auto"/>
                <w:highlight w:val="none"/>
              </w:rPr>
            </w:pPr>
            <w:r>
              <w:rPr>
                <w:rFonts w:hint="eastAsia" w:ascii="宋体" w:hAnsi="宋体" w:cs="宋体"/>
                <w:color w:val="auto"/>
                <w:highlight w:val="none"/>
              </w:rPr>
              <w:t>模块化供电线路</w:t>
            </w:r>
          </w:p>
        </w:tc>
        <w:tc>
          <w:tcPr>
            <w:tcW w:w="3079" w:type="pct"/>
            <w:vAlign w:val="center"/>
          </w:tcPr>
          <w:p w14:paraId="79B7A6BF">
            <w:pPr>
              <w:rPr>
                <w:color w:val="auto"/>
                <w:highlight w:val="none"/>
              </w:rPr>
            </w:pPr>
            <w:r>
              <w:rPr>
                <w:rFonts w:hint="eastAsia" w:ascii="宋体" w:hAnsi="宋体" w:cs="宋体"/>
                <w:color w:val="auto"/>
                <w:highlight w:val="none"/>
              </w:rPr>
              <w:t>信号屏蔽线及电源线采取集数化设计，电线进行系统布线。每组模块间采用活接式连接，方便安装、故障排除、检修。</w:t>
            </w:r>
          </w:p>
        </w:tc>
        <w:tc>
          <w:tcPr>
            <w:tcW w:w="384" w:type="pct"/>
            <w:vAlign w:val="center"/>
          </w:tcPr>
          <w:p w14:paraId="1584D52A">
            <w:pPr>
              <w:jc w:val="center"/>
              <w:rPr>
                <w:color w:val="auto"/>
                <w:highlight w:val="none"/>
              </w:rPr>
            </w:pPr>
            <w:r>
              <w:rPr>
                <w:rFonts w:hint="eastAsia" w:ascii="宋体" w:hAnsi="宋体" w:cs="宋体"/>
                <w:color w:val="auto"/>
                <w:highlight w:val="none"/>
              </w:rPr>
              <w:t>套</w:t>
            </w:r>
          </w:p>
        </w:tc>
        <w:tc>
          <w:tcPr>
            <w:tcW w:w="385" w:type="pct"/>
            <w:vAlign w:val="center"/>
          </w:tcPr>
          <w:p w14:paraId="23F275C4">
            <w:pPr>
              <w:jc w:val="center"/>
              <w:textAlignment w:val="center"/>
              <w:rPr>
                <w:color w:val="auto"/>
                <w:highlight w:val="none"/>
              </w:rPr>
            </w:pPr>
            <w:r>
              <w:rPr>
                <w:rFonts w:hint="eastAsia" w:ascii="宋体" w:hAnsi="宋体" w:cs="宋体"/>
                <w:color w:val="auto"/>
                <w:kern w:val="0"/>
                <w:szCs w:val="21"/>
                <w:highlight w:val="none"/>
                <w:lang w:bidi="ar"/>
              </w:rPr>
              <w:t>28</w:t>
            </w:r>
          </w:p>
        </w:tc>
      </w:tr>
      <w:tr w14:paraId="465DA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3DF11F57">
            <w:pPr>
              <w:jc w:val="center"/>
              <w:rPr>
                <w:color w:val="auto"/>
                <w:highlight w:val="none"/>
              </w:rPr>
            </w:pPr>
            <w:r>
              <w:rPr>
                <w:rFonts w:hint="eastAsia" w:ascii="宋体" w:hAnsi="宋体" w:cs="宋体"/>
                <w:color w:val="auto"/>
                <w:highlight w:val="none"/>
              </w:rPr>
              <w:t>12</w:t>
            </w:r>
          </w:p>
        </w:tc>
        <w:tc>
          <w:tcPr>
            <w:tcW w:w="782" w:type="pct"/>
            <w:vAlign w:val="center"/>
          </w:tcPr>
          <w:p w14:paraId="664C15E2">
            <w:pPr>
              <w:jc w:val="center"/>
              <w:rPr>
                <w:color w:val="auto"/>
                <w:highlight w:val="none"/>
              </w:rPr>
            </w:pPr>
            <w:r>
              <w:rPr>
                <w:rFonts w:hint="eastAsia" w:ascii="宋体" w:hAnsi="宋体" w:cs="宋体"/>
                <w:color w:val="auto"/>
                <w:highlight w:val="none"/>
              </w:rPr>
              <w:t>智能照明控制软件系统装置</w:t>
            </w:r>
          </w:p>
        </w:tc>
        <w:tc>
          <w:tcPr>
            <w:tcW w:w="3079" w:type="pct"/>
            <w:vAlign w:val="center"/>
          </w:tcPr>
          <w:p w14:paraId="0FF071AC">
            <w:pPr>
              <w:rPr>
                <w:color w:val="auto"/>
                <w:highlight w:val="none"/>
              </w:rPr>
            </w:pPr>
            <w:r>
              <w:rPr>
                <w:rFonts w:hint="eastAsia" w:ascii="宋体" w:hAnsi="宋体" w:cs="宋体"/>
                <w:color w:val="auto"/>
                <w:highlight w:val="none"/>
              </w:rPr>
              <w:t>采用4个不低于460*70mm标准LED吸顶模组，灯板采用不低于2.0mm厚pc光扩散板，扩大了发光面，使光线变的柔和，达到匀光而又透光，同时满足各种雾度值和透光率的需求。及在保证高透光率，降低光衰的情况下，有着良好的光源遮蔽性效果，符合视觉工效学原则及室内工作场所照明。模块化安装，维修便捷。所有灯光模组由独立控制软件系统控制，可以根据实际照明需求进行4个模组单个关闭及开启功能。</w:t>
            </w:r>
          </w:p>
        </w:tc>
        <w:tc>
          <w:tcPr>
            <w:tcW w:w="384" w:type="pct"/>
            <w:vAlign w:val="center"/>
          </w:tcPr>
          <w:p w14:paraId="16457C8C">
            <w:pPr>
              <w:jc w:val="center"/>
              <w:rPr>
                <w:color w:val="auto"/>
                <w:highlight w:val="none"/>
              </w:rPr>
            </w:pPr>
            <w:r>
              <w:rPr>
                <w:rFonts w:hint="eastAsia" w:ascii="宋体" w:hAnsi="宋体" w:cs="宋体"/>
                <w:color w:val="auto"/>
                <w:highlight w:val="none"/>
              </w:rPr>
              <w:t>套</w:t>
            </w:r>
          </w:p>
        </w:tc>
        <w:tc>
          <w:tcPr>
            <w:tcW w:w="385" w:type="pct"/>
            <w:vAlign w:val="center"/>
          </w:tcPr>
          <w:p w14:paraId="02C7CF05">
            <w:pPr>
              <w:jc w:val="center"/>
              <w:textAlignment w:val="center"/>
              <w:rPr>
                <w:color w:val="auto"/>
                <w:highlight w:val="none"/>
              </w:rPr>
            </w:pPr>
            <w:r>
              <w:rPr>
                <w:rFonts w:hint="eastAsia" w:ascii="宋体" w:hAnsi="宋体" w:cs="宋体"/>
                <w:color w:val="auto"/>
                <w:kern w:val="0"/>
                <w:szCs w:val="21"/>
                <w:highlight w:val="none"/>
                <w:lang w:bidi="ar"/>
              </w:rPr>
              <w:t>32</w:t>
            </w:r>
          </w:p>
        </w:tc>
      </w:tr>
      <w:tr w14:paraId="69D5E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114B823A">
            <w:pPr>
              <w:jc w:val="center"/>
              <w:rPr>
                <w:color w:val="auto"/>
                <w:highlight w:val="none"/>
              </w:rPr>
            </w:pPr>
            <w:r>
              <w:rPr>
                <w:rFonts w:hint="eastAsia" w:ascii="宋体" w:hAnsi="宋体" w:cs="宋体"/>
                <w:color w:val="auto"/>
                <w:highlight w:val="none"/>
              </w:rPr>
              <w:t>13</w:t>
            </w:r>
          </w:p>
        </w:tc>
        <w:tc>
          <w:tcPr>
            <w:tcW w:w="782" w:type="pct"/>
            <w:vAlign w:val="center"/>
          </w:tcPr>
          <w:p w14:paraId="18CF9E40">
            <w:pPr>
              <w:jc w:val="center"/>
              <w:rPr>
                <w:color w:val="auto"/>
                <w:highlight w:val="none"/>
              </w:rPr>
            </w:pPr>
            <w:r>
              <w:rPr>
                <w:rFonts w:hint="eastAsia" w:ascii="宋体" w:hAnsi="宋体" w:cs="宋体"/>
                <w:color w:val="auto"/>
                <w:highlight w:val="none"/>
              </w:rPr>
              <w:t>自动给排水软件控制系统</w:t>
            </w:r>
          </w:p>
        </w:tc>
        <w:tc>
          <w:tcPr>
            <w:tcW w:w="3079" w:type="pct"/>
            <w:vAlign w:val="center"/>
          </w:tcPr>
          <w:p w14:paraId="6FF6B30C">
            <w:pPr>
              <w:rPr>
                <w:rFonts w:hint="eastAsia" w:ascii="宋体" w:hAnsi="宋体" w:cs="宋体"/>
                <w:color w:val="auto"/>
                <w:highlight w:val="none"/>
              </w:rPr>
            </w:pPr>
            <w:r>
              <w:rPr>
                <w:rFonts w:hint="eastAsia" w:ascii="宋体" w:hAnsi="宋体" w:cs="宋体"/>
                <w:color w:val="auto"/>
                <w:highlight w:val="none"/>
              </w:rPr>
              <w:t>自动排水模块1组、水模拟量控制器1组、电源控制器1套、自动保护系统1组。</w:t>
            </w:r>
          </w:p>
          <w:p w14:paraId="663FBD3B">
            <w:pPr>
              <w:rPr>
                <w:color w:val="auto"/>
                <w:highlight w:val="none"/>
              </w:rPr>
            </w:pPr>
            <w:r>
              <w:rPr>
                <w:rFonts w:hint="eastAsia" w:ascii="宋体" w:hAnsi="宋体" w:cs="宋体"/>
                <w:color w:val="auto"/>
                <w:highlight w:val="none"/>
              </w:rPr>
              <w:t>所有排水由智能化控制系统集中控制，三联高低位龙头处设置排水接口，接口与学生水槽柜采用优质硅胶软管（具有防酸、防碱、耐腐蚀功能）连接，接口均采用自动锁紧插拔式连接方式（拔掉时没有污水流出），用时接上，不用时可收起。当学生水槽柜量达到一定值时系统自动排水、污水经过连接管排至顶部排水管总管后流出，当水槽柜污水排净后排水系统自动关闭。控制系统设置一键排空功能，可一键将管道内所有的污水排空。</w:t>
            </w:r>
          </w:p>
        </w:tc>
        <w:tc>
          <w:tcPr>
            <w:tcW w:w="384" w:type="pct"/>
            <w:vAlign w:val="center"/>
          </w:tcPr>
          <w:p w14:paraId="364B7399">
            <w:pPr>
              <w:jc w:val="center"/>
              <w:rPr>
                <w:color w:val="auto"/>
                <w:highlight w:val="none"/>
              </w:rPr>
            </w:pPr>
            <w:r>
              <w:rPr>
                <w:rFonts w:hint="eastAsia" w:ascii="宋体" w:hAnsi="宋体" w:cs="宋体"/>
                <w:color w:val="auto"/>
                <w:highlight w:val="none"/>
              </w:rPr>
              <w:t>套</w:t>
            </w:r>
          </w:p>
        </w:tc>
        <w:tc>
          <w:tcPr>
            <w:tcW w:w="385" w:type="pct"/>
            <w:vAlign w:val="center"/>
          </w:tcPr>
          <w:p w14:paraId="079E9565">
            <w:pPr>
              <w:jc w:val="center"/>
              <w:textAlignment w:val="center"/>
              <w:rPr>
                <w:color w:val="auto"/>
                <w:highlight w:val="none"/>
              </w:rPr>
            </w:pPr>
            <w:r>
              <w:rPr>
                <w:rFonts w:hint="eastAsia" w:ascii="宋体" w:hAnsi="宋体" w:cs="宋体"/>
                <w:color w:val="auto"/>
                <w:kern w:val="0"/>
                <w:szCs w:val="21"/>
                <w:highlight w:val="none"/>
                <w:lang w:bidi="ar"/>
              </w:rPr>
              <w:t>28</w:t>
            </w:r>
          </w:p>
        </w:tc>
      </w:tr>
      <w:tr w14:paraId="30503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4EA09380">
            <w:pPr>
              <w:jc w:val="center"/>
              <w:rPr>
                <w:color w:val="auto"/>
                <w:highlight w:val="none"/>
              </w:rPr>
            </w:pPr>
            <w:r>
              <w:rPr>
                <w:rFonts w:hint="eastAsia" w:ascii="宋体" w:hAnsi="宋体" w:cs="宋体"/>
                <w:color w:val="auto"/>
                <w:highlight w:val="none"/>
              </w:rPr>
              <w:t>14</w:t>
            </w:r>
          </w:p>
        </w:tc>
        <w:tc>
          <w:tcPr>
            <w:tcW w:w="782" w:type="pct"/>
            <w:vAlign w:val="center"/>
          </w:tcPr>
          <w:p w14:paraId="01478692">
            <w:pPr>
              <w:jc w:val="center"/>
              <w:rPr>
                <w:color w:val="auto"/>
                <w:highlight w:val="none"/>
              </w:rPr>
            </w:pPr>
            <w:r>
              <w:rPr>
                <w:rFonts w:hint="eastAsia" w:ascii="宋体" w:hAnsi="宋体" w:cs="宋体"/>
                <w:color w:val="auto"/>
                <w:highlight w:val="none"/>
              </w:rPr>
              <w:t>自动给排水接口</w:t>
            </w:r>
          </w:p>
        </w:tc>
        <w:tc>
          <w:tcPr>
            <w:tcW w:w="3079" w:type="pct"/>
            <w:vAlign w:val="center"/>
          </w:tcPr>
          <w:p w14:paraId="30024630">
            <w:pPr>
              <w:rPr>
                <w:color w:val="auto"/>
                <w:highlight w:val="none"/>
              </w:rPr>
            </w:pPr>
            <w:r>
              <w:rPr>
                <w:rFonts w:hint="eastAsia" w:ascii="宋体" w:hAnsi="宋体" w:cs="宋体"/>
                <w:color w:val="auto"/>
                <w:highlight w:val="none"/>
              </w:rPr>
              <w:t>接收智能化控制系统控制，功能面板采用钢制面板，每组功能板上预留不锈钢快速给排水接口1对。并配置配套给排水软管2根。快速给水接口厚≥3mm，304不锈钢材质，带自动止水功能，快速排水接口采用PP材质专用接口。</w:t>
            </w:r>
          </w:p>
        </w:tc>
        <w:tc>
          <w:tcPr>
            <w:tcW w:w="384" w:type="pct"/>
            <w:vAlign w:val="center"/>
          </w:tcPr>
          <w:p w14:paraId="624B6D4A">
            <w:pPr>
              <w:jc w:val="center"/>
              <w:rPr>
                <w:color w:val="auto"/>
                <w:highlight w:val="none"/>
              </w:rPr>
            </w:pPr>
            <w:r>
              <w:rPr>
                <w:rFonts w:hint="eastAsia" w:ascii="宋体" w:hAnsi="宋体" w:cs="宋体"/>
                <w:color w:val="auto"/>
                <w:highlight w:val="none"/>
              </w:rPr>
              <w:t>套</w:t>
            </w:r>
          </w:p>
        </w:tc>
        <w:tc>
          <w:tcPr>
            <w:tcW w:w="385" w:type="pct"/>
            <w:vAlign w:val="center"/>
          </w:tcPr>
          <w:p w14:paraId="02AC8AAA">
            <w:pPr>
              <w:jc w:val="center"/>
              <w:textAlignment w:val="center"/>
              <w:rPr>
                <w:color w:val="auto"/>
                <w:highlight w:val="none"/>
              </w:rPr>
            </w:pPr>
            <w:r>
              <w:rPr>
                <w:rFonts w:hint="eastAsia" w:ascii="宋体" w:hAnsi="宋体" w:cs="宋体"/>
                <w:color w:val="auto"/>
                <w:kern w:val="0"/>
                <w:szCs w:val="21"/>
                <w:highlight w:val="none"/>
                <w:lang w:bidi="ar"/>
              </w:rPr>
              <w:t>28</w:t>
            </w:r>
          </w:p>
        </w:tc>
      </w:tr>
      <w:tr w14:paraId="6DB36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116FFFD5">
            <w:pPr>
              <w:jc w:val="center"/>
              <w:rPr>
                <w:color w:val="auto"/>
                <w:highlight w:val="none"/>
              </w:rPr>
            </w:pPr>
            <w:r>
              <w:rPr>
                <w:rFonts w:hint="eastAsia" w:ascii="宋体" w:hAnsi="宋体" w:cs="宋体"/>
                <w:color w:val="auto"/>
                <w:highlight w:val="none"/>
              </w:rPr>
              <w:t>15</w:t>
            </w:r>
          </w:p>
        </w:tc>
        <w:tc>
          <w:tcPr>
            <w:tcW w:w="782" w:type="pct"/>
            <w:vAlign w:val="center"/>
          </w:tcPr>
          <w:p w14:paraId="10B640CF">
            <w:pPr>
              <w:jc w:val="center"/>
              <w:rPr>
                <w:color w:val="auto"/>
                <w:highlight w:val="none"/>
              </w:rPr>
            </w:pPr>
            <w:r>
              <w:rPr>
                <w:rFonts w:hint="eastAsia" w:ascii="宋体" w:hAnsi="宋体" w:cs="宋体"/>
                <w:color w:val="auto"/>
                <w:highlight w:val="none"/>
              </w:rPr>
              <w:t>给水布管</w:t>
            </w:r>
          </w:p>
        </w:tc>
        <w:tc>
          <w:tcPr>
            <w:tcW w:w="3079" w:type="pct"/>
            <w:vAlign w:val="center"/>
          </w:tcPr>
          <w:p w14:paraId="3AE1020B">
            <w:pPr>
              <w:rPr>
                <w:color w:val="auto"/>
                <w:highlight w:val="none"/>
              </w:rPr>
            </w:pPr>
            <w:r>
              <w:rPr>
                <w:rFonts w:hint="eastAsia" w:ascii="宋体" w:hAnsi="宋体" w:cs="宋体"/>
                <w:color w:val="auto"/>
                <w:highlight w:val="none"/>
              </w:rPr>
              <w:t>给水主管选用φ20-32mmPP-R给水管，模块化设计，每组模块间采用活接式连接，方便安装、检修。</w:t>
            </w:r>
          </w:p>
        </w:tc>
        <w:tc>
          <w:tcPr>
            <w:tcW w:w="384" w:type="pct"/>
            <w:vAlign w:val="center"/>
          </w:tcPr>
          <w:p w14:paraId="6518265A">
            <w:pPr>
              <w:jc w:val="center"/>
              <w:rPr>
                <w:color w:val="auto"/>
                <w:highlight w:val="none"/>
              </w:rPr>
            </w:pPr>
            <w:r>
              <w:rPr>
                <w:rFonts w:hint="eastAsia" w:ascii="宋体" w:hAnsi="宋体" w:cs="宋体"/>
                <w:color w:val="auto"/>
                <w:highlight w:val="none"/>
              </w:rPr>
              <w:t>项</w:t>
            </w:r>
          </w:p>
        </w:tc>
        <w:tc>
          <w:tcPr>
            <w:tcW w:w="385" w:type="pct"/>
            <w:vAlign w:val="center"/>
          </w:tcPr>
          <w:p w14:paraId="6A843A09">
            <w:pPr>
              <w:jc w:val="center"/>
              <w:textAlignment w:val="center"/>
              <w:rPr>
                <w:color w:val="auto"/>
                <w:highlight w:val="none"/>
              </w:rPr>
            </w:pPr>
            <w:r>
              <w:rPr>
                <w:rFonts w:hint="eastAsia" w:ascii="宋体" w:hAnsi="宋体" w:cs="宋体"/>
                <w:color w:val="auto"/>
                <w:kern w:val="0"/>
                <w:szCs w:val="21"/>
                <w:highlight w:val="none"/>
                <w:lang w:bidi="ar"/>
              </w:rPr>
              <w:t>2</w:t>
            </w:r>
          </w:p>
        </w:tc>
      </w:tr>
      <w:tr w14:paraId="3A205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16B61810">
            <w:pPr>
              <w:jc w:val="center"/>
              <w:rPr>
                <w:color w:val="auto"/>
                <w:highlight w:val="none"/>
              </w:rPr>
            </w:pPr>
            <w:r>
              <w:rPr>
                <w:rFonts w:hint="eastAsia" w:ascii="宋体" w:hAnsi="宋体" w:cs="宋体"/>
                <w:color w:val="auto"/>
                <w:highlight w:val="none"/>
              </w:rPr>
              <w:t>16</w:t>
            </w:r>
          </w:p>
        </w:tc>
        <w:tc>
          <w:tcPr>
            <w:tcW w:w="782" w:type="pct"/>
            <w:vAlign w:val="center"/>
          </w:tcPr>
          <w:p w14:paraId="62C5E478">
            <w:pPr>
              <w:jc w:val="center"/>
              <w:rPr>
                <w:color w:val="auto"/>
                <w:highlight w:val="none"/>
              </w:rPr>
            </w:pPr>
            <w:r>
              <w:rPr>
                <w:rFonts w:hint="eastAsia" w:ascii="宋体" w:hAnsi="宋体" w:cs="宋体"/>
                <w:color w:val="auto"/>
                <w:highlight w:val="none"/>
              </w:rPr>
              <w:t>排水布管</w:t>
            </w:r>
          </w:p>
        </w:tc>
        <w:tc>
          <w:tcPr>
            <w:tcW w:w="3079" w:type="pct"/>
            <w:vAlign w:val="center"/>
          </w:tcPr>
          <w:p w14:paraId="5CDAB472">
            <w:pPr>
              <w:rPr>
                <w:color w:val="auto"/>
                <w:highlight w:val="none"/>
              </w:rPr>
            </w:pPr>
            <w:r>
              <w:rPr>
                <w:rFonts w:hint="eastAsia" w:ascii="宋体" w:hAnsi="宋体" w:cs="宋体"/>
                <w:color w:val="auto"/>
                <w:highlight w:val="none"/>
              </w:rPr>
              <w:t>排水管选用加厚φ50-75mmPVC-U国标管（具有防酸、防碱、耐腐蚀功能），模块化设计，每组模块间采用活接式连接，方便安装、检修。</w:t>
            </w:r>
          </w:p>
        </w:tc>
        <w:tc>
          <w:tcPr>
            <w:tcW w:w="384" w:type="pct"/>
            <w:vAlign w:val="center"/>
          </w:tcPr>
          <w:p w14:paraId="4D4965FC">
            <w:pPr>
              <w:jc w:val="center"/>
              <w:rPr>
                <w:color w:val="auto"/>
                <w:highlight w:val="none"/>
              </w:rPr>
            </w:pPr>
            <w:r>
              <w:rPr>
                <w:rFonts w:hint="eastAsia" w:ascii="宋体" w:hAnsi="宋体" w:cs="宋体"/>
                <w:color w:val="auto"/>
                <w:highlight w:val="none"/>
              </w:rPr>
              <w:t>项</w:t>
            </w:r>
          </w:p>
        </w:tc>
        <w:tc>
          <w:tcPr>
            <w:tcW w:w="385" w:type="pct"/>
            <w:vAlign w:val="center"/>
          </w:tcPr>
          <w:p w14:paraId="13DA55F5">
            <w:pPr>
              <w:jc w:val="center"/>
              <w:textAlignment w:val="center"/>
              <w:rPr>
                <w:color w:val="auto"/>
                <w:highlight w:val="none"/>
              </w:rPr>
            </w:pPr>
            <w:r>
              <w:rPr>
                <w:rFonts w:hint="eastAsia" w:ascii="宋体" w:hAnsi="宋体" w:cs="宋体"/>
                <w:color w:val="auto"/>
                <w:kern w:val="0"/>
                <w:szCs w:val="21"/>
                <w:highlight w:val="none"/>
                <w:lang w:bidi="ar"/>
              </w:rPr>
              <w:t>2</w:t>
            </w:r>
          </w:p>
        </w:tc>
      </w:tr>
      <w:tr w14:paraId="06A61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04BFF691">
            <w:pPr>
              <w:jc w:val="center"/>
              <w:rPr>
                <w:color w:val="auto"/>
                <w:highlight w:val="none"/>
              </w:rPr>
            </w:pPr>
            <w:r>
              <w:rPr>
                <w:rFonts w:hint="eastAsia" w:ascii="宋体" w:hAnsi="宋体" w:cs="宋体"/>
                <w:color w:val="auto"/>
                <w:highlight w:val="none"/>
              </w:rPr>
              <w:t>17</w:t>
            </w:r>
          </w:p>
        </w:tc>
        <w:tc>
          <w:tcPr>
            <w:tcW w:w="782" w:type="pct"/>
            <w:vAlign w:val="center"/>
          </w:tcPr>
          <w:p w14:paraId="5362C003">
            <w:pPr>
              <w:jc w:val="center"/>
              <w:rPr>
                <w:color w:val="auto"/>
                <w:highlight w:val="none"/>
              </w:rPr>
            </w:pPr>
            <w:r>
              <w:rPr>
                <w:rFonts w:hint="eastAsia" w:ascii="宋体" w:hAnsi="宋体" w:cs="宋体"/>
                <w:color w:val="auto"/>
                <w:highlight w:val="none"/>
              </w:rPr>
              <w:t>吊装系统集成服务</w:t>
            </w:r>
          </w:p>
        </w:tc>
        <w:tc>
          <w:tcPr>
            <w:tcW w:w="3079" w:type="pct"/>
            <w:vAlign w:val="center"/>
          </w:tcPr>
          <w:p w14:paraId="0E6D1ACB">
            <w:pPr>
              <w:rPr>
                <w:rFonts w:hint="eastAsia" w:ascii="宋体" w:hAnsi="宋体" w:cs="宋体"/>
                <w:color w:val="auto"/>
                <w:highlight w:val="none"/>
              </w:rPr>
            </w:pPr>
            <w:r>
              <w:rPr>
                <w:rFonts w:hint="eastAsia" w:ascii="宋体" w:hAnsi="宋体" w:cs="宋体"/>
                <w:color w:val="auto"/>
                <w:highlight w:val="none"/>
              </w:rPr>
              <w:t>1.吊顶式安装系统采用模块化结构设计，采用吊装安装方式，包括但不限于教室电路、灯具照明、顶面、墙面氛围处理。</w:t>
            </w:r>
          </w:p>
          <w:p w14:paraId="0AA9A036">
            <w:pPr>
              <w:rPr>
                <w:rFonts w:hint="eastAsia" w:ascii="宋体" w:hAnsi="宋体" w:cs="宋体"/>
                <w:color w:val="auto"/>
                <w:highlight w:val="none"/>
              </w:rPr>
            </w:pPr>
            <w:r>
              <w:rPr>
                <w:rFonts w:hint="eastAsia" w:ascii="宋体" w:hAnsi="宋体" w:cs="宋体"/>
                <w:color w:val="auto"/>
                <w:highlight w:val="none"/>
              </w:rPr>
              <w:t>2.系统结构安装调试。</w:t>
            </w:r>
          </w:p>
          <w:p w14:paraId="2873EF84">
            <w:pPr>
              <w:rPr>
                <w:rFonts w:hint="eastAsia" w:ascii="宋体" w:hAnsi="宋体" w:cs="宋体"/>
                <w:color w:val="auto"/>
                <w:highlight w:val="none"/>
              </w:rPr>
            </w:pPr>
            <w:r>
              <w:rPr>
                <w:rFonts w:hint="eastAsia" w:ascii="宋体" w:hAnsi="宋体" w:cs="宋体"/>
                <w:color w:val="auto"/>
                <w:highlight w:val="none"/>
              </w:rPr>
              <w:t>3.系统控制安装调试。</w:t>
            </w:r>
          </w:p>
          <w:p w14:paraId="02B861C4">
            <w:pPr>
              <w:rPr>
                <w:rFonts w:hint="eastAsia" w:ascii="宋体" w:hAnsi="宋体" w:cs="宋体"/>
                <w:color w:val="auto"/>
                <w:highlight w:val="none"/>
              </w:rPr>
            </w:pPr>
            <w:r>
              <w:rPr>
                <w:rFonts w:hint="eastAsia" w:ascii="宋体" w:hAnsi="宋体" w:cs="宋体"/>
                <w:color w:val="auto"/>
                <w:highlight w:val="none"/>
              </w:rPr>
              <w:t>4.供电系统安装调试。</w:t>
            </w:r>
          </w:p>
          <w:p w14:paraId="768B4244">
            <w:pPr>
              <w:rPr>
                <w:color w:val="auto"/>
                <w:highlight w:val="none"/>
              </w:rPr>
            </w:pPr>
            <w:r>
              <w:rPr>
                <w:rFonts w:hint="eastAsia" w:ascii="宋体" w:hAnsi="宋体" w:cs="宋体"/>
                <w:color w:val="auto"/>
                <w:highlight w:val="none"/>
              </w:rPr>
              <w:t>5.照明系统安装调试。</w:t>
            </w:r>
          </w:p>
        </w:tc>
        <w:tc>
          <w:tcPr>
            <w:tcW w:w="384" w:type="pct"/>
            <w:vAlign w:val="center"/>
          </w:tcPr>
          <w:p w14:paraId="577A0F09">
            <w:pPr>
              <w:jc w:val="center"/>
              <w:rPr>
                <w:color w:val="auto"/>
                <w:highlight w:val="none"/>
              </w:rPr>
            </w:pPr>
            <w:r>
              <w:rPr>
                <w:rFonts w:hint="eastAsia" w:ascii="宋体" w:hAnsi="宋体" w:cs="宋体"/>
                <w:color w:val="auto"/>
                <w:highlight w:val="none"/>
              </w:rPr>
              <w:t>项</w:t>
            </w:r>
          </w:p>
        </w:tc>
        <w:tc>
          <w:tcPr>
            <w:tcW w:w="385" w:type="pct"/>
            <w:vAlign w:val="center"/>
          </w:tcPr>
          <w:p w14:paraId="009F9F12">
            <w:pPr>
              <w:jc w:val="center"/>
              <w:textAlignment w:val="center"/>
              <w:rPr>
                <w:color w:val="auto"/>
                <w:highlight w:val="none"/>
              </w:rPr>
            </w:pPr>
            <w:r>
              <w:rPr>
                <w:rFonts w:hint="eastAsia" w:ascii="宋体" w:hAnsi="宋体" w:cs="宋体"/>
                <w:color w:val="auto"/>
                <w:kern w:val="0"/>
                <w:szCs w:val="21"/>
                <w:highlight w:val="none"/>
                <w:lang w:bidi="ar"/>
              </w:rPr>
              <w:t>2</w:t>
            </w:r>
          </w:p>
        </w:tc>
      </w:tr>
      <w:tr w14:paraId="35F14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2DD9C323">
            <w:pPr>
              <w:jc w:val="center"/>
              <w:rPr>
                <w:color w:val="auto"/>
                <w:highlight w:val="none"/>
              </w:rPr>
            </w:pPr>
            <w:r>
              <w:rPr>
                <w:rFonts w:hint="eastAsia" w:ascii="宋体" w:hAnsi="宋体" w:cs="宋体"/>
                <w:color w:val="auto"/>
                <w:highlight w:val="none"/>
              </w:rPr>
              <w:t>18</w:t>
            </w:r>
          </w:p>
        </w:tc>
        <w:tc>
          <w:tcPr>
            <w:tcW w:w="782" w:type="pct"/>
            <w:vAlign w:val="center"/>
          </w:tcPr>
          <w:p w14:paraId="161FF296">
            <w:pPr>
              <w:jc w:val="center"/>
              <w:rPr>
                <w:color w:val="auto"/>
                <w:highlight w:val="none"/>
              </w:rPr>
            </w:pPr>
            <w:r>
              <w:rPr>
                <w:rFonts w:hint="eastAsia" w:ascii="宋体" w:hAnsi="宋体" w:cs="宋体"/>
                <w:color w:val="auto"/>
                <w:highlight w:val="none"/>
              </w:rPr>
              <w:t>系统安装辅件</w:t>
            </w:r>
          </w:p>
        </w:tc>
        <w:tc>
          <w:tcPr>
            <w:tcW w:w="3079" w:type="pct"/>
            <w:vAlign w:val="center"/>
          </w:tcPr>
          <w:p w14:paraId="62AA2903">
            <w:pPr>
              <w:rPr>
                <w:color w:val="auto"/>
                <w:highlight w:val="none"/>
              </w:rPr>
            </w:pPr>
            <w:r>
              <w:rPr>
                <w:rFonts w:hint="eastAsia" w:ascii="宋体" w:hAnsi="宋体" w:cs="宋体"/>
                <w:color w:val="auto"/>
                <w:highlight w:val="none"/>
              </w:rPr>
              <w:t>采用型材吊装方式，减少楼板承重，防止左右晃动，可进行上下、左右的平衡调节。主要辅件有：型材、龙骨架连接件、高度调节结构等。</w:t>
            </w:r>
          </w:p>
        </w:tc>
        <w:tc>
          <w:tcPr>
            <w:tcW w:w="384" w:type="pct"/>
            <w:vAlign w:val="center"/>
          </w:tcPr>
          <w:p w14:paraId="34F44958">
            <w:pPr>
              <w:jc w:val="center"/>
              <w:rPr>
                <w:color w:val="auto"/>
                <w:highlight w:val="none"/>
              </w:rPr>
            </w:pPr>
            <w:r>
              <w:rPr>
                <w:rFonts w:hint="eastAsia" w:ascii="宋体" w:hAnsi="宋体" w:cs="宋体"/>
                <w:color w:val="auto"/>
                <w:highlight w:val="none"/>
              </w:rPr>
              <w:t>项</w:t>
            </w:r>
          </w:p>
        </w:tc>
        <w:tc>
          <w:tcPr>
            <w:tcW w:w="385" w:type="pct"/>
            <w:vAlign w:val="center"/>
          </w:tcPr>
          <w:p w14:paraId="1AAE90AF">
            <w:pPr>
              <w:jc w:val="center"/>
              <w:textAlignment w:val="center"/>
              <w:rPr>
                <w:color w:val="auto"/>
                <w:highlight w:val="none"/>
              </w:rPr>
            </w:pPr>
            <w:r>
              <w:rPr>
                <w:rFonts w:hint="eastAsia" w:ascii="宋体" w:hAnsi="宋体" w:cs="宋体"/>
                <w:color w:val="auto"/>
                <w:kern w:val="0"/>
                <w:szCs w:val="21"/>
                <w:highlight w:val="none"/>
                <w:lang w:bidi="ar"/>
              </w:rPr>
              <w:t>2</w:t>
            </w:r>
          </w:p>
        </w:tc>
      </w:tr>
      <w:tr w14:paraId="76389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5000" w:type="pct"/>
            <w:gridSpan w:val="5"/>
            <w:vAlign w:val="center"/>
          </w:tcPr>
          <w:p w14:paraId="04A2D7AC">
            <w:pPr>
              <w:jc w:val="center"/>
              <w:textAlignment w:val="center"/>
              <w:rPr>
                <w:rFonts w:hint="eastAsia" w:ascii="宋体" w:hAnsi="宋体" w:cs="宋体"/>
                <w:color w:val="auto"/>
                <w:highlight w:val="none"/>
              </w:rPr>
            </w:pPr>
            <w:r>
              <w:rPr>
                <w:rFonts w:hint="eastAsia" w:ascii="宋体" w:hAnsi="宋体" w:cs="宋体"/>
                <w:b/>
                <w:bCs/>
                <w:color w:val="auto"/>
                <w:highlight w:val="none"/>
              </w:rPr>
              <w:t>56座智能物理吊装系统*2套</w:t>
            </w:r>
          </w:p>
        </w:tc>
      </w:tr>
      <w:tr w14:paraId="2153A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736136EA">
            <w:pPr>
              <w:jc w:val="center"/>
              <w:rPr>
                <w:color w:val="auto"/>
                <w:highlight w:val="none"/>
              </w:rPr>
            </w:pPr>
            <w:r>
              <w:rPr>
                <w:rFonts w:hint="eastAsia" w:ascii="宋体" w:hAnsi="宋体" w:cs="宋体"/>
                <w:b/>
                <w:bCs/>
                <w:color w:val="auto"/>
                <w:highlight w:val="none"/>
              </w:rPr>
              <w:t>序号</w:t>
            </w:r>
          </w:p>
        </w:tc>
        <w:tc>
          <w:tcPr>
            <w:tcW w:w="782" w:type="pct"/>
            <w:vAlign w:val="center"/>
          </w:tcPr>
          <w:p w14:paraId="7384B74D">
            <w:pPr>
              <w:jc w:val="center"/>
              <w:rPr>
                <w:color w:val="auto"/>
                <w:highlight w:val="none"/>
              </w:rPr>
            </w:pPr>
            <w:r>
              <w:rPr>
                <w:rFonts w:hint="eastAsia" w:ascii="宋体" w:hAnsi="宋体" w:cs="宋体"/>
                <w:b/>
                <w:bCs/>
                <w:color w:val="auto"/>
                <w:highlight w:val="none"/>
              </w:rPr>
              <w:t>名称</w:t>
            </w:r>
          </w:p>
        </w:tc>
        <w:tc>
          <w:tcPr>
            <w:tcW w:w="3079" w:type="pct"/>
            <w:vAlign w:val="center"/>
          </w:tcPr>
          <w:p w14:paraId="4578EE66">
            <w:pPr>
              <w:jc w:val="center"/>
              <w:rPr>
                <w:color w:val="auto"/>
                <w:highlight w:val="none"/>
              </w:rPr>
            </w:pPr>
            <w:r>
              <w:rPr>
                <w:rFonts w:hint="eastAsia" w:ascii="宋体" w:hAnsi="宋体" w:cs="宋体"/>
                <w:b/>
                <w:bCs/>
                <w:color w:val="auto"/>
                <w:highlight w:val="none"/>
              </w:rPr>
              <w:t>一般性能及技术参数要求</w:t>
            </w:r>
          </w:p>
        </w:tc>
        <w:tc>
          <w:tcPr>
            <w:tcW w:w="384" w:type="pct"/>
            <w:vAlign w:val="center"/>
          </w:tcPr>
          <w:p w14:paraId="4B5E8869">
            <w:pPr>
              <w:jc w:val="center"/>
              <w:rPr>
                <w:color w:val="auto"/>
                <w:highlight w:val="none"/>
              </w:rPr>
            </w:pPr>
            <w:r>
              <w:rPr>
                <w:rFonts w:hint="eastAsia" w:ascii="宋体" w:hAnsi="宋体" w:cs="宋体"/>
                <w:b/>
                <w:bCs/>
                <w:color w:val="auto"/>
                <w:highlight w:val="none"/>
              </w:rPr>
              <w:t>单位</w:t>
            </w:r>
          </w:p>
        </w:tc>
        <w:tc>
          <w:tcPr>
            <w:tcW w:w="385" w:type="pct"/>
            <w:vAlign w:val="center"/>
          </w:tcPr>
          <w:p w14:paraId="04A3F752">
            <w:pPr>
              <w:jc w:val="center"/>
              <w:textAlignment w:val="center"/>
              <w:rPr>
                <w:color w:val="auto"/>
                <w:highlight w:val="none"/>
              </w:rPr>
            </w:pPr>
            <w:r>
              <w:rPr>
                <w:rFonts w:hint="eastAsia" w:ascii="宋体" w:hAnsi="宋体" w:cs="宋体"/>
                <w:b/>
                <w:bCs/>
                <w:color w:val="auto"/>
                <w:highlight w:val="none"/>
              </w:rPr>
              <w:t>数量</w:t>
            </w:r>
          </w:p>
        </w:tc>
      </w:tr>
      <w:tr w14:paraId="18548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21A33377">
            <w:pPr>
              <w:jc w:val="center"/>
              <w:rPr>
                <w:rFonts w:hint="eastAsia" w:ascii="宋体" w:hAnsi="宋体" w:cs="宋体"/>
                <w:b/>
                <w:bCs/>
                <w:color w:val="auto"/>
                <w:highlight w:val="none"/>
              </w:rPr>
            </w:pPr>
          </w:p>
        </w:tc>
        <w:tc>
          <w:tcPr>
            <w:tcW w:w="782" w:type="pct"/>
            <w:vAlign w:val="center"/>
          </w:tcPr>
          <w:p w14:paraId="0CFA2F7B">
            <w:pPr>
              <w:jc w:val="center"/>
              <w:rPr>
                <w:rFonts w:hint="eastAsia" w:ascii="宋体" w:hAnsi="宋体" w:cs="宋体"/>
                <w:b/>
                <w:bCs/>
                <w:color w:val="auto"/>
                <w:highlight w:val="none"/>
              </w:rPr>
            </w:pPr>
          </w:p>
        </w:tc>
        <w:tc>
          <w:tcPr>
            <w:tcW w:w="3079" w:type="pct"/>
            <w:vAlign w:val="center"/>
          </w:tcPr>
          <w:p w14:paraId="74FC2D97">
            <w:pPr>
              <w:jc w:val="center"/>
              <w:rPr>
                <w:rFonts w:hint="eastAsia" w:ascii="宋体" w:hAnsi="宋体" w:cs="宋体"/>
                <w:b/>
                <w:bCs/>
                <w:color w:val="auto"/>
                <w:highlight w:val="none"/>
              </w:rPr>
            </w:pPr>
            <w:r>
              <w:rPr>
                <w:rFonts w:hint="eastAsia" w:ascii="宋体" w:hAnsi="宋体" w:cs="宋体"/>
                <w:b/>
                <w:bCs/>
                <w:color w:val="auto"/>
                <w:highlight w:val="none"/>
              </w:rPr>
              <w:t>集成主控制软件系统</w:t>
            </w:r>
          </w:p>
        </w:tc>
        <w:tc>
          <w:tcPr>
            <w:tcW w:w="384" w:type="pct"/>
            <w:vAlign w:val="center"/>
          </w:tcPr>
          <w:p w14:paraId="096DE4A2">
            <w:pPr>
              <w:jc w:val="center"/>
              <w:rPr>
                <w:rFonts w:hint="eastAsia" w:ascii="宋体" w:hAnsi="宋体" w:cs="宋体"/>
                <w:b/>
                <w:bCs/>
                <w:color w:val="auto"/>
                <w:highlight w:val="none"/>
              </w:rPr>
            </w:pPr>
          </w:p>
        </w:tc>
        <w:tc>
          <w:tcPr>
            <w:tcW w:w="385" w:type="pct"/>
            <w:vAlign w:val="center"/>
          </w:tcPr>
          <w:p w14:paraId="57E8C82F">
            <w:pPr>
              <w:jc w:val="center"/>
              <w:textAlignment w:val="center"/>
              <w:rPr>
                <w:rFonts w:hint="eastAsia" w:ascii="宋体" w:hAnsi="宋体" w:cs="宋体"/>
                <w:b/>
                <w:bCs/>
                <w:color w:val="auto"/>
                <w:highlight w:val="none"/>
              </w:rPr>
            </w:pPr>
          </w:p>
        </w:tc>
      </w:tr>
      <w:tr w14:paraId="01484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7E10A5CA">
            <w:pPr>
              <w:jc w:val="center"/>
              <w:rPr>
                <w:color w:val="auto"/>
                <w:highlight w:val="none"/>
              </w:rPr>
            </w:pPr>
            <w:r>
              <w:rPr>
                <w:rFonts w:hint="eastAsia" w:ascii="宋体" w:hAnsi="宋体" w:cs="宋体"/>
                <w:color w:val="auto"/>
                <w:highlight w:val="none"/>
              </w:rPr>
              <w:t>1</w:t>
            </w:r>
          </w:p>
        </w:tc>
        <w:tc>
          <w:tcPr>
            <w:tcW w:w="782" w:type="pct"/>
            <w:vAlign w:val="center"/>
          </w:tcPr>
          <w:p w14:paraId="5FB5329D">
            <w:pPr>
              <w:jc w:val="center"/>
              <w:rPr>
                <w:color w:val="auto"/>
                <w:highlight w:val="none"/>
              </w:rPr>
            </w:pPr>
            <w:r>
              <w:rPr>
                <w:rFonts w:hint="eastAsia" w:ascii="宋体" w:hAnsi="宋体" w:cs="宋体"/>
                <w:color w:val="auto"/>
                <w:highlight w:val="none"/>
              </w:rPr>
              <w:t>顶装智能系统总控柜</w:t>
            </w:r>
          </w:p>
        </w:tc>
        <w:tc>
          <w:tcPr>
            <w:tcW w:w="3079" w:type="pct"/>
            <w:vAlign w:val="center"/>
          </w:tcPr>
          <w:p w14:paraId="4563912B">
            <w:pPr>
              <w:rPr>
                <w:color w:val="auto"/>
                <w:highlight w:val="none"/>
              </w:rPr>
            </w:pPr>
            <w:r>
              <w:rPr>
                <w:rFonts w:hint="eastAsia" w:ascii="宋体" w:hAnsi="宋体" w:cs="宋体"/>
                <w:color w:val="auto"/>
                <w:highlight w:val="none"/>
              </w:rPr>
              <w:t>智能控制柜配置包括但不限于：总漏电保护器、每分路独立漏电保护器、总控制器1个、开关电源1个，≥10寸屏1个，启动开关1个，单片机控制器及功能扩展模块1套，单片机保护模块1个、急停控制系统1个，工作指示灯系统1套，分组控制系统5套。</w:t>
            </w:r>
          </w:p>
        </w:tc>
        <w:tc>
          <w:tcPr>
            <w:tcW w:w="384" w:type="pct"/>
            <w:vAlign w:val="center"/>
          </w:tcPr>
          <w:p w14:paraId="17C4FA30">
            <w:pPr>
              <w:jc w:val="center"/>
              <w:rPr>
                <w:color w:val="auto"/>
                <w:highlight w:val="none"/>
              </w:rPr>
            </w:pPr>
            <w:r>
              <w:rPr>
                <w:rFonts w:hint="eastAsia" w:ascii="宋体" w:hAnsi="宋体" w:cs="宋体"/>
                <w:color w:val="auto"/>
                <w:highlight w:val="none"/>
              </w:rPr>
              <w:t>台</w:t>
            </w:r>
          </w:p>
        </w:tc>
        <w:tc>
          <w:tcPr>
            <w:tcW w:w="385" w:type="pct"/>
            <w:vAlign w:val="center"/>
          </w:tcPr>
          <w:p w14:paraId="7ABEB590">
            <w:pPr>
              <w:jc w:val="center"/>
              <w:textAlignment w:val="center"/>
              <w:rPr>
                <w:color w:val="auto"/>
                <w:highlight w:val="none"/>
              </w:rPr>
            </w:pPr>
            <w:r>
              <w:rPr>
                <w:rFonts w:hint="eastAsia" w:ascii="宋体" w:hAnsi="宋体" w:cs="宋体"/>
                <w:color w:val="auto"/>
                <w:kern w:val="0"/>
                <w:szCs w:val="21"/>
                <w:highlight w:val="none"/>
                <w:lang w:bidi="ar"/>
              </w:rPr>
              <w:t>2</w:t>
            </w:r>
          </w:p>
        </w:tc>
      </w:tr>
      <w:tr w14:paraId="43B40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4C3F7A91">
            <w:pPr>
              <w:jc w:val="center"/>
              <w:rPr>
                <w:color w:val="auto"/>
                <w:highlight w:val="none"/>
              </w:rPr>
            </w:pPr>
            <w:r>
              <w:rPr>
                <w:rFonts w:hint="eastAsia" w:ascii="宋体" w:hAnsi="宋体" w:cs="宋体"/>
                <w:color w:val="auto"/>
                <w:highlight w:val="none"/>
              </w:rPr>
              <w:t>2</w:t>
            </w:r>
          </w:p>
        </w:tc>
        <w:tc>
          <w:tcPr>
            <w:tcW w:w="782" w:type="pct"/>
            <w:vAlign w:val="center"/>
          </w:tcPr>
          <w:p w14:paraId="3A4DFA86">
            <w:pPr>
              <w:jc w:val="center"/>
              <w:rPr>
                <w:color w:val="auto"/>
                <w:highlight w:val="none"/>
              </w:rPr>
            </w:pPr>
            <w:r>
              <w:rPr>
                <w:rFonts w:hint="eastAsia" w:ascii="宋体" w:hAnsi="宋体" w:cs="宋体"/>
                <w:color w:val="auto"/>
                <w:highlight w:val="none"/>
              </w:rPr>
              <w:t>智能防漏电安全电源</w:t>
            </w:r>
          </w:p>
        </w:tc>
        <w:tc>
          <w:tcPr>
            <w:tcW w:w="3079" w:type="pct"/>
            <w:vAlign w:val="center"/>
          </w:tcPr>
          <w:p w14:paraId="5C90B08F">
            <w:pPr>
              <w:rPr>
                <w:rFonts w:hint="eastAsia" w:ascii="宋体" w:hAnsi="宋体" w:cs="宋体"/>
                <w:color w:val="auto"/>
                <w:highlight w:val="none"/>
              </w:rPr>
            </w:pPr>
            <w:r>
              <w:rPr>
                <w:rFonts w:hint="eastAsia" w:ascii="宋体" w:hAnsi="宋体" w:cs="宋体"/>
                <w:color w:val="auto"/>
                <w:highlight w:val="none"/>
              </w:rPr>
              <w:t>1.接触电流和保护导体电流：设备的设计和结构能保证接触电流或保护导体电流均不可能产生电击危险。</w:t>
            </w:r>
          </w:p>
          <w:p w14:paraId="35D23B89">
            <w:pPr>
              <w:rPr>
                <w:rFonts w:hint="eastAsia" w:ascii="宋体" w:hAnsi="宋体" w:cs="宋体"/>
                <w:color w:val="auto"/>
                <w:highlight w:val="none"/>
              </w:rPr>
            </w:pPr>
            <w:r>
              <w:rPr>
                <w:rFonts w:hint="eastAsia" w:ascii="宋体" w:hAnsi="宋体" w:cs="宋体"/>
                <w:color w:val="auto"/>
                <w:highlight w:val="none"/>
              </w:rPr>
              <w:t>2.要求设备试验电压≥250V。</w:t>
            </w:r>
          </w:p>
          <w:p w14:paraId="5D42CB96">
            <w:pPr>
              <w:rPr>
                <w:rFonts w:hint="eastAsia" w:ascii="宋体" w:hAnsi="宋体" w:cs="宋体"/>
                <w:color w:val="auto"/>
                <w:highlight w:val="none"/>
              </w:rPr>
            </w:pPr>
            <w:r>
              <w:rPr>
                <w:rFonts w:hint="eastAsia" w:ascii="宋体" w:hAnsi="宋体" w:cs="宋体"/>
                <w:color w:val="auto"/>
                <w:highlight w:val="none"/>
              </w:rPr>
              <w:t>3.要求设备相对温度≥40℃,相对湿度≥90%。</w:t>
            </w:r>
          </w:p>
          <w:p w14:paraId="66892B02">
            <w:pPr>
              <w:rPr>
                <w:rFonts w:hint="eastAsia" w:ascii="宋体" w:hAnsi="宋体" w:cs="宋体"/>
                <w:color w:val="auto"/>
                <w:highlight w:val="none"/>
              </w:rPr>
            </w:pPr>
            <w:r>
              <w:rPr>
                <w:rFonts w:hint="eastAsia" w:ascii="宋体" w:hAnsi="宋体" w:cs="宋体"/>
                <w:color w:val="auto"/>
                <w:highlight w:val="none"/>
              </w:rPr>
              <w:t>4.要求设备在220V±15%的电压范围内正常工作。</w:t>
            </w:r>
          </w:p>
          <w:p w14:paraId="3743CCAF">
            <w:pPr>
              <w:rPr>
                <w:rFonts w:hint="eastAsia" w:ascii="宋体" w:hAnsi="宋体" w:cs="宋体"/>
                <w:color w:val="auto"/>
                <w:highlight w:val="none"/>
              </w:rPr>
            </w:pPr>
            <w:r>
              <w:rPr>
                <w:rFonts w:hint="eastAsia" w:ascii="宋体" w:hAnsi="宋体" w:cs="宋体"/>
                <w:color w:val="auto"/>
                <w:highlight w:val="none"/>
              </w:rPr>
              <w:t>5.要求设备最大接触电流≤3.5mA。</w:t>
            </w:r>
          </w:p>
          <w:p w14:paraId="3F103110">
            <w:pPr>
              <w:rPr>
                <w:rFonts w:hint="eastAsia" w:ascii="宋体" w:hAnsi="宋体" w:cs="宋体"/>
                <w:color w:val="auto"/>
                <w:highlight w:val="none"/>
              </w:rPr>
            </w:pPr>
            <w:r>
              <w:rPr>
                <w:rFonts w:hint="eastAsia" w:ascii="宋体" w:hAnsi="宋体" w:cs="宋体"/>
                <w:color w:val="auto"/>
                <w:highlight w:val="none"/>
              </w:rPr>
              <w:t>6.设备输出频率精度应达到50/60土0.1Hz。</w:t>
            </w:r>
          </w:p>
          <w:p w14:paraId="6B370455">
            <w:pPr>
              <w:rPr>
                <w:color w:val="auto"/>
                <w:highlight w:val="none"/>
              </w:rPr>
            </w:pPr>
            <w:r>
              <w:rPr>
                <w:rFonts w:hint="eastAsia" w:ascii="宋体" w:hAnsi="宋体" w:cs="宋体"/>
                <w:color w:val="auto"/>
                <w:highlight w:val="none"/>
              </w:rPr>
              <w:t>7.设备输出波形失真率应≤3%THD(线性负载)。</w:t>
            </w:r>
          </w:p>
        </w:tc>
        <w:tc>
          <w:tcPr>
            <w:tcW w:w="384" w:type="pct"/>
            <w:vAlign w:val="center"/>
          </w:tcPr>
          <w:p w14:paraId="38AE22B2">
            <w:pPr>
              <w:jc w:val="center"/>
              <w:rPr>
                <w:color w:val="auto"/>
                <w:highlight w:val="none"/>
              </w:rPr>
            </w:pPr>
            <w:r>
              <w:rPr>
                <w:rFonts w:hint="eastAsia" w:ascii="宋体" w:hAnsi="宋体" w:cs="宋体"/>
                <w:color w:val="auto"/>
                <w:highlight w:val="none"/>
              </w:rPr>
              <w:t>台</w:t>
            </w:r>
          </w:p>
        </w:tc>
        <w:tc>
          <w:tcPr>
            <w:tcW w:w="385" w:type="pct"/>
            <w:vAlign w:val="center"/>
          </w:tcPr>
          <w:p w14:paraId="0B75DD36">
            <w:pPr>
              <w:jc w:val="center"/>
              <w:textAlignment w:val="center"/>
              <w:rPr>
                <w:color w:val="auto"/>
                <w:highlight w:val="none"/>
              </w:rPr>
            </w:pPr>
            <w:r>
              <w:rPr>
                <w:rFonts w:hint="eastAsia" w:ascii="宋体" w:hAnsi="宋体" w:cs="宋体"/>
                <w:color w:val="auto"/>
                <w:kern w:val="0"/>
                <w:szCs w:val="21"/>
                <w:highlight w:val="none"/>
                <w:lang w:bidi="ar"/>
              </w:rPr>
              <w:t>2</w:t>
            </w:r>
          </w:p>
        </w:tc>
      </w:tr>
      <w:tr w14:paraId="3E27D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6D45DBF8">
            <w:pPr>
              <w:jc w:val="center"/>
              <w:rPr>
                <w:color w:val="auto"/>
                <w:highlight w:val="none"/>
              </w:rPr>
            </w:pPr>
            <w:r>
              <w:rPr>
                <w:rFonts w:hint="eastAsia" w:ascii="宋体" w:hAnsi="宋体" w:cs="宋体"/>
                <w:color w:val="auto"/>
                <w:highlight w:val="none"/>
              </w:rPr>
              <w:t>3</w:t>
            </w:r>
          </w:p>
        </w:tc>
        <w:tc>
          <w:tcPr>
            <w:tcW w:w="782" w:type="pct"/>
            <w:vAlign w:val="center"/>
          </w:tcPr>
          <w:p w14:paraId="2C149D33">
            <w:pPr>
              <w:jc w:val="center"/>
              <w:rPr>
                <w:color w:val="auto"/>
                <w:highlight w:val="none"/>
              </w:rPr>
            </w:pPr>
            <w:r>
              <w:rPr>
                <w:rFonts w:hint="eastAsia" w:ascii="宋体" w:hAnsi="宋体" w:cs="宋体"/>
                <w:color w:val="auto"/>
                <w:highlight w:val="none"/>
              </w:rPr>
              <w:t>顶装智能软件控制平台</w:t>
            </w:r>
          </w:p>
        </w:tc>
        <w:tc>
          <w:tcPr>
            <w:tcW w:w="3079" w:type="pct"/>
            <w:vAlign w:val="center"/>
          </w:tcPr>
          <w:p w14:paraId="2DDF7AC8">
            <w:pPr>
              <w:rPr>
                <w:rFonts w:hint="eastAsia" w:ascii="宋体" w:hAnsi="宋体" w:cs="宋体"/>
                <w:color w:val="auto"/>
                <w:highlight w:val="none"/>
              </w:rPr>
            </w:pPr>
            <w:r>
              <w:rPr>
                <w:rFonts w:hint="eastAsia" w:ascii="宋体" w:hAnsi="宋体" w:cs="宋体"/>
                <w:color w:val="auto"/>
                <w:highlight w:val="none"/>
              </w:rPr>
              <w:t>规格：≥10寸彩色液晶触摸屏，集成主控制系统，包括但不限于：照明控制、电源控制、摇臂控制，可执行各分项分页控制。</w:t>
            </w:r>
          </w:p>
          <w:p w14:paraId="7176088B">
            <w:pPr>
              <w:rPr>
                <w:rFonts w:hint="eastAsia" w:ascii="宋体" w:hAnsi="宋体" w:cs="宋体"/>
                <w:color w:val="auto"/>
                <w:highlight w:val="none"/>
              </w:rPr>
            </w:pPr>
            <w:r>
              <w:rPr>
                <w:rFonts w:hint="eastAsia" w:ascii="宋体" w:hAnsi="宋体" w:cs="宋体"/>
                <w:color w:val="auto"/>
                <w:highlight w:val="none"/>
              </w:rPr>
              <w:t>1.照明控制：分组控制整室照明；照明控制系统可以对照明进行控制，可以单独进行控制，进行单选、全选、反选，分组进行控制。</w:t>
            </w:r>
          </w:p>
          <w:p w14:paraId="5832BE0C">
            <w:pPr>
              <w:rPr>
                <w:rFonts w:hint="eastAsia" w:ascii="宋体" w:hAnsi="宋体" w:cs="宋体"/>
                <w:color w:val="auto"/>
                <w:highlight w:val="none"/>
              </w:rPr>
            </w:pPr>
            <w:r>
              <w:rPr>
                <w:rFonts w:hint="eastAsia" w:ascii="宋体" w:hAnsi="宋体" w:cs="宋体"/>
                <w:color w:val="auto"/>
                <w:highlight w:val="none"/>
              </w:rPr>
              <w:t>2.电源控制：控制每点的电压，可以控制学生，老师端高压220V，低压交直流输出；可以单独进行控制，进行单选、全选、反选，分组进行控制；保障220V电源具有漏电、短路、过载保护，保证安全可靠。低压输出学生电源交直流电压，具有智能保护系统，短路过载具有自动复位功能。</w:t>
            </w:r>
          </w:p>
          <w:p w14:paraId="2DB1AE73">
            <w:pPr>
              <w:rPr>
                <w:color w:val="auto"/>
                <w:highlight w:val="none"/>
              </w:rPr>
            </w:pPr>
            <w:r>
              <w:rPr>
                <w:rFonts w:hint="eastAsia" w:ascii="宋体" w:hAnsi="宋体" w:cs="宋体"/>
                <w:color w:val="auto"/>
                <w:highlight w:val="none"/>
              </w:rPr>
              <w:t>3.摇臂控制：升降控制单元，过载过流保护，上下限到位保护。对摇臂进行进行单选、全选、反选，分组进行控制升起，放下；控制系统带障碍物保护功能，具有防夹，防卡功能，当摇臂在运动的过程中遇到障碍物时会自动停止。</w:t>
            </w:r>
          </w:p>
        </w:tc>
        <w:tc>
          <w:tcPr>
            <w:tcW w:w="384" w:type="pct"/>
            <w:vAlign w:val="center"/>
          </w:tcPr>
          <w:p w14:paraId="147E2E53">
            <w:pPr>
              <w:jc w:val="center"/>
              <w:rPr>
                <w:color w:val="auto"/>
                <w:highlight w:val="none"/>
              </w:rPr>
            </w:pPr>
            <w:r>
              <w:rPr>
                <w:rFonts w:hint="eastAsia" w:ascii="宋体" w:hAnsi="宋体" w:cs="宋体"/>
                <w:color w:val="auto"/>
                <w:highlight w:val="none"/>
              </w:rPr>
              <w:t>套</w:t>
            </w:r>
          </w:p>
        </w:tc>
        <w:tc>
          <w:tcPr>
            <w:tcW w:w="385" w:type="pct"/>
            <w:vAlign w:val="center"/>
          </w:tcPr>
          <w:p w14:paraId="47C3D0A3">
            <w:pPr>
              <w:jc w:val="center"/>
              <w:textAlignment w:val="center"/>
              <w:rPr>
                <w:color w:val="auto"/>
                <w:highlight w:val="none"/>
              </w:rPr>
            </w:pPr>
            <w:r>
              <w:rPr>
                <w:rFonts w:hint="eastAsia" w:ascii="宋体" w:hAnsi="宋体" w:cs="宋体"/>
                <w:color w:val="auto"/>
                <w:kern w:val="0"/>
                <w:szCs w:val="21"/>
                <w:highlight w:val="none"/>
                <w:lang w:bidi="ar"/>
              </w:rPr>
              <w:t>2</w:t>
            </w:r>
          </w:p>
        </w:tc>
      </w:tr>
      <w:tr w14:paraId="24593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1963A668">
            <w:pPr>
              <w:jc w:val="center"/>
              <w:rPr>
                <w:color w:val="auto"/>
                <w:highlight w:val="none"/>
              </w:rPr>
            </w:pPr>
            <w:r>
              <w:rPr>
                <w:rFonts w:hint="eastAsia" w:ascii="宋体" w:hAnsi="宋体" w:cs="宋体"/>
                <w:color w:val="auto"/>
                <w:highlight w:val="none"/>
              </w:rPr>
              <w:t>4</w:t>
            </w:r>
          </w:p>
        </w:tc>
        <w:tc>
          <w:tcPr>
            <w:tcW w:w="782" w:type="pct"/>
            <w:vAlign w:val="center"/>
          </w:tcPr>
          <w:p w14:paraId="1EF3AB6A">
            <w:pPr>
              <w:jc w:val="center"/>
              <w:rPr>
                <w:color w:val="auto"/>
                <w:highlight w:val="none"/>
              </w:rPr>
            </w:pPr>
            <w:r>
              <w:rPr>
                <w:rFonts w:hint="eastAsia" w:ascii="宋体" w:hAnsi="宋体" w:cs="宋体"/>
                <w:color w:val="auto"/>
                <w:highlight w:val="none"/>
              </w:rPr>
              <w:t>APP控制系统</w:t>
            </w:r>
          </w:p>
        </w:tc>
        <w:tc>
          <w:tcPr>
            <w:tcW w:w="3079" w:type="pct"/>
            <w:vAlign w:val="center"/>
          </w:tcPr>
          <w:p w14:paraId="0503CDDD">
            <w:pPr>
              <w:rPr>
                <w:rFonts w:hint="eastAsia" w:ascii="宋体" w:hAnsi="宋体" w:cs="宋体"/>
                <w:color w:val="auto"/>
                <w:highlight w:val="none"/>
              </w:rPr>
            </w:pPr>
            <w:r>
              <w:rPr>
                <w:rFonts w:hint="eastAsia" w:ascii="宋体" w:hAnsi="宋体" w:cs="宋体"/>
                <w:color w:val="auto"/>
                <w:highlight w:val="none"/>
              </w:rPr>
              <w:t>1.初次以超级管理员身份登陆APP，提供密码修改，多用户注册，多用户进行管理功能。</w:t>
            </w:r>
          </w:p>
          <w:p w14:paraId="7DFD4E47">
            <w:pPr>
              <w:rPr>
                <w:rFonts w:hint="eastAsia" w:ascii="宋体" w:hAnsi="宋体" w:cs="宋体"/>
                <w:color w:val="auto"/>
                <w:highlight w:val="none"/>
              </w:rPr>
            </w:pPr>
            <w:r>
              <w:rPr>
                <w:rFonts w:hint="eastAsia" w:ascii="宋体" w:hAnsi="宋体" w:cs="宋体"/>
                <w:color w:val="auto"/>
                <w:highlight w:val="none"/>
              </w:rPr>
              <w:t>2.系统设置系统升级功能，系统时间修改，帮助等功能。</w:t>
            </w:r>
          </w:p>
          <w:p w14:paraId="79B1066E">
            <w:pPr>
              <w:rPr>
                <w:rFonts w:hint="eastAsia" w:ascii="宋体" w:hAnsi="宋体" w:cs="宋体"/>
                <w:color w:val="auto"/>
                <w:highlight w:val="none"/>
              </w:rPr>
            </w:pPr>
            <w:r>
              <w:rPr>
                <w:rFonts w:hint="eastAsia" w:ascii="宋体" w:hAnsi="宋体" w:cs="宋体"/>
                <w:color w:val="auto"/>
                <w:highlight w:val="none"/>
              </w:rPr>
              <w:t>3.设置状态显示界面，实时了解教室内每个设备工作状态，可以一目了然的了解当前实验室各个设备运行情况。当设备出错时可以方便了解故障原因，可以对故障进行复位功能。</w:t>
            </w:r>
          </w:p>
          <w:p w14:paraId="1750A7EB">
            <w:pPr>
              <w:rPr>
                <w:rFonts w:hint="eastAsia" w:ascii="宋体" w:hAnsi="宋体" w:cs="宋体"/>
                <w:color w:val="auto"/>
                <w:highlight w:val="none"/>
              </w:rPr>
            </w:pPr>
            <w:r>
              <w:rPr>
                <w:rFonts w:hint="eastAsia" w:ascii="宋体" w:hAnsi="宋体" w:cs="宋体"/>
                <w:color w:val="auto"/>
                <w:highlight w:val="none"/>
              </w:rPr>
              <w:t>4.后台设置设备运行状态黑匣子功能，实时记录设备运行状态。故障时可以调取查看，方便管理。</w:t>
            </w:r>
          </w:p>
          <w:p w14:paraId="0C46A2E3">
            <w:pPr>
              <w:rPr>
                <w:color w:val="auto"/>
                <w:highlight w:val="none"/>
              </w:rPr>
            </w:pPr>
            <w:r>
              <w:rPr>
                <w:rFonts w:hint="eastAsia" w:ascii="宋体" w:hAnsi="宋体" w:cs="宋体"/>
                <w:color w:val="auto"/>
                <w:highlight w:val="none"/>
              </w:rPr>
              <w:t>5.分组控制电源控制系统、照明控制系统、给排水控制系统,摇臂控制系统,通风控制系统。</w:t>
            </w:r>
          </w:p>
        </w:tc>
        <w:tc>
          <w:tcPr>
            <w:tcW w:w="384" w:type="pct"/>
            <w:vAlign w:val="center"/>
          </w:tcPr>
          <w:p w14:paraId="0CE3A101">
            <w:pPr>
              <w:jc w:val="center"/>
              <w:rPr>
                <w:color w:val="auto"/>
                <w:highlight w:val="none"/>
              </w:rPr>
            </w:pPr>
            <w:r>
              <w:rPr>
                <w:rFonts w:hint="eastAsia" w:ascii="宋体" w:hAnsi="宋体" w:cs="宋体"/>
                <w:color w:val="auto"/>
                <w:highlight w:val="none"/>
              </w:rPr>
              <w:t>套</w:t>
            </w:r>
          </w:p>
        </w:tc>
        <w:tc>
          <w:tcPr>
            <w:tcW w:w="385" w:type="pct"/>
            <w:vAlign w:val="center"/>
          </w:tcPr>
          <w:p w14:paraId="13A4623B">
            <w:pPr>
              <w:jc w:val="center"/>
              <w:textAlignment w:val="center"/>
              <w:rPr>
                <w:color w:val="auto"/>
                <w:highlight w:val="none"/>
              </w:rPr>
            </w:pPr>
            <w:r>
              <w:rPr>
                <w:rFonts w:hint="eastAsia" w:ascii="宋体" w:hAnsi="宋体" w:cs="宋体"/>
                <w:color w:val="auto"/>
                <w:kern w:val="0"/>
                <w:szCs w:val="21"/>
                <w:highlight w:val="none"/>
                <w:lang w:bidi="ar"/>
              </w:rPr>
              <w:t>2</w:t>
            </w:r>
          </w:p>
        </w:tc>
      </w:tr>
      <w:tr w14:paraId="19065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0D315611">
            <w:pPr>
              <w:jc w:val="center"/>
              <w:rPr>
                <w:color w:val="auto"/>
                <w:highlight w:val="none"/>
              </w:rPr>
            </w:pPr>
            <w:r>
              <w:rPr>
                <w:rFonts w:hint="eastAsia" w:ascii="宋体" w:hAnsi="宋体" w:cs="宋体"/>
                <w:color w:val="auto"/>
                <w:highlight w:val="none"/>
              </w:rPr>
              <w:t>5</w:t>
            </w:r>
          </w:p>
        </w:tc>
        <w:tc>
          <w:tcPr>
            <w:tcW w:w="782" w:type="pct"/>
            <w:vAlign w:val="center"/>
          </w:tcPr>
          <w:p w14:paraId="38BF849F">
            <w:pPr>
              <w:jc w:val="center"/>
              <w:rPr>
                <w:color w:val="auto"/>
                <w:highlight w:val="none"/>
              </w:rPr>
            </w:pPr>
            <w:r>
              <w:rPr>
                <w:rFonts w:hint="eastAsia" w:ascii="宋体" w:hAnsi="宋体" w:cs="宋体"/>
                <w:color w:val="auto"/>
                <w:highlight w:val="none"/>
              </w:rPr>
              <w:t>温湿度监视系统</w:t>
            </w:r>
          </w:p>
        </w:tc>
        <w:tc>
          <w:tcPr>
            <w:tcW w:w="3079" w:type="pct"/>
            <w:vAlign w:val="center"/>
          </w:tcPr>
          <w:p w14:paraId="264F9550">
            <w:pPr>
              <w:rPr>
                <w:color w:val="auto"/>
                <w:highlight w:val="none"/>
              </w:rPr>
            </w:pPr>
            <w:r>
              <w:rPr>
                <w:rFonts w:hint="eastAsia" w:ascii="宋体" w:hAnsi="宋体" w:cs="宋体"/>
                <w:color w:val="auto"/>
                <w:highlight w:val="none"/>
              </w:rPr>
              <w:t>内置精密温湿度传感装置，在中控屏中实时显示当前环境的温度和湿度，实时了解房间内的温度和湿度，保障室内舒适的环境舒适性。</w:t>
            </w:r>
          </w:p>
        </w:tc>
        <w:tc>
          <w:tcPr>
            <w:tcW w:w="384" w:type="pct"/>
            <w:vAlign w:val="center"/>
          </w:tcPr>
          <w:p w14:paraId="561FF7D3">
            <w:pPr>
              <w:jc w:val="center"/>
              <w:rPr>
                <w:color w:val="auto"/>
                <w:highlight w:val="none"/>
              </w:rPr>
            </w:pPr>
            <w:r>
              <w:rPr>
                <w:rFonts w:hint="eastAsia" w:ascii="宋体" w:hAnsi="宋体" w:cs="宋体"/>
                <w:color w:val="auto"/>
                <w:highlight w:val="none"/>
              </w:rPr>
              <w:t>项</w:t>
            </w:r>
          </w:p>
        </w:tc>
        <w:tc>
          <w:tcPr>
            <w:tcW w:w="385" w:type="pct"/>
            <w:vAlign w:val="center"/>
          </w:tcPr>
          <w:p w14:paraId="23734AB9">
            <w:pPr>
              <w:jc w:val="center"/>
              <w:textAlignment w:val="center"/>
              <w:rPr>
                <w:color w:val="auto"/>
                <w:highlight w:val="none"/>
              </w:rPr>
            </w:pPr>
            <w:r>
              <w:rPr>
                <w:rFonts w:hint="eastAsia" w:ascii="宋体" w:hAnsi="宋体" w:cs="宋体"/>
                <w:color w:val="auto"/>
                <w:kern w:val="0"/>
                <w:szCs w:val="21"/>
                <w:highlight w:val="none"/>
                <w:lang w:bidi="ar"/>
              </w:rPr>
              <w:t>2</w:t>
            </w:r>
          </w:p>
        </w:tc>
      </w:tr>
      <w:tr w14:paraId="2142A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370" w:type="pct"/>
            <w:vAlign w:val="center"/>
          </w:tcPr>
          <w:p w14:paraId="22923AE9">
            <w:pPr>
              <w:jc w:val="center"/>
              <w:rPr>
                <w:rFonts w:hint="eastAsia" w:ascii="宋体" w:hAnsi="宋体" w:cs="宋体"/>
                <w:color w:val="auto"/>
                <w:highlight w:val="none"/>
              </w:rPr>
            </w:pPr>
          </w:p>
        </w:tc>
        <w:tc>
          <w:tcPr>
            <w:tcW w:w="782" w:type="pct"/>
            <w:vAlign w:val="center"/>
          </w:tcPr>
          <w:p w14:paraId="5EEACBEB">
            <w:pPr>
              <w:jc w:val="center"/>
              <w:rPr>
                <w:rFonts w:hint="eastAsia" w:ascii="宋体" w:hAnsi="宋体" w:cs="宋体"/>
                <w:color w:val="auto"/>
                <w:highlight w:val="none"/>
              </w:rPr>
            </w:pPr>
          </w:p>
        </w:tc>
        <w:tc>
          <w:tcPr>
            <w:tcW w:w="3079" w:type="pct"/>
            <w:vAlign w:val="center"/>
          </w:tcPr>
          <w:p w14:paraId="709DD6F3">
            <w:pPr>
              <w:jc w:val="center"/>
              <w:rPr>
                <w:rFonts w:hint="eastAsia" w:ascii="宋体" w:hAnsi="宋体" w:cs="宋体"/>
                <w:color w:val="auto"/>
                <w:highlight w:val="none"/>
              </w:rPr>
            </w:pPr>
            <w:r>
              <w:rPr>
                <w:rFonts w:hint="eastAsia" w:ascii="宋体" w:hAnsi="宋体" w:cs="宋体"/>
                <w:b/>
                <w:bCs/>
                <w:color w:val="auto"/>
                <w:highlight w:val="none"/>
              </w:rPr>
              <w:t>顶装综合系统</w:t>
            </w:r>
          </w:p>
        </w:tc>
        <w:tc>
          <w:tcPr>
            <w:tcW w:w="384" w:type="pct"/>
            <w:vAlign w:val="center"/>
          </w:tcPr>
          <w:p w14:paraId="724C2DA6">
            <w:pPr>
              <w:jc w:val="center"/>
              <w:rPr>
                <w:rFonts w:hint="eastAsia" w:ascii="宋体" w:hAnsi="宋体" w:cs="宋体"/>
                <w:color w:val="auto"/>
                <w:highlight w:val="none"/>
              </w:rPr>
            </w:pPr>
          </w:p>
        </w:tc>
        <w:tc>
          <w:tcPr>
            <w:tcW w:w="385" w:type="pct"/>
            <w:vAlign w:val="center"/>
          </w:tcPr>
          <w:p w14:paraId="6F801F6E">
            <w:pPr>
              <w:jc w:val="center"/>
              <w:textAlignment w:val="center"/>
              <w:rPr>
                <w:rFonts w:hint="eastAsia" w:ascii="宋体" w:hAnsi="宋体" w:cs="宋体"/>
                <w:color w:val="auto"/>
                <w:highlight w:val="none"/>
              </w:rPr>
            </w:pPr>
          </w:p>
        </w:tc>
      </w:tr>
      <w:tr w14:paraId="60DEA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163F9BF1">
            <w:pPr>
              <w:jc w:val="center"/>
              <w:rPr>
                <w:color w:val="auto"/>
                <w:highlight w:val="none"/>
              </w:rPr>
            </w:pPr>
            <w:r>
              <w:rPr>
                <w:rFonts w:hint="eastAsia" w:ascii="宋体" w:hAnsi="宋体" w:cs="宋体"/>
                <w:color w:val="auto"/>
                <w:highlight w:val="none"/>
              </w:rPr>
              <w:t>1</w:t>
            </w:r>
          </w:p>
        </w:tc>
        <w:tc>
          <w:tcPr>
            <w:tcW w:w="782" w:type="pct"/>
            <w:vAlign w:val="center"/>
          </w:tcPr>
          <w:p w14:paraId="214E2E57">
            <w:pPr>
              <w:jc w:val="center"/>
              <w:rPr>
                <w:color w:val="auto"/>
                <w:highlight w:val="none"/>
              </w:rPr>
            </w:pPr>
            <w:r>
              <w:rPr>
                <w:rFonts w:hint="eastAsia" w:ascii="宋体" w:hAnsi="宋体" w:cs="宋体"/>
                <w:color w:val="auto"/>
                <w:highlight w:val="none"/>
              </w:rPr>
              <w:t>顶装内主体结构</w:t>
            </w:r>
          </w:p>
        </w:tc>
        <w:tc>
          <w:tcPr>
            <w:tcW w:w="3079" w:type="pct"/>
            <w:vAlign w:val="center"/>
          </w:tcPr>
          <w:p w14:paraId="4F548583">
            <w:pPr>
              <w:rPr>
                <w:rFonts w:hint="eastAsia" w:ascii="宋体" w:hAnsi="宋体" w:cs="宋体"/>
                <w:color w:val="auto"/>
                <w:highlight w:val="none"/>
              </w:rPr>
            </w:pPr>
            <w:r>
              <w:rPr>
                <w:rFonts w:hint="eastAsia" w:ascii="宋体" w:hAnsi="宋体" w:cs="宋体"/>
                <w:color w:val="auto"/>
                <w:highlight w:val="none"/>
              </w:rPr>
              <w:t>1.承重骨架采用优质工业级高强度铝型材经CNC精加工成型，质量轻、强度高、耐腐蚀、结构稳定。</w:t>
            </w:r>
          </w:p>
          <w:p w14:paraId="7892DE7C">
            <w:pPr>
              <w:rPr>
                <w:rFonts w:hint="eastAsia" w:ascii="宋体" w:hAnsi="宋体" w:cs="宋体"/>
                <w:color w:val="auto"/>
                <w:highlight w:val="none"/>
              </w:rPr>
            </w:pPr>
            <w:r>
              <w:rPr>
                <w:rFonts w:hint="eastAsia" w:ascii="宋体" w:hAnsi="宋体" w:cs="宋体"/>
                <w:color w:val="auto"/>
                <w:highlight w:val="none"/>
              </w:rPr>
              <w:t>2.动力底座采用厚度不低于15mm高强度铝铜合金板经CNC精加工成型，动力轴采用优质SUS304不锈钢棒材经CNC及数控车床加工成型。承重性能强和耐酸碱、耐腐蚀。</w:t>
            </w:r>
          </w:p>
          <w:p w14:paraId="356E2A77">
            <w:pPr>
              <w:rPr>
                <w:color w:val="auto"/>
                <w:highlight w:val="none"/>
              </w:rPr>
            </w:pPr>
            <w:r>
              <w:rPr>
                <w:rFonts w:hint="eastAsia" w:ascii="宋体" w:hAnsi="宋体" w:cs="宋体"/>
                <w:color w:val="auto"/>
                <w:highlight w:val="none"/>
              </w:rPr>
              <w:t>3.吊装主舱体有害物质限量邻苯二甲酸酯：DBP≤0.1，BBP≤0.1,DEHD≤0.1,DNOP≤0.1,DINP≤0.1；重金属：可溶性铅≤90mg/kg，可溶性镉≤75mg/kg，可溶性铬≤60mg/kg，可溶性汞≤60mg/kg。</w:t>
            </w:r>
          </w:p>
        </w:tc>
        <w:tc>
          <w:tcPr>
            <w:tcW w:w="384" w:type="pct"/>
            <w:vAlign w:val="center"/>
          </w:tcPr>
          <w:p w14:paraId="5E5FF4F7">
            <w:pPr>
              <w:jc w:val="center"/>
              <w:rPr>
                <w:color w:val="auto"/>
                <w:highlight w:val="none"/>
              </w:rPr>
            </w:pPr>
            <w:r>
              <w:rPr>
                <w:rFonts w:hint="eastAsia" w:ascii="宋体" w:hAnsi="宋体" w:cs="宋体"/>
                <w:color w:val="auto"/>
                <w:highlight w:val="none"/>
              </w:rPr>
              <w:t>套</w:t>
            </w:r>
          </w:p>
        </w:tc>
        <w:tc>
          <w:tcPr>
            <w:tcW w:w="385" w:type="pct"/>
            <w:vAlign w:val="center"/>
          </w:tcPr>
          <w:p w14:paraId="22458A7D">
            <w:pPr>
              <w:jc w:val="center"/>
              <w:textAlignment w:val="center"/>
              <w:rPr>
                <w:color w:val="auto"/>
                <w:highlight w:val="none"/>
              </w:rPr>
            </w:pPr>
            <w:r>
              <w:rPr>
                <w:rFonts w:hint="eastAsia" w:ascii="宋体" w:hAnsi="宋体" w:cs="宋体"/>
                <w:color w:val="auto"/>
                <w:kern w:val="0"/>
                <w:szCs w:val="21"/>
                <w:highlight w:val="none"/>
                <w:lang w:bidi="ar"/>
              </w:rPr>
              <w:t>16</w:t>
            </w:r>
          </w:p>
        </w:tc>
      </w:tr>
      <w:tr w14:paraId="34A3A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57B94B7F">
            <w:pPr>
              <w:jc w:val="center"/>
              <w:rPr>
                <w:color w:val="auto"/>
                <w:highlight w:val="none"/>
              </w:rPr>
            </w:pPr>
            <w:r>
              <w:rPr>
                <w:rFonts w:hint="eastAsia" w:ascii="宋体" w:hAnsi="宋体" w:cs="宋体"/>
                <w:color w:val="auto"/>
                <w:highlight w:val="none"/>
              </w:rPr>
              <w:t>2</w:t>
            </w:r>
          </w:p>
        </w:tc>
        <w:tc>
          <w:tcPr>
            <w:tcW w:w="782" w:type="pct"/>
            <w:vAlign w:val="center"/>
          </w:tcPr>
          <w:p w14:paraId="7A921B94">
            <w:pPr>
              <w:jc w:val="center"/>
              <w:rPr>
                <w:color w:val="auto"/>
                <w:highlight w:val="none"/>
              </w:rPr>
            </w:pPr>
            <w:r>
              <w:rPr>
                <w:rFonts w:hint="eastAsia" w:ascii="宋体" w:hAnsi="宋体" w:cs="宋体"/>
                <w:color w:val="auto"/>
                <w:highlight w:val="none"/>
              </w:rPr>
              <w:t>顶装外形体</w:t>
            </w:r>
          </w:p>
        </w:tc>
        <w:tc>
          <w:tcPr>
            <w:tcW w:w="3079" w:type="pct"/>
            <w:vAlign w:val="center"/>
          </w:tcPr>
          <w:p w14:paraId="5238F1CE">
            <w:pPr>
              <w:rPr>
                <w:rFonts w:hint="eastAsia" w:ascii="宋体" w:hAnsi="宋体" w:cs="宋体"/>
                <w:color w:val="auto"/>
                <w:highlight w:val="none"/>
              </w:rPr>
            </w:pPr>
            <w:r>
              <w:rPr>
                <w:rFonts w:hint="eastAsia" w:ascii="宋体" w:hAnsi="宋体" w:cs="宋体"/>
                <w:color w:val="auto"/>
                <w:highlight w:val="none"/>
              </w:rPr>
              <w:t>智能吊装集成箱体采用新型复合材料，经高温模压工艺成型。</w:t>
            </w:r>
          </w:p>
          <w:p w14:paraId="6DA13B2F">
            <w:pPr>
              <w:rPr>
                <w:color w:val="auto"/>
                <w:highlight w:val="none"/>
              </w:rPr>
            </w:pPr>
            <w:r>
              <w:rPr>
                <w:rFonts w:hint="eastAsia" w:ascii="宋体" w:hAnsi="宋体" w:cs="宋体"/>
                <w:color w:val="auto"/>
                <w:highlight w:val="none"/>
              </w:rPr>
              <w:t>吊装集成箱体甲醛释放量≤0.05mg/m³；重金属：可溶性铅≤90mg/kg，可溶性镉≤75mg/kg，可溶性铬≤60mg/kg，可溶性汞≤60mg/kg；金属件外，喷涂层涂层应无漏喷、锈蚀，涂层应光滑均匀,色泽一致,应无流挂、疙瘩、皱皮、飞漆等缺陷。</w:t>
            </w:r>
          </w:p>
        </w:tc>
        <w:tc>
          <w:tcPr>
            <w:tcW w:w="384" w:type="pct"/>
            <w:vAlign w:val="center"/>
          </w:tcPr>
          <w:p w14:paraId="5D6861A0">
            <w:pPr>
              <w:jc w:val="center"/>
              <w:rPr>
                <w:color w:val="auto"/>
                <w:highlight w:val="none"/>
              </w:rPr>
            </w:pPr>
            <w:r>
              <w:rPr>
                <w:rFonts w:hint="eastAsia" w:ascii="宋体" w:hAnsi="宋体" w:cs="宋体"/>
                <w:color w:val="auto"/>
                <w:highlight w:val="none"/>
              </w:rPr>
              <w:t>套</w:t>
            </w:r>
          </w:p>
        </w:tc>
        <w:tc>
          <w:tcPr>
            <w:tcW w:w="385" w:type="pct"/>
            <w:vAlign w:val="center"/>
          </w:tcPr>
          <w:p w14:paraId="0876122B">
            <w:pPr>
              <w:jc w:val="center"/>
              <w:textAlignment w:val="center"/>
              <w:rPr>
                <w:color w:val="auto"/>
                <w:highlight w:val="none"/>
              </w:rPr>
            </w:pPr>
            <w:r>
              <w:rPr>
                <w:rFonts w:hint="eastAsia" w:ascii="宋体" w:hAnsi="宋体" w:cs="宋体"/>
                <w:color w:val="auto"/>
                <w:kern w:val="0"/>
                <w:szCs w:val="21"/>
                <w:highlight w:val="none"/>
                <w:lang w:bidi="ar"/>
              </w:rPr>
              <w:t>16</w:t>
            </w:r>
          </w:p>
        </w:tc>
      </w:tr>
      <w:tr w14:paraId="71BA3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04BDD810">
            <w:pPr>
              <w:jc w:val="center"/>
              <w:rPr>
                <w:color w:val="auto"/>
                <w:highlight w:val="none"/>
              </w:rPr>
            </w:pPr>
            <w:r>
              <w:rPr>
                <w:rFonts w:hint="eastAsia" w:ascii="宋体" w:hAnsi="宋体" w:cs="宋体"/>
                <w:color w:val="auto"/>
                <w:highlight w:val="none"/>
              </w:rPr>
              <w:t>3</w:t>
            </w:r>
          </w:p>
        </w:tc>
        <w:tc>
          <w:tcPr>
            <w:tcW w:w="782" w:type="pct"/>
            <w:vAlign w:val="center"/>
          </w:tcPr>
          <w:p w14:paraId="02168BAC">
            <w:pPr>
              <w:jc w:val="center"/>
              <w:rPr>
                <w:color w:val="auto"/>
                <w:highlight w:val="none"/>
              </w:rPr>
            </w:pPr>
            <w:r>
              <w:rPr>
                <w:rFonts w:hint="eastAsia" w:ascii="宋体" w:hAnsi="宋体" w:cs="宋体"/>
                <w:color w:val="auto"/>
                <w:highlight w:val="none"/>
              </w:rPr>
              <w:t>顶装固定支架</w:t>
            </w:r>
          </w:p>
        </w:tc>
        <w:tc>
          <w:tcPr>
            <w:tcW w:w="3079" w:type="pct"/>
            <w:vAlign w:val="center"/>
          </w:tcPr>
          <w:p w14:paraId="35F8FF41">
            <w:pPr>
              <w:rPr>
                <w:rFonts w:hint="eastAsia" w:ascii="宋体" w:hAnsi="宋体" w:cs="宋体"/>
                <w:color w:val="auto"/>
                <w:highlight w:val="none"/>
              </w:rPr>
            </w:pPr>
            <w:r>
              <w:rPr>
                <w:rFonts w:hint="eastAsia" w:ascii="宋体" w:hAnsi="宋体" w:cs="宋体"/>
                <w:color w:val="auto"/>
                <w:highlight w:val="none"/>
              </w:rPr>
              <w:t>采用优质镀锌钢板经激光切割、数控冲压、数控折弯成型，生产工业采取模块组合，便于安装，外观流线形设计，简洁美观,表面经环氧树脂粉末静电喷涂、高温固化处理，耐腐蚀。</w:t>
            </w:r>
          </w:p>
          <w:p w14:paraId="2C653C2E">
            <w:pPr>
              <w:rPr>
                <w:color w:val="auto"/>
                <w:highlight w:val="none"/>
              </w:rPr>
            </w:pPr>
            <w:r>
              <w:rPr>
                <w:rFonts w:hint="eastAsia" w:ascii="宋体" w:hAnsi="宋体" w:cs="宋体"/>
                <w:color w:val="auto"/>
                <w:highlight w:val="none"/>
              </w:rPr>
              <w:t>吊装吊架金属外观：电镀层表面应无剥落、返锈、毛刺 ；电镀层，表面应无烧焦、起泡、针孔、裂纹、花斑（不包括镀彩锌）和划痕 ；附着力：不低于2级；重金属：可溶性铅≤90mg/kg检测，可溶性镉≤75mg/kg，可溶性铬≤60mg/kg，可溶性汞≤60mg/kg。</w:t>
            </w:r>
          </w:p>
        </w:tc>
        <w:tc>
          <w:tcPr>
            <w:tcW w:w="384" w:type="pct"/>
            <w:vAlign w:val="center"/>
          </w:tcPr>
          <w:p w14:paraId="42C279D7">
            <w:pPr>
              <w:jc w:val="center"/>
              <w:rPr>
                <w:color w:val="auto"/>
                <w:highlight w:val="none"/>
              </w:rPr>
            </w:pPr>
            <w:r>
              <w:rPr>
                <w:rFonts w:hint="eastAsia" w:ascii="宋体" w:hAnsi="宋体" w:cs="宋体"/>
                <w:color w:val="auto"/>
                <w:highlight w:val="none"/>
              </w:rPr>
              <w:t>套</w:t>
            </w:r>
          </w:p>
        </w:tc>
        <w:tc>
          <w:tcPr>
            <w:tcW w:w="385" w:type="pct"/>
            <w:vAlign w:val="center"/>
          </w:tcPr>
          <w:p w14:paraId="39C911BC">
            <w:pPr>
              <w:jc w:val="center"/>
              <w:textAlignment w:val="center"/>
              <w:rPr>
                <w:color w:val="auto"/>
                <w:highlight w:val="none"/>
              </w:rPr>
            </w:pPr>
            <w:r>
              <w:rPr>
                <w:rFonts w:hint="eastAsia" w:ascii="宋体" w:hAnsi="宋体" w:cs="宋体"/>
                <w:color w:val="auto"/>
                <w:kern w:val="0"/>
                <w:szCs w:val="21"/>
                <w:highlight w:val="none"/>
                <w:lang w:bidi="ar"/>
              </w:rPr>
              <w:t>32</w:t>
            </w:r>
          </w:p>
        </w:tc>
      </w:tr>
      <w:tr w14:paraId="1B076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0EF53B24">
            <w:pPr>
              <w:jc w:val="center"/>
              <w:rPr>
                <w:color w:val="auto"/>
                <w:highlight w:val="none"/>
              </w:rPr>
            </w:pPr>
            <w:r>
              <w:rPr>
                <w:rFonts w:hint="eastAsia" w:ascii="宋体" w:hAnsi="宋体" w:cs="宋体"/>
                <w:color w:val="auto"/>
                <w:highlight w:val="none"/>
              </w:rPr>
              <w:t>4</w:t>
            </w:r>
          </w:p>
        </w:tc>
        <w:tc>
          <w:tcPr>
            <w:tcW w:w="782" w:type="pct"/>
            <w:vAlign w:val="center"/>
          </w:tcPr>
          <w:p w14:paraId="70EA8B99">
            <w:pPr>
              <w:jc w:val="center"/>
              <w:rPr>
                <w:color w:val="auto"/>
                <w:highlight w:val="none"/>
              </w:rPr>
            </w:pPr>
            <w:r>
              <w:rPr>
                <w:rFonts w:hint="eastAsia" w:ascii="宋体" w:hAnsi="宋体" w:cs="宋体"/>
                <w:color w:val="auto"/>
                <w:highlight w:val="none"/>
              </w:rPr>
              <w:t>顶装固定支架护罩</w:t>
            </w:r>
          </w:p>
        </w:tc>
        <w:tc>
          <w:tcPr>
            <w:tcW w:w="3079" w:type="pct"/>
            <w:vAlign w:val="center"/>
          </w:tcPr>
          <w:p w14:paraId="70FA5D46">
            <w:pPr>
              <w:rPr>
                <w:color w:val="auto"/>
                <w:highlight w:val="none"/>
              </w:rPr>
            </w:pPr>
            <w:r>
              <w:rPr>
                <w:rFonts w:hint="eastAsia" w:ascii="宋体" w:hAnsi="宋体" w:cs="宋体"/>
                <w:color w:val="auto"/>
                <w:highlight w:val="none"/>
              </w:rPr>
              <w:t>采用优质镀锌钢板经激光切割、数控冲压、数控折弯成型，生产工业采取模块组合，便于安装及维护，外观流线形设计，简洁美观,表面经环氧树脂粉末静电喷涂、高温固化处理，耐腐蚀。</w:t>
            </w:r>
          </w:p>
        </w:tc>
        <w:tc>
          <w:tcPr>
            <w:tcW w:w="384" w:type="pct"/>
            <w:vAlign w:val="center"/>
          </w:tcPr>
          <w:p w14:paraId="4FD92776">
            <w:pPr>
              <w:jc w:val="center"/>
              <w:rPr>
                <w:color w:val="auto"/>
                <w:highlight w:val="none"/>
              </w:rPr>
            </w:pPr>
            <w:r>
              <w:rPr>
                <w:rFonts w:hint="eastAsia" w:ascii="宋体" w:hAnsi="宋体" w:cs="宋体"/>
                <w:color w:val="auto"/>
                <w:highlight w:val="none"/>
              </w:rPr>
              <w:t>套</w:t>
            </w:r>
          </w:p>
        </w:tc>
        <w:tc>
          <w:tcPr>
            <w:tcW w:w="385" w:type="pct"/>
            <w:vAlign w:val="center"/>
          </w:tcPr>
          <w:p w14:paraId="58CBBC66">
            <w:pPr>
              <w:jc w:val="center"/>
              <w:textAlignment w:val="center"/>
              <w:rPr>
                <w:color w:val="auto"/>
                <w:highlight w:val="none"/>
              </w:rPr>
            </w:pPr>
            <w:r>
              <w:rPr>
                <w:rFonts w:hint="eastAsia" w:ascii="宋体" w:hAnsi="宋体" w:cs="宋体"/>
                <w:color w:val="auto"/>
                <w:kern w:val="0"/>
                <w:szCs w:val="21"/>
                <w:highlight w:val="none"/>
                <w:lang w:bidi="ar"/>
              </w:rPr>
              <w:t>32</w:t>
            </w:r>
          </w:p>
        </w:tc>
      </w:tr>
      <w:tr w14:paraId="14CCA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0664424F">
            <w:pPr>
              <w:jc w:val="center"/>
              <w:rPr>
                <w:color w:val="auto"/>
                <w:highlight w:val="none"/>
              </w:rPr>
            </w:pPr>
            <w:r>
              <w:rPr>
                <w:rFonts w:hint="eastAsia" w:ascii="宋体" w:hAnsi="宋体" w:cs="宋体"/>
                <w:color w:val="auto"/>
                <w:highlight w:val="none"/>
              </w:rPr>
              <w:t>5</w:t>
            </w:r>
          </w:p>
        </w:tc>
        <w:tc>
          <w:tcPr>
            <w:tcW w:w="782" w:type="pct"/>
            <w:vAlign w:val="center"/>
          </w:tcPr>
          <w:p w14:paraId="4F507DA8">
            <w:pPr>
              <w:jc w:val="center"/>
              <w:rPr>
                <w:color w:val="auto"/>
                <w:highlight w:val="none"/>
              </w:rPr>
            </w:pPr>
            <w:r>
              <w:rPr>
                <w:rFonts w:hint="eastAsia" w:ascii="宋体" w:hAnsi="宋体" w:cs="宋体"/>
                <w:color w:val="auto"/>
                <w:highlight w:val="none"/>
              </w:rPr>
              <w:t>顶装摇臂动力装置</w:t>
            </w:r>
          </w:p>
        </w:tc>
        <w:tc>
          <w:tcPr>
            <w:tcW w:w="3079" w:type="pct"/>
            <w:vAlign w:val="center"/>
          </w:tcPr>
          <w:p w14:paraId="5DF16F45">
            <w:pPr>
              <w:rPr>
                <w:rFonts w:hint="eastAsia" w:ascii="宋体" w:hAnsi="宋体" w:cs="宋体"/>
                <w:color w:val="auto"/>
                <w:highlight w:val="none"/>
              </w:rPr>
            </w:pPr>
            <w:r>
              <w:rPr>
                <w:rFonts w:hint="eastAsia" w:ascii="宋体" w:hAnsi="宋体" w:cs="宋体"/>
                <w:color w:val="auto"/>
                <w:highlight w:val="none"/>
              </w:rPr>
              <w:t>智能吊装推杆电机，超静音安全低压直流24V低压电机动力，摇臂采用直径≥65MM，厚度≥1.5MM优质铝合金挤压成型，摇臂连接座采用优质铝合金模具压铸经CNC加工成型，动力装置和主体结构模块化组合，安装维护便捷，运行无噪音。智能吊装推杆电机低温（-20℃）工作不低于2h；高温要求温度（40℃）工作不低于2h。</w:t>
            </w:r>
          </w:p>
          <w:p w14:paraId="124690B9">
            <w:pPr>
              <w:rPr>
                <w:color w:val="auto"/>
                <w:highlight w:val="none"/>
              </w:rPr>
            </w:pPr>
            <w:r>
              <w:rPr>
                <w:rFonts w:hint="eastAsia" w:ascii="宋体" w:hAnsi="宋体" w:cs="宋体"/>
                <w:color w:val="auto"/>
                <w:highlight w:val="none"/>
              </w:rPr>
              <w:t>吊装摇臂有害物质限量、重金属要求：可溶性铅≤90mg/kg，可溶性镉≤75mg/kg，可溶性铬≤60mg/kg，可溶性汞≤60mg/kg；对电镀层要求表面应无剥落、返锈、毛刺，电镀层表面应无烧焦、起泡、针孔、裂纹、花斑（不包括镀彩锌）和划痕，金属电镀附着了不低于2级。</w:t>
            </w:r>
          </w:p>
        </w:tc>
        <w:tc>
          <w:tcPr>
            <w:tcW w:w="384" w:type="pct"/>
            <w:vAlign w:val="center"/>
          </w:tcPr>
          <w:p w14:paraId="382AB6D7">
            <w:pPr>
              <w:jc w:val="center"/>
              <w:rPr>
                <w:color w:val="auto"/>
                <w:highlight w:val="none"/>
              </w:rPr>
            </w:pPr>
            <w:r>
              <w:rPr>
                <w:rFonts w:hint="eastAsia" w:ascii="宋体" w:hAnsi="宋体" w:cs="宋体"/>
                <w:color w:val="auto"/>
                <w:highlight w:val="none"/>
              </w:rPr>
              <w:t>个</w:t>
            </w:r>
          </w:p>
        </w:tc>
        <w:tc>
          <w:tcPr>
            <w:tcW w:w="385" w:type="pct"/>
            <w:vAlign w:val="center"/>
          </w:tcPr>
          <w:p w14:paraId="59B52155">
            <w:pPr>
              <w:jc w:val="center"/>
              <w:textAlignment w:val="center"/>
              <w:rPr>
                <w:color w:val="auto"/>
                <w:highlight w:val="none"/>
              </w:rPr>
            </w:pPr>
            <w:r>
              <w:rPr>
                <w:rFonts w:hint="eastAsia" w:ascii="宋体" w:hAnsi="宋体" w:cs="宋体"/>
                <w:color w:val="auto"/>
                <w:kern w:val="0"/>
                <w:szCs w:val="21"/>
                <w:highlight w:val="none"/>
                <w:lang w:bidi="ar"/>
              </w:rPr>
              <w:t>28</w:t>
            </w:r>
          </w:p>
        </w:tc>
      </w:tr>
      <w:tr w14:paraId="2DA81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09683335">
            <w:pPr>
              <w:jc w:val="center"/>
              <w:rPr>
                <w:color w:val="auto"/>
                <w:highlight w:val="none"/>
              </w:rPr>
            </w:pPr>
            <w:r>
              <w:rPr>
                <w:rFonts w:hint="eastAsia" w:ascii="宋体" w:hAnsi="宋体" w:cs="宋体"/>
                <w:color w:val="auto"/>
                <w:highlight w:val="none"/>
              </w:rPr>
              <w:t>6</w:t>
            </w:r>
          </w:p>
        </w:tc>
        <w:tc>
          <w:tcPr>
            <w:tcW w:w="782" w:type="pct"/>
            <w:vAlign w:val="center"/>
          </w:tcPr>
          <w:p w14:paraId="7D8123C9">
            <w:pPr>
              <w:jc w:val="center"/>
              <w:rPr>
                <w:color w:val="auto"/>
                <w:highlight w:val="none"/>
              </w:rPr>
            </w:pPr>
            <w:r>
              <w:rPr>
                <w:rFonts w:hint="eastAsia" w:ascii="宋体" w:hAnsi="宋体" w:cs="宋体"/>
                <w:color w:val="auto"/>
                <w:highlight w:val="none"/>
              </w:rPr>
              <w:t>顶装摇臂智能软件控制器</w:t>
            </w:r>
          </w:p>
        </w:tc>
        <w:tc>
          <w:tcPr>
            <w:tcW w:w="3079" w:type="pct"/>
            <w:vAlign w:val="center"/>
          </w:tcPr>
          <w:p w14:paraId="5E46C450">
            <w:pPr>
              <w:rPr>
                <w:color w:val="auto"/>
                <w:highlight w:val="none"/>
              </w:rPr>
            </w:pPr>
            <w:r>
              <w:rPr>
                <w:rFonts w:hint="eastAsia" w:ascii="宋体" w:hAnsi="宋体" w:cs="宋体"/>
                <w:color w:val="auto"/>
                <w:highlight w:val="none"/>
              </w:rPr>
              <w:t>接收智能化主控制系统控制通信，控制摇臂升降、通风、供水、排水、电流、电压、灯光、供电状态、电流过载、摇臂升降状态、语音提示报警及系统故障提示等等信号采集处理，反馈一切信息和主控系统进行自动化处理。</w:t>
            </w:r>
          </w:p>
        </w:tc>
        <w:tc>
          <w:tcPr>
            <w:tcW w:w="384" w:type="pct"/>
            <w:vAlign w:val="center"/>
          </w:tcPr>
          <w:p w14:paraId="5BE61949">
            <w:pPr>
              <w:jc w:val="center"/>
              <w:rPr>
                <w:color w:val="auto"/>
                <w:highlight w:val="none"/>
              </w:rPr>
            </w:pPr>
            <w:r>
              <w:rPr>
                <w:rFonts w:hint="eastAsia" w:ascii="宋体" w:hAnsi="宋体" w:cs="宋体"/>
                <w:color w:val="auto"/>
                <w:highlight w:val="none"/>
              </w:rPr>
              <w:t>套</w:t>
            </w:r>
          </w:p>
        </w:tc>
        <w:tc>
          <w:tcPr>
            <w:tcW w:w="385" w:type="pct"/>
            <w:vAlign w:val="center"/>
          </w:tcPr>
          <w:p w14:paraId="2564F8C3">
            <w:pPr>
              <w:jc w:val="center"/>
              <w:textAlignment w:val="center"/>
              <w:rPr>
                <w:color w:val="auto"/>
                <w:highlight w:val="none"/>
              </w:rPr>
            </w:pPr>
            <w:r>
              <w:rPr>
                <w:rFonts w:hint="eastAsia" w:ascii="宋体" w:hAnsi="宋体" w:cs="宋体"/>
                <w:color w:val="auto"/>
                <w:kern w:val="0"/>
                <w:szCs w:val="21"/>
                <w:highlight w:val="none"/>
                <w:lang w:bidi="ar"/>
              </w:rPr>
              <w:t>28</w:t>
            </w:r>
          </w:p>
        </w:tc>
      </w:tr>
      <w:tr w14:paraId="5BE5E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23D1110C">
            <w:pPr>
              <w:jc w:val="center"/>
              <w:rPr>
                <w:color w:val="auto"/>
                <w:highlight w:val="none"/>
              </w:rPr>
            </w:pPr>
            <w:r>
              <w:rPr>
                <w:rFonts w:hint="eastAsia" w:ascii="宋体" w:hAnsi="宋体" w:cs="宋体"/>
                <w:color w:val="auto"/>
                <w:highlight w:val="none"/>
              </w:rPr>
              <w:t>7</w:t>
            </w:r>
          </w:p>
        </w:tc>
        <w:tc>
          <w:tcPr>
            <w:tcW w:w="782" w:type="pct"/>
            <w:vAlign w:val="center"/>
          </w:tcPr>
          <w:p w14:paraId="2687AD23">
            <w:pPr>
              <w:jc w:val="center"/>
              <w:rPr>
                <w:color w:val="auto"/>
                <w:highlight w:val="none"/>
              </w:rPr>
            </w:pPr>
            <w:r>
              <w:rPr>
                <w:rFonts w:hint="eastAsia" w:ascii="宋体" w:hAnsi="宋体" w:cs="宋体"/>
                <w:color w:val="auto"/>
                <w:highlight w:val="none"/>
              </w:rPr>
              <w:t>智能电源腔体</w:t>
            </w:r>
          </w:p>
        </w:tc>
        <w:tc>
          <w:tcPr>
            <w:tcW w:w="3079" w:type="pct"/>
            <w:vAlign w:val="center"/>
          </w:tcPr>
          <w:p w14:paraId="3E09DEE6">
            <w:pPr>
              <w:rPr>
                <w:color w:val="auto"/>
                <w:highlight w:val="none"/>
              </w:rPr>
            </w:pPr>
            <w:r>
              <w:rPr>
                <w:rFonts w:hint="eastAsia" w:ascii="宋体" w:hAnsi="宋体" w:cs="宋体"/>
                <w:color w:val="auto"/>
                <w:highlight w:val="none"/>
              </w:rPr>
              <w:t>腔体采用阻燃级ABS塑料原料经定制开发模具注塑一次性加工成型，生产工艺采用模块化组合，模块内部采用双舱体设计，水电隔离设计，防水功能，相互不干扰，保证设备安全可靠性预留多个供应系统安装位置可适应不同教学实验要求。</w:t>
            </w:r>
          </w:p>
        </w:tc>
        <w:tc>
          <w:tcPr>
            <w:tcW w:w="384" w:type="pct"/>
            <w:vAlign w:val="center"/>
          </w:tcPr>
          <w:p w14:paraId="1BB8E676">
            <w:pPr>
              <w:jc w:val="center"/>
              <w:rPr>
                <w:color w:val="auto"/>
                <w:highlight w:val="none"/>
              </w:rPr>
            </w:pPr>
            <w:r>
              <w:rPr>
                <w:rFonts w:hint="eastAsia" w:ascii="宋体" w:hAnsi="宋体" w:cs="宋体"/>
                <w:color w:val="auto"/>
                <w:highlight w:val="none"/>
              </w:rPr>
              <w:t>个</w:t>
            </w:r>
          </w:p>
        </w:tc>
        <w:tc>
          <w:tcPr>
            <w:tcW w:w="385" w:type="pct"/>
            <w:vAlign w:val="center"/>
          </w:tcPr>
          <w:p w14:paraId="1F6E0C98">
            <w:pPr>
              <w:jc w:val="center"/>
              <w:textAlignment w:val="center"/>
              <w:rPr>
                <w:color w:val="auto"/>
                <w:highlight w:val="none"/>
              </w:rPr>
            </w:pPr>
            <w:r>
              <w:rPr>
                <w:rFonts w:hint="eastAsia" w:ascii="宋体" w:hAnsi="宋体" w:cs="宋体"/>
                <w:color w:val="auto"/>
                <w:kern w:val="0"/>
                <w:szCs w:val="21"/>
                <w:highlight w:val="none"/>
                <w:lang w:bidi="ar"/>
              </w:rPr>
              <w:t>28</w:t>
            </w:r>
          </w:p>
        </w:tc>
      </w:tr>
      <w:tr w14:paraId="2935B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1CF12AC0">
            <w:pPr>
              <w:jc w:val="center"/>
              <w:rPr>
                <w:color w:val="auto"/>
                <w:highlight w:val="none"/>
              </w:rPr>
            </w:pPr>
            <w:r>
              <w:rPr>
                <w:rFonts w:hint="eastAsia" w:ascii="宋体" w:hAnsi="宋体" w:cs="宋体"/>
                <w:color w:val="auto"/>
                <w:highlight w:val="none"/>
              </w:rPr>
              <w:t>8</w:t>
            </w:r>
          </w:p>
        </w:tc>
        <w:tc>
          <w:tcPr>
            <w:tcW w:w="782" w:type="pct"/>
            <w:vAlign w:val="center"/>
          </w:tcPr>
          <w:p w14:paraId="6B01C9C2">
            <w:pPr>
              <w:jc w:val="center"/>
              <w:rPr>
                <w:color w:val="auto"/>
                <w:highlight w:val="none"/>
              </w:rPr>
            </w:pPr>
            <w:r>
              <w:rPr>
                <w:rFonts w:hint="eastAsia" w:ascii="宋体" w:hAnsi="宋体" w:cs="宋体"/>
                <w:color w:val="auto"/>
                <w:highlight w:val="none"/>
              </w:rPr>
              <w:t>智能彩色液晶显示屛</w:t>
            </w:r>
          </w:p>
        </w:tc>
        <w:tc>
          <w:tcPr>
            <w:tcW w:w="3079" w:type="pct"/>
            <w:vAlign w:val="center"/>
          </w:tcPr>
          <w:p w14:paraId="3EA618A7">
            <w:pPr>
              <w:rPr>
                <w:color w:val="auto"/>
                <w:highlight w:val="none"/>
              </w:rPr>
            </w:pPr>
            <w:r>
              <w:rPr>
                <w:rFonts w:hint="eastAsia" w:ascii="宋体" w:hAnsi="宋体" w:cs="宋体"/>
                <w:color w:val="auto"/>
                <w:highlight w:val="none"/>
              </w:rPr>
              <w:t>显示屏≥3.0寸TFT-LCD液晶显示屏，屛面数据清晰，接收智能化主控制系统控制，界面可显示通风、供水、排水、电流、电压、灯光、供电状态、电流过载提示、摇臂升降状态、语音提示报警及系统故障提示等等功能，显示设定及实际电压值；吊装的动作，吸风罩有无回位，水槽水位状态，操作失误及系统故障实时警示提醒，便于老师及学生了解操作情况。</w:t>
            </w:r>
          </w:p>
        </w:tc>
        <w:tc>
          <w:tcPr>
            <w:tcW w:w="384" w:type="pct"/>
            <w:vAlign w:val="center"/>
          </w:tcPr>
          <w:p w14:paraId="050C9E35">
            <w:pPr>
              <w:jc w:val="center"/>
              <w:rPr>
                <w:color w:val="auto"/>
                <w:highlight w:val="none"/>
              </w:rPr>
            </w:pPr>
            <w:r>
              <w:rPr>
                <w:rFonts w:hint="eastAsia" w:ascii="宋体" w:hAnsi="宋体" w:cs="宋体"/>
                <w:color w:val="auto"/>
                <w:highlight w:val="none"/>
              </w:rPr>
              <w:t>个</w:t>
            </w:r>
          </w:p>
        </w:tc>
        <w:tc>
          <w:tcPr>
            <w:tcW w:w="385" w:type="pct"/>
            <w:vAlign w:val="center"/>
          </w:tcPr>
          <w:p w14:paraId="501DFB12">
            <w:pPr>
              <w:jc w:val="center"/>
              <w:textAlignment w:val="center"/>
              <w:rPr>
                <w:color w:val="auto"/>
                <w:highlight w:val="none"/>
              </w:rPr>
            </w:pPr>
            <w:r>
              <w:rPr>
                <w:rFonts w:hint="eastAsia" w:ascii="宋体" w:hAnsi="宋体" w:cs="宋体"/>
                <w:color w:val="auto"/>
                <w:kern w:val="0"/>
                <w:szCs w:val="21"/>
                <w:highlight w:val="none"/>
                <w:lang w:bidi="ar"/>
              </w:rPr>
              <w:t>56</w:t>
            </w:r>
          </w:p>
        </w:tc>
      </w:tr>
      <w:tr w14:paraId="5254D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0C5F958E">
            <w:pPr>
              <w:jc w:val="center"/>
              <w:rPr>
                <w:color w:val="auto"/>
                <w:highlight w:val="none"/>
              </w:rPr>
            </w:pPr>
            <w:r>
              <w:rPr>
                <w:rFonts w:hint="eastAsia" w:ascii="宋体" w:hAnsi="宋体" w:cs="宋体"/>
                <w:color w:val="auto"/>
                <w:highlight w:val="none"/>
              </w:rPr>
              <w:t>9</w:t>
            </w:r>
          </w:p>
        </w:tc>
        <w:tc>
          <w:tcPr>
            <w:tcW w:w="782" w:type="pct"/>
            <w:vAlign w:val="center"/>
          </w:tcPr>
          <w:p w14:paraId="49F90EE0">
            <w:pPr>
              <w:jc w:val="center"/>
              <w:rPr>
                <w:color w:val="auto"/>
                <w:highlight w:val="none"/>
              </w:rPr>
            </w:pPr>
            <w:r>
              <w:rPr>
                <w:rFonts w:hint="eastAsia" w:ascii="宋体" w:hAnsi="宋体" w:cs="宋体"/>
                <w:color w:val="auto"/>
                <w:highlight w:val="none"/>
              </w:rPr>
              <w:t>多功能电源模块</w:t>
            </w:r>
          </w:p>
        </w:tc>
        <w:tc>
          <w:tcPr>
            <w:tcW w:w="3079" w:type="pct"/>
            <w:vAlign w:val="center"/>
          </w:tcPr>
          <w:p w14:paraId="72BC7A3E">
            <w:pPr>
              <w:rPr>
                <w:rFonts w:hint="eastAsia" w:ascii="宋体" w:hAnsi="宋体" w:cs="宋体"/>
                <w:color w:val="auto"/>
                <w:highlight w:val="none"/>
              </w:rPr>
            </w:pPr>
            <w:r>
              <w:rPr>
                <w:rFonts w:hint="eastAsia" w:ascii="宋体" w:hAnsi="宋体" w:cs="宋体"/>
                <w:color w:val="auto"/>
                <w:highlight w:val="none"/>
              </w:rPr>
              <w:t>1.电路板采用贴片元件生产技术，微电脑控制。</w:t>
            </w:r>
          </w:p>
          <w:p w14:paraId="43AA98AE">
            <w:pPr>
              <w:rPr>
                <w:rFonts w:hint="eastAsia" w:ascii="宋体" w:hAnsi="宋体" w:cs="宋体"/>
                <w:color w:val="auto"/>
                <w:highlight w:val="none"/>
              </w:rPr>
            </w:pPr>
            <w:r>
              <w:rPr>
                <w:rFonts w:hint="eastAsia" w:ascii="宋体" w:hAnsi="宋体" w:cs="宋体"/>
                <w:color w:val="auto"/>
                <w:highlight w:val="none"/>
              </w:rPr>
              <w:t>2.操作面板基本规格尺寸：≥140mm*170mm，采用耐磨、耐腐蚀、耐高温,耐冲击≥1.0mm厚PC板材极光切割触摸面板工艺制造。</w:t>
            </w:r>
          </w:p>
          <w:p w14:paraId="02B0244E">
            <w:pPr>
              <w:rPr>
                <w:rFonts w:hint="eastAsia" w:ascii="宋体" w:hAnsi="宋体" w:cs="宋体"/>
                <w:color w:val="auto"/>
                <w:highlight w:val="none"/>
              </w:rPr>
            </w:pPr>
            <w:r>
              <w:rPr>
                <w:rFonts w:hint="eastAsia" w:ascii="宋体" w:hAnsi="宋体" w:cs="宋体"/>
                <w:color w:val="auto"/>
                <w:highlight w:val="none"/>
              </w:rPr>
              <w:t>3.交直流电源具有过载保护智能检测功能，设置“过载”图标提示。采用按钮复位功能免除反复过载冲击负载。</w:t>
            </w:r>
          </w:p>
          <w:p w14:paraId="3A6D76B0">
            <w:pPr>
              <w:rPr>
                <w:color w:val="auto"/>
                <w:highlight w:val="none"/>
              </w:rPr>
            </w:pPr>
            <w:r>
              <w:rPr>
                <w:rFonts w:hint="eastAsia" w:ascii="宋体" w:hAnsi="宋体" w:cs="宋体"/>
                <w:color w:val="auto"/>
                <w:highlight w:val="none"/>
              </w:rPr>
              <w:t>4.学生高压电源可接收主控电源发送的锁定信号，学生接收老输送的设定电源电压，教师锁定时，学生自己无法操作，这样可避免学生的误操作。老师端可以分组或独立控制。</w:t>
            </w:r>
          </w:p>
        </w:tc>
        <w:tc>
          <w:tcPr>
            <w:tcW w:w="384" w:type="pct"/>
            <w:vAlign w:val="center"/>
          </w:tcPr>
          <w:p w14:paraId="146F1A2E">
            <w:pPr>
              <w:jc w:val="center"/>
              <w:rPr>
                <w:color w:val="auto"/>
                <w:highlight w:val="none"/>
              </w:rPr>
            </w:pPr>
            <w:r>
              <w:rPr>
                <w:rFonts w:hint="eastAsia" w:ascii="宋体" w:hAnsi="宋体" w:cs="宋体"/>
                <w:color w:val="auto"/>
                <w:highlight w:val="none"/>
              </w:rPr>
              <w:t>个</w:t>
            </w:r>
          </w:p>
        </w:tc>
        <w:tc>
          <w:tcPr>
            <w:tcW w:w="385" w:type="pct"/>
            <w:vAlign w:val="center"/>
          </w:tcPr>
          <w:p w14:paraId="054C11D5">
            <w:pPr>
              <w:jc w:val="center"/>
              <w:textAlignment w:val="center"/>
              <w:rPr>
                <w:color w:val="auto"/>
                <w:highlight w:val="none"/>
              </w:rPr>
            </w:pPr>
            <w:r>
              <w:rPr>
                <w:rFonts w:hint="eastAsia" w:ascii="宋体" w:hAnsi="宋体" w:cs="宋体"/>
                <w:color w:val="auto"/>
                <w:kern w:val="0"/>
                <w:szCs w:val="21"/>
                <w:highlight w:val="none"/>
                <w:lang w:bidi="ar"/>
              </w:rPr>
              <w:t>56</w:t>
            </w:r>
          </w:p>
        </w:tc>
      </w:tr>
      <w:tr w14:paraId="7090B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1BEC2D69">
            <w:pPr>
              <w:jc w:val="center"/>
              <w:rPr>
                <w:color w:val="auto"/>
                <w:highlight w:val="none"/>
              </w:rPr>
            </w:pPr>
            <w:r>
              <w:rPr>
                <w:rFonts w:hint="eastAsia" w:ascii="宋体" w:hAnsi="宋体" w:cs="宋体"/>
                <w:color w:val="auto"/>
                <w:highlight w:val="none"/>
              </w:rPr>
              <w:t>10</w:t>
            </w:r>
          </w:p>
        </w:tc>
        <w:tc>
          <w:tcPr>
            <w:tcW w:w="782" w:type="pct"/>
            <w:vAlign w:val="center"/>
          </w:tcPr>
          <w:p w14:paraId="4E96E338">
            <w:pPr>
              <w:jc w:val="center"/>
              <w:rPr>
                <w:color w:val="auto"/>
                <w:highlight w:val="none"/>
              </w:rPr>
            </w:pPr>
            <w:r>
              <w:rPr>
                <w:rFonts w:hint="eastAsia" w:ascii="宋体" w:hAnsi="宋体" w:cs="宋体"/>
                <w:color w:val="auto"/>
                <w:highlight w:val="none"/>
              </w:rPr>
              <w:t>急停控制软件系统装置</w:t>
            </w:r>
          </w:p>
        </w:tc>
        <w:tc>
          <w:tcPr>
            <w:tcW w:w="3079" w:type="pct"/>
            <w:vAlign w:val="center"/>
          </w:tcPr>
          <w:p w14:paraId="0D97BF87">
            <w:pPr>
              <w:rPr>
                <w:color w:val="auto"/>
                <w:highlight w:val="none"/>
              </w:rPr>
            </w:pPr>
            <w:r>
              <w:rPr>
                <w:rFonts w:hint="eastAsia" w:ascii="宋体" w:hAnsi="宋体" w:cs="宋体"/>
                <w:color w:val="auto"/>
                <w:highlight w:val="none"/>
              </w:rPr>
              <w:t>采用独立控制软件控制，通过急停按钮给出信号源，由智能控制软件自动处理分析。防止在操作实验过程中水、电系统出现故障时紧急制动及摇臂升降过程紧急制动，确保操作安全可靠性。</w:t>
            </w:r>
          </w:p>
        </w:tc>
        <w:tc>
          <w:tcPr>
            <w:tcW w:w="384" w:type="pct"/>
            <w:vAlign w:val="center"/>
          </w:tcPr>
          <w:p w14:paraId="119B4BE7">
            <w:pPr>
              <w:jc w:val="center"/>
              <w:rPr>
                <w:color w:val="auto"/>
                <w:highlight w:val="none"/>
              </w:rPr>
            </w:pPr>
            <w:r>
              <w:rPr>
                <w:rFonts w:hint="eastAsia" w:ascii="宋体" w:hAnsi="宋体" w:cs="宋体"/>
                <w:color w:val="auto"/>
                <w:highlight w:val="none"/>
              </w:rPr>
              <w:t>个</w:t>
            </w:r>
          </w:p>
        </w:tc>
        <w:tc>
          <w:tcPr>
            <w:tcW w:w="385" w:type="pct"/>
            <w:vAlign w:val="center"/>
          </w:tcPr>
          <w:p w14:paraId="0DBB96B1">
            <w:pPr>
              <w:jc w:val="center"/>
              <w:textAlignment w:val="center"/>
              <w:rPr>
                <w:color w:val="auto"/>
                <w:highlight w:val="none"/>
              </w:rPr>
            </w:pPr>
            <w:r>
              <w:rPr>
                <w:rFonts w:hint="eastAsia" w:ascii="宋体" w:hAnsi="宋体" w:cs="宋体"/>
                <w:color w:val="auto"/>
                <w:kern w:val="0"/>
                <w:szCs w:val="21"/>
                <w:highlight w:val="none"/>
                <w:lang w:bidi="ar"/>
              </w:rPr>
              <w:t>28</w:t>
            </w:r>
          </w:p>
        </w:tc>
      </w:tr>
      <w:tr w14:paraId="54BA7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7B293BFD">
            <w:pPr>
              <w:jc w:val="center"/>
              <w:rPr>
                <w:color w:val="auto"/>
                <w:highlight w:val="none"/>
              </w:rPr>
            </w:pPr>
            <w:r>
              <w:rPr>
                <w:rFonts w:hint="eastAsia" w:ascii="宋体" w:hAnsi="宋体" w:cs="宋体"/>
                <w:color w:val="auto"/>
                <w:highlight w:val="none"/>
              </w:rPr>
              <w:t>11</w:t>
            </w:r>
          </w:p>
        </w:tc>
        <w:tc>
          <w:tcPr>
            <w:tcW w:w="782" w:type="pct"/>
            <w:vAlign w:val="center"/>
          </w:tcPr>
          <w:p w14:paraId="77EF46AD">
            <w:pPr>
              <w:jc w:val="center"/>
              <w:rPr>
                <w:color w:val="auto"/>
                <w:highlight w:val="none"/>
              </w:rPr>
            </w:pPr>
            <w:r>
              <w:rPr>
                <w:rFonts w:hint="eastAsia" w:ascii="宋体" w:hAnsi="宋体" w:cs="宋体"/>
                <w:color w:val="auto"/>
                <w:highlight w:val="none"/>
              </w:rPr>
              <w:t>模块化供电线路</w:t>
            </w:r>
          </w:p>
        </w:tc>
        <w:tc>
          <w:tcPr>
            <w:tcW w:w="3079" w:type="pct"/>
            <w:vAlign w:val="center"/>
          </w:tcPr>
          <w:p w14:paraId="31775F19">
            <w:pPr>
              <w:rPr>
                <w:color w:val="auto"/>
                <w:highlight w:val="none"/>
              </w:rPr>
            </w:pPr>
            <w:r>
              <w:rPr>
                <w:rFonts w:hint="eastAsia" w:ascii="宋体" w:hAnsi="宋体" w:cs="宋体"/>
                <w:color w:val="auto"/>
                <w:highlight w:val="none"/>
              </w:rPr>
              <w:t>信号屏蔽线及电源线采取集数化设计，电线进行系统布线。每组模块间采用活接式连接，方便安装、故障排除、检修。</w:t>
            </w:r>
          </w:p>
        </w:tc>
        <w:tc>
          <w:tcPr>
            <w:tcW w:w="384" w:type="pct"/>
            <w:vAlign w:val="center"/>
          </w:tcPr>
          <w:p w14:paraId="4B880C7C">
            <w:pPr>
              <w:jc w:val="center"/>
              <w:rPr>
                <w:color w:val="auto"/>
                <w:highlight w:val="none"/>
              </w:rPr>
            </w:pPr>
            <w:r>
              <w:rPr>
                <w:rFonts w:hint="eastAsia" w:ascii="宋体" w:hAnsi="宋体" w:cs="宋体"/>
                <w:color w:val="auto"/>
                <w:highlight w:val="none"/>
              </w:rPr>
              <w:t>套</w:t>
            </w:r>
          </w:p>
        </w:tc>
        <w:tc>
          <w:tcPr>
            <w:tcW w:w="385" w:type="pct"/>
            <w:vAlign w:val="center"/>
          </w:tcPr>
          <w:p w14:paraId="3D53D90C">
            <w:pPr>
              <w:jc w:val="center"/>
              <w:textAlignment w:val="center"/>
              <w:rPr>
                <w:color w:val="auto"/>
                <w:highlight w:val="none"/>
              </w:rPr>
            </w:pPr>
            <w:r>
              <w:rPr>
                <w:rFonts w:hint="eastAsia" w:ascii="宋体" w:hAnsi="宋体" w:cs="宋体"/>
                <w:color w:val="auto"/>
                <w:kern w:val="0"/>
                <w:szCs w:val="21"/>
                <w:highlight w:val="none"/>
                <w:lang w:bidi="ar"/>
              </w:rPr>
              <w:t>28</w:t>
            </w:r>
          </w:p>
        </w:tc>
      </w:tr>
      <w:tr w14:paraId="747E8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11C19D71">
            <w:pPr>
              <w:jc w:val="center"/>
              <w:rPr>
                <w:color w:val="auto"/>
                <w:highlight w:val="none"/>
              </w:rPr>
            </w:pPr>
            <w:r>
              <w:rPr>
                <w:rFonts w:hint="eastAsia" w:ascii="宋体" w:hAnsi="宋体" w:cs="宋体"/>
                <w:color w:val="auto"/>
                <w:highlight w:val="none"/>
              </w:rPr>
              <w:t>12</w:t>
            </w:r>
          </w:p>
        </w:tc>
        <w:tc>
          <w:tcPr>
            <w:tcW w:w="782" w:type="pct"/>
            <w:vAlign w:val="center"/>
          </w:tcPr>
          <w:p w14:paraId="4BC1C05B">
            <w:pPr>
              <w:jc w:val="center"/>
              <w:rPr>
                <w:color w:val="auto"/>
                <w:highlight w:val="none"/>
              </w:rPr>
            </w:pPr>
            <w:r>
              <w:rPr>
                <w:rFonts w:hint="eastAsia" w:ascii="宋体" w:hAnsi="宋体" w:cs="宋体"/>
                <w:color w:val="auto"/>
                <w:highlight w:val="none"/>
              </w:rPr>
              <w:t>智能照明控制软件系统装置</w:t>
            </w:r>
          </w:p>
        </w:tc>
        <w:tc>
          <w:tcPr>
            <w:tcW w:w="3079" w:type="pct"/>
            <w:vAlign w:val="center"/>
          </w:tcPr>
          <w:p w14:paraId="62FD47C3">
            <w:pPr>
              <w:rPr>
                <w:color w:val="auto"/>
                <w:highlight w:val="none"/>
              </w:rPr>
            </w:pPr>
            <w:r>
              <w:rPr>
                <w:rFonts w:hint="eastAsia" w:ascii="宋体" w:hAnsi="宋体" w:cs="宋体"/>
                <w:color w:val="auto"/>
                <w:highlight w:val="none"/>
              </w:rPr>
              <w:t>采用4个不低于460*70mm标准LED吸顶模组，灯板采用不低于2.0mm厚pc光扩散板，扩大了发光面，使光线变的柔和，达到匀光而又透光，同时满足各种雾度值和透光率的需求。及在保证高透光率，降低光衰的情况下，有着良好的光源遮蔽性效果，符合视觉工效学原则及室内工作场所照明。模块化安装，维修便捷。所有灯光模组由独立控制软件系统控制，可以根据实际照明需求进行4个模组单个关闭及开启功能。</w:t>
            </w:r>
          </w:p>
        </w:tc>
        <w:tc>
          <w:tcPr>
            <w:tcW w:w="384" w:type="pct"/>
            <w:vAlign w:val="center"/>
          </w:tcPr>
          <w:p w14:paraId="29B6E27A">
            <w:pPr>
              <w:jc w:val="center"/>
              <w:rPr>
                <w:color w:val="auto"/>
                <w:highlight w:val="none"/>
              </w:rPr>
            </w:pPr>
            <w:r>
              <w:rPr>
                <w:rFonts w:hint="eastAsia" w:ascii="宋体" w:hAnsi="宋体" w:cs="宋体"/>
                <w:color w:val="auto"/>
                <w:highlight w:val="none"/>
              </w:rPr>
              <w:t>套</w:t>
            </w:r>
          </w:p>
        </w:tc>
        <w:tc>
          <w:tcPr>
            <w:tcW w:w="385" w:type="pct"/>
            <w:vAlign w:val="center"/>
          </w:tcPr>
          <w:p w14:paraId="681B259B">
            <w:pPr>
              <w:jc w:val="center"/>
              <w:textAlignment w:val="center"/>
              <w:rPr>
                <w:color w:val="auto"/>
                <w:highlight w:val="none"/>
              </w:rPr>
            </w:pPr>
            <w:r>
              <w:rPr>
                <w:rFonts w:hint="eastAsia" w:ascii="宋体" w:hAnsi="宋体" w:cs="宋体"/>
                <w:color w:val="auto"/>
                <w:kern w:val="0"/>
                <w:szCs w:val="21"/>
                <w:highlight w:val="none"/>
                <w:lang w:bidi="ar"/>
              </w:rPr>
              <w:t>32</w:t>
            </w:r>
          </w:p>
        </w:tc>
      </w:tr>
      <w:tr w14:paraId="571D2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vAlign w:val="center"/>
          </w:tcPr>
          <w:p w14:paraId="356D8CFA">
            <w:pPr>
              <w:jc w:val="center"/>
              <w:rPr>
                <w:color w:val="auto"/>
                <w:highlight w:val="none"/>
              </w:rPr>
            </w:pPr>
            <w:r>
              <w:rPr>
                <w:rFonts w:hint="eastAsia" w:ascii="宋体" w:hAnsi="宋体" w:cs="宋体"/>
                <w:color w:val="auto"/>
                <w:highlight w:val="none"/>
              </w:rPr>
              <w:t>13</w:t>
            </w:r>
          </w:p>
        </w:tc>
        <w:tc>
          <w:tcPr>
            <w:tcW w:w="782" w:type="pct"/>
            <w:vAlign w:val="center"/>
          </w:tcPr>
          <w:p w14:paraId="46C6235E">
            <w:pPr>
              <w:jc w:val="center"/>
              <w:rPr>
                <w:color w:val="auto"/>
                <w:highlight w:val="none"/>
              </w:rPr>
            </w:pPr>
            <w:r>
              <w:rPr>
                <w:rFonts w:hint="eastAsia" w:ascii="宋体" w:hAnsi="宋体" w:cs="宋体"/>
                <w:color w:val="auto"/>
                <w:highlight w:val="none"/>
              </w:rPr>
              <w:t>吊装系统集成服务</w:t>
            </w:r>
          </w:p>
        </w:tc>
        <w:tc>
          <w:tcPr>
            <w:tcW w:w="3079" w:type="pct"/>
            <w:vAlign w:val="center"/>
          </w:tcPr>
          <w:p w14:paraId="3A47B11A">
            <w:pPr>
              <w:rPr>
                <w:rFonts w:hint="eastAsia" w:ascii="宋体" w:hAnsi="宋体" w:cs="宋体"/>
                <w:color w:val="auto"/>
                <w:highlight w:val="none"/>
              </w:rPr>
            </w:pPr>
            <w:r>
              <w:rPr>
                <w:rFonts w:hint="eastAsia" w:ascii="宋体" w:hAnsi="宋体" w:cs="宋体"/>
                <w:color w:val="auto"/>
                <w:highlight w:val="none"/>
              </w:rPr>
              <w:t>1.吊顶式安装系统采用模块化结构设计，采用吊装安装方式，包括但不限于教室电路、灯具照明、顶面、墙面氛围处理。</w:t>
            </w:r>
          </w:p>
          <w:p w14:paraId="6B62181F">
            <w:pPr>
              <w:rPr>
                <w:rFonts w:hint="eastAsia" w:ascii="宋体" w:hAnsi="宋体" w:cs="宋体"/>
                <w:color w:val="auto"/>
                <w:highlight w:val="none"/>
              </w:rPr>
            </w:pPr>
            <w:r>
              <w:rPr>
                <w:rFonts w:hint="eastAsia" w:ascii="宋体" w:hAnsi="宋体" w:cs="宋体"/>
                <w:color w:val="auto"/>
                <w:highlight w:val="none"/>
              </w:rPr>
              <w:t>2.系统结构安装调试。</w:t>
            </w:r>
          </w:p>
          <w:p w14:paraId="2D4449C2">
            <w:pPr>
              <w:rPr>
                <w:rFonts w:hint="eastAsia" w:ascii="宋体" w:hAnsi="宋体" w:cs="宋体"/>
                <w:color w:val="auto"/>
                <w:highlight w:val="none"/>
              </w:rPr>
            </w:pPr>
            <w:r>
              <w:rPr>
                <w:rFonts w:hint="eastAsia" w:ascii="宋体" w:hAnsi="宋体" w:cs="宋体"/>
                <w:color w:val="auto"/>
                <w:highlight w:val="none"/>
              </w:rPr>
              <w:t>3.系统控制安装调试。</w:t>
            </w:r>
          </w:p>
          <w:p w14:paraId="2FCE71EB">
            <w:pPr>
              <w:rPr>
                <w:rFonts w:hint="eastAsia" w:ascii="宋体" w:hAnsi="宋体" w:cs="宋体"/>
                <w:color w:val="auto"/>
                <w:highlight w:val="none"/>
              </w:rPr>
            </w:pPr>
            <w:r>
              <w:rPr>
                <w:rFonts w:hint="eastAsia" w:ascii="宋体" w:hAnsi="宋体" w:cs="宋体"/>
                <w:color w:val="auto"/>
                <w:highlight w:val="none"/>
              </w:rPr>
              <w:t>4.供电系统安装调试。</w:t>
            </w:r>
          </w:p>
          <w:p w14:paraId="1DF50111">
            <w:pPr>
              <w:rPr>
                <w:color w:val="auto"/>
                <w:highlight w:val="none"/>
              </w:rPr>
            </w:pPr>
            <w:r>
              <w:rPr>
                <w:rFonts w:hint="eastAsia" w:ascii="宋体" w:hAnsi="宋体" w:cs="宋体"/>
                <w:color w:val="auto"/>
                <w:highlight w:val="none"/>
              </w:rPr>
              <w:t>5.照明系统安装调试。</w:t>
            </w:r>
          </w:p>
        </w:tc>
        <w:tc>
          <w:tcPr>
            <w:tcW w:w="384" w:type="pct"/>
            <w:vAlign w:val="center"/>
          </w:tcPr>
          <w:p w14:paraId="5B36A198">
            <w:pPr>
              <w:jc w:val="center"/>
              <w:rPr>
                <w:color w:val="auto"/>
                <w:highlight w:val="none"/>
              </w:rPr>
            </w:pPr>
            <w:r>
              <w:rPr>
                <w:rFonts w:hint="eastAsia" w:ascii="宋体" w:hAnsi="宋体" w:cs="宋体"/>
                <w:color w:val="auto"/>
                <w:highlight w:val="none"/>
              </w:rPr>
              <w:t>项</w:t>
            </w:r>
          </w:p>
        </w:tc>
        <w:tc>
          <w:tcPr>
            <w:tcW w:w="385" w:type="pct"/>
            <w:vAlign w:val="center"/>
          </w:tcPr>
          <w:p w14:paraId="59E23BCE">
            <w:pPr>
              <w:jc w:val="center"/>
              <w:textAlignment w:val="center"/>
              <w:rPr>
                <w:color w:val="auto"/>
                <w:highlight w:val="none"/>
              </w:rPr>
            </w:pPr>
            <w:r>
              <w:rPr>
                <w:rFonts w:hint="eastAsia" w:ascii="宋体" w:hAnsi="宋体" w:cs="宋体"/>
                <w:color w:val="auto"/>
                <w:kern w:val="0"/>
                <w:szCs w:val="21"/>
                <w:highlight w:val="none"/>
                <w:lang w:bidi="ar"/>
              </w:rPr>
              <w:t>2</w:t>
            </w:r>
          </w:p>
        </w:tc>
      </w:tr>
      <w:tr w14:paraId="56954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370" w:type="pct"/>
            <w:vAlign w:val="center"/>
          </w:tcPr>
          <w:p w14:paraId="13F2703F">
            <w:pPr>
              <w:jc w:val="center"/>
              <w:rPr>
                <w:color w:val="auto"/>
                <w:highlight w:val="none"/>
              </w:rPr>
            </w:pPr>
            <w:r>
              <w:rPr>
                <w:rFonts w:hint="eastAsia" w:ascii="宋体" w:hAnsi="宋体" w:cs="宋体"/>
                <w:color w:val="auto"/>
                <w:highlight w:val="none"/>
              </w:rPr>
              <w:t>14</w:t>
            </w:r>
          </w:p>
        </w:tc>
        <w:tc>
          <w:tcPr>
            <w:tcW w:w="782" w:type="pct"/>
            <w:vAlign w:val="center"/>
          </w:tcPr>
          <w:p w14:paraId="56C8EA64">
            <w:pPr>
              <w:jc w:val="center"/>
              <w:rPr>
                <w:color w:val="auto"/>
                <w:highlight w:val="none"/>
              </w:rPr>
            </w:pPr>
            <w:r>
              <w:rPr>
                <w:rFonts w:hint="eastAsia" w:ascii="宋体" w:hAnsi="宋体" w:cs="宋体"/>
                <w:color w:val="auto"/>
                <w:highlight w:val="none"/>
              </w:rPr>
              <w:t>系统安装辅件</w:t>
            </w:r>
          </w:p>
        </w:tc>
        <w:tc>
          <w:tcPr>
            <w:tcW w:w="3079" w:type="pct"/>
            <w:vAlign w:val="center"/>
          </w:tcPr>
          <w:p w14:paraId="74D4DF6F">
            <w:pPr>
              <w:rPr>
                <w:rFonts w:hint="eastAsia" w:ascii="宋体" w:hAnsi="宋体" w:cs="宋体"/>
                <w:color w:val="auto"/>
                <w:highlight w:val="none"/>
              </w:rPr>
            </w:pPr>
            <w:r>
              <w:rPr>
                <w:rFonts w:hint="eastAsia" w:ascii="宋体" w:hAnsi="宋体" w:cs="宋体"/>
                <w:color w:val="auto"/>
                <w:highlight w:val="none"/>
              </w:rPr>
              <w:t>采用型材吊装方式，减少楼板承重，防止左右晃动，可进行上下、左右的平衡调节。主要辅件有：型材、龙骨架连接件、高度调节结构等。</w:t>
            </w:r>
          </w:p>
        </w:tc>
        <w:tc>
          <w:tcPr>
            <w:tcW w:w="384" w:type="pct"/>
            <w:vAlign w:val="center"/>
          </w:tcPr>
          <w:p w14:paraId="258C8EC0">
            <w:pPr>
              <w:jc w:val="center"/>
              <w:rPr>
                <w:color w:val="auto"/>
                <w:highlight w:val="none"/>
              </w:rPr>
            </w:pPr>
            <w:r>
              <w:rPr>
                <w:rFonts w:hint="eastAsia" w:ascii="宋体" w:hAnsi="宋体" w:cs="宋体"/>
                <w:color w:val="auto"/>
                <w:highlight w:val="none"/>
              </w:rPr>
              <w:t>项</w:t>
            </w:r>
          </w:p>
        </w:tc>
        <w:tc>
          <w:tcPr>
            <w:tcW w:w="385" w:type="pct"/>
            <w:vAlign w:val="center"/>
          </w:tcPr>
          <w:p w14:paraId="1C4D251B">
            <w:pPr>
              <w:jc w:val="center"/>
              <w:textAlignment w:val="center"/>
              <w:rPr>
                <w:color w:val="auto"/>
                <w:highlight w:val="none"/>
              </w:rPr>
            </w:pPr>
            <w:r>
              <w:rPr>
                <w:rFonts w:hint="eastAsia" w:ascii="宋体" w:hAnsi="宋体" w:cs="宋体"/>
                <w:color w:val="auto"/>
                <w:kern w:val="0"/>
                <w:szCs w:val="21"/>
                <w:highlight w:val="none"/>
                <w:lang w:bidi="ar"/>
              </w:rPr>
              <w:t>2</w:t>
            </w:r>
          </w:p>
        </w:tc>
      </w:tr>
      <w:tr w14:paraId="78D69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370" w:type="pct"/>
            <w:vAlign w:val="center"/>
          </w:tcPr>
          <w:p w14:paraId="392A1B7D">
            <w:pPr>
              <w:jc w:val="center"/>
              <w:rPr>
                <w:rFonts w:hint="eastAsia" w:ascii="宋体" w:hAnsi="宋体" w:cs="宋体"/>
                <w:color w:val="auto"/>
                <w:highlight w:val="none"/>
              </w:rPr>
            </w:pPr>
          </w:p>
        </w:tc>
        <w:tc>
          <w:tcPr>
            <w:tcW w:w="782" w:type="pct"/>
            <w:vAlign w:val="center"/>
          </w:tcPr>
          <w:p w14:paraId="1F6D52F1">
            <w:pPr>
              <w:jc w:val="center"/>
              <w:rPr>
                <w:rFonts w:hint="eastAsia" w:ascii="宋体" w:hAnsi="宋体" w:cs="宋体"/>
                <w:color w:val="auto"/>
                <w:highlight w:val="none"/>
              </w:rPr>
            </w:pPr>
          </w:p>
        </w:tc>
        <w:tc>
          <w:tcPr>
            <w:tcW w:w="3079" w:type="pct"/>
            <w:vAlign w:val="center"/>
          </w:tcPr>
          <w:p w14:paraId="4013BACC">
            <w:pPr>
              <w:jc w:val="center"/>
              <w:rPr>
                <w:rFonts w:hint="eastAsia" w:ascii="宋体" w:hAnsi="宋体" w:cs="宋体"/>
                <w:color w:val="auto"/>
                <w:highlight w:val="none"/>
              </w:rPr>
            </w:pPr>
            <w:r>
              <w:rPr>
                <w:rFonts w:hint="eastAsia" w:ascii="宋体" w:hAnsi="宋体" w:cs="宋体"/>
                <w:b/>
                <w:bCs/>
                <w:color w:val="auto"/>
                <w:highlight w:val="none"/>
              </w:rPr>
              <w:t>高中物理新课标实验仪器</w:t>
            </w:r>
          </w:p>
        </w:tc>
        <w:tc>
          <w:tcPr>
            <w:tcW w:w="384" w:type="pct"/>
            <w:vAlign w:val="center"/>
          </w:tcPr>
          <w:p w14:paraId="4FF1F661">
            <w:pPr>
              <w:jc w:val="center"/>
              <w:rPr>
                <w:rFonts w:hint="eastAsia" w:ascii="宋体" w:hAnsi="宋体" w:cs="宋体"/>
                <w:color w:val="auto"/>
                <w:highlight w:val="none"/>
              </w:rPr>
            </w:pPr>
          </w:p>
        </w:tc>
        <w:tc>
          <w:tcPr>
            <w:tcW w:w="385" w:type="pct"/>
            <w:vAlign w:val="center"/>
          </w:tcPr>
          <w:p w14:paraId="1085D204">
            <w:pPr>
              <w:jc w:val="center"/>
              <w:rPr>
                <w:rFonts w:hint="eastAsia" w:ascii="宋体" w:hAnsi="宋体" w:cs="宋体"/>
                <w:color w:val="auto"/>
                <w:highlight w:val="none"/>
              </w:rPr>
            </w:pPr>
          </w:p>
        </w:tc>
      </w:tr>
      <w:tr w14:paraId="03F5B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370" w:type="pct"/>
            <w:tcBorders>
              <w:right w:val="single" w:color="auto" w:sz="4" w:space="0"/>
            </w:tcBorders>
            <w:vAlign w:val="center"/>
          </w:tcPr>
          <w:p w14:paraId="5A7A64DE">
            <w:pPr>
              <w:jc w:val="center"/>
              <w:rPr>
                <w:rFonts w:hint="eastAsia" w:ascii="宋体" w:hAnsi="宋体" w:cs="宋体"/>
                <w:b/>
                <w:bCs/>
                <w:color w:val="auto"/>
                <w:highlight w:val="none"/>
              </w:rPr>
            </w:pPr>
            <w:r>
              <w:rPr>
                <w:rFonts w:hint="eastAsia" w:ascii="宋体" w:hAnsi="宋体" w:cs="宋体"/>
                <w:b/>
                <w:bCs/>
                <w:color w:val="auto"/>
                <w:highlight w:val="none"/>
              </w:rPr>
              <w:t>序号</w:t>
            </w:r>
          </w:p>
        </w:tc>
        <w:tc>
          <w:tcPr>
            <w:tcW w:w="782" w:type="pct"/>
            <w:tcBorders>
              <w:left w:val="single" w:color="auto" w:sz="4" w:space="0"/>
              <w:right w:val="single" w:color="auto" w:sz="4" w:space="0"/>
            </w:tcBorders>
            <w:vAlign w:val="center"/>
          </w:tcPr>
          <w:p w14:paraId="247C6EE5">
            <w:pPr>
              <w:jc w:val="center"/>
              <w:rPr>
                <w:rFonts w:hint="eastAsia" w:ascii="宋体" w:hAnsi="宋体" w:cs="宋体"/>
                <w:b/>
                <w:bCs/>
                <w:color w:val="auto"/>
                <w:highlight w:val="none"/>
              </w:rPr>
            </w:pPr>
            <w:r>
              <w:rPr>
                <w:rFonts w:hint="eastAsia" w:ascii="宋体" w:hAnsi="宋体" w:cs="宋体"/>
                <w:b/>
                <w:bCs/>
                <w:color w:val="auto"/>
                <w:highlight w:val="none"/>
              </w:rPr>
              <w:t>名称</w:t>
            </w:r>
          </w:p>
        </w:tc>
        <w:tc>
          <w:tcPr>
            <w:tcW w:w="3079" w:type="pct"/>
            <w:tcBorders>
              <w:left w:val="single" w:color="auto" w:sz="4" w:space="0"/>
            </w:tcBorders>
            <w:vAlign w:val="center"/>
          </w:tcPr>
          <w:p w14:paraId="54B6FD4A">
            <w:pPr>
              <w:jc w:val="center"/>
              <w:rPr>
                <w:rFonts w:hint="eastAsia" w:ascii="宋体" w:hAnsi="宋体" w:cs="宋体"/>
                <w:b/>
                <w:bCs/>
                <w:color w:val="auto"/>
                <w:highlight w:val="none"/>
              </w:rPr>
            </w:pPr>
            <w:r>
              <w:rPr>
                <w:rFonts w:hint="eastAsia" w:ascii="宋体" w:hAnsi="宋体" w:cs="宋体"/>
                <w:b/>
                <w:bCs/>
                <w:color w:val="auto"/>
                <w:highlight w:val="none"/>
              </w:rPr>
              <w:t>一般性能及技术参数要求</w:t>
            </w:r>
          </w:p>
        </w:tc>
        <w:tc>
          <w:tcPr>
            <w:tcW w:w="384" w:type="pct"/>
            <w:vAlign w:val="center"/>
          </w:tcPr>
          <w:p w14:paraId="0B1FDF45">
            <w:pPr>
              <w:jc w:val="center"/>
              <w:rPr>
                <w:color w:val="auto"/>
                <w:highlight w:val="none"/>
              </w:rPr>
            </w:pPr>
            <w:r>
              <w:rPr>
                <w:rFonts w:hint="eastAsia" w:ascii="宋体" w:hAnsi="宋体" w:cs="宋体"/>
                <w:b/>
                <w:bCs/>
                <w:color w:val="auto"/>
                <w:highlight w:val="none"/>
              </w:rPr>
              <w:t>单位</w:t>
            </w:r>
          </w:p>
        </w:tc>
        <w:tc>
          <w:tcPr>
            <w:tcW w:w="385" w:type="pct"/>
            <w:vAlign w:val="center"/>
          </w:tcPr>
          <w:p w14:paraId="60C5164F">
            <w:pPr>
              <w:jc w:val="center"/>
              <w:rPr>
                <w:color w:val="auto"/>
                <w:highlight w:val="none"/>
              </w:rPr>
            </w:pPr>
            <w:r>
              <w:rPr>
                <w:rFonts w:hint="eastAsia" w:ascii="宋体" w:hAnsi="宋体" w:cs="宋体"/>
                <w:b/>
                <w:bCs/>
                <w:color w:val="auto"/>
                <w:highlight w:val="none"/>
              </w:rPr>
              <w:t>数量</w:t>
            </w:r>
          </w:p>
        </w:tc>
      </w:tr>
      <w:tr w14:paraId="71F42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036F3339">
            <w:pPr>
              <w:jc w:val="center"/>
              <w:rPr>
                <w:rFonts w:hint="eastAsia" w:ascii="宋体" w:hAnsi="宋体" w:cs="宋体"/>
                <w:b/>
                <w:bCs/>
                <w:color w:val="auto"/>
                <w:highlight w:val="none"/>
              </w:rPr>
            </w:pPr>
            <w:r>
              <w:rPr>
                <w:rFonts w:hint="eastAsia" w:ascii="宋体" w:hAnsi="宋体" w:cs="宋体"/>
                <w:color w:val="auto"/>
                <w:highlight w:val="none"/>
              </w:rPr>
              <w:t>1</w:t>
            </w:r>
          </w:p>
        </w:tc>
        <w:tc>
          <w:tcPr>
            <w:tcW w:w="782" w:type="pct"/>
            <w:tcBorders>
              <w:left w:val="single" w:color="auto" w:sz="4" w:space="0"/>
              <w:right w:val="single" w:color="auto" w:sz="4" w:space="0"/>
            </w:tcBorders>
            <w:vAlign w:val="center"/>
          </w:tcPr>
          <w:p w14:paraId="5C0CBF0A">
            <w:pPr>
              <w:jc w:val="center"/>
              <w:rPr>
                <w:rFonts w:hint="eastAsia" w:ascii="宋体" w:hAnsi="宋体" w:cs="宋体"/>
                <w:b/>
                <w:bCs/>
                <w:color w:val="auto"/>
                <w:highlight w:val="none"/>
              </w:rPr>
            </w:pPr>
            <w:r>
              <w:rPr>
                <w:rFonts w:hint="eastAsia" w:ascii="宋体" w:hAnsi="宋体" w:cs="宋体"/>
                <w:color w:val="auto"/>
                <w:highlight w:val="none"/>
              </w:rPr>
              <w:t>平抛运动演示仪</w:t>
            </w:r>
          </w:p>
        </w:tc>
        <w:tc>
          <w:tcPr>
            <w:tcW w:w="3079" w:type="pct"/>
            <w:tcBorders>
              <w:left w:val="single" w:color="auto" w:sz="4" w:space="0"/>
            </w:tcBorders>
            <w:vAlign w:val="center"/>
          </w:tcPr>
          <w:p w14:paraId="7009B859">
            <w:pPr>
              <w:rPr>
                <w:rFonts w:hint="eastAsia" w:ascii="宋体" w:hAnsi="宋体" w:cs="宋体"/>
                <w:color w:val="auto"/>
                <w:highlight w:val="none"/>
              </w:rPr>
            </w:pPr>
            <w:r>
              <w:rPr>
                <w:rFonts w:hint="eastAsia" w:ascii="宋体" w:hAnsi="宋体" w:cs="宋体"/>
                <w:color w:val="auto"/>
                <w:highlight w:val="none"/>
              </w:rPr>
              <w:t>主要配置及特征参数：</w:t>
            </w:r>
          </w:p>
          <w:p w14:paraId="3FF226BE">
            <w:pPr>
              <w:rPr>
                <w:rFonts w:hint="eastAsia" w:ascii="宋体" w:hAnsi="宋体" w:cs="宋体"/>
                <w:color w:val="auto"/>
                <w:highlight w:val="none"/>
              </w:rPr>
            </w:pPr>
            <w:r>
              <w:rPr>
                <w:rFonts w:hint="eastAsia" w:ascii="宋体" w:hAnsi="宋体" w:cs="宋体"/>
                <w:color w:val="auto"/>
                <w:highlight w:val="none"/>
              </w:rPr>
              <w:t>由电磁铁钢球释放装置（3个）、轨道、背板、标尺等组成。可同时完成钢球释放：一个电磁铁释放的钢球做平抛运动，一个电磁铁释放的钢球做匀速直线运动，一个电磁铁释放的钢球做自由落体运动。</w:t>
            </w:r>
          </w:p>
          <w:p w14:paraId="47C51CF7">
            <w:pPr>
              <w:rPr>
                <w:rFonts w:hint="eastAsia" w:ascii="宋体" w:hAnsi="宋体" w:cs="宋体"/>
                <w:color w:val="auto"/>
                <w:highlight w:val="none"/>
              </w:rPr>
            </w:pPr>
            <w:r>
              <w:rPr>
                <w:rFonts w:hint="eastAsia" w:ascii="宋体" w:hAnsi="宋体" w:cs="宋体"/>
                <w:color w:val="auto"/>
                <w:highlight w:val="none"/>
              </w:rPr>
              <w:t>能够完成的教学演示。</w:t>
            </w:r>
          </w:p>
          <w:p w14:paraId="6FF516AE">
            <w:pPr>
              <w:rPr>
                <w:rFonts w:hint="eastAsia" w:ascii="宋体" w:hAnsi="宋体" w:cs="宋体"/>
                <w:b/>
                <w:bCs/>
                <w:color w:val="auto"/>
                <w:highlight w:val="none"/>
              </w:rPr>
            </w:pPr>
            <w:r>
              <w:rPr>
                <w:rFonts w:hint="eastAsia" w:ascii="宋体" w:hAnsi="宋体" w:cs="宋体"/>
                <w:color w:val="auto"/>
                <w:highlight w:val="none"/>
              </w:rPr>
              <w:t>探究平抛运动的特点。</w:t>
            </w:r>
          </w:p>
        </w:tc>
        <w:tc>
          <w:tcPr>
            <w:tcW w:w="384" w:type="pct"/>
            <w:vAlign w:val="center"/>
          </w:tcPr>
          <w:p w14:paraId="28740115">
            <w:pPr>
              <w:jc w:val="center"/>
              <w:rPr>
                <w:color w:val="auto"/>
                <w:highlight w:val="none"/>
              </w:rPr>
            </w:pPr>
            <w:r>
              <w:rPr>
                <w:rFonts w:hint="eastAsia" w:ascii="宋体" w:hAnsi="宋体" w:cs="宋体"/>
                <w:color w:val="auto"/>
                <w:highlight w:val="none"/>
              </w:rPr>
              <w:t>套</w:t>
            </w:r>
          </w:p>
        </w:tc>
        <w:tc>
          <w:tcPr>
            <w:tcW w:w="385" w:type="pct"/>
            <w:vAlign w:val="center"/>
          </w:tcPr>
          <w:p w14:paraId="055A3D74">
            <w:pPr>
              <w:jc w:val="center"/>
              <w:rPr>
                <w:color w:val="auto"/>
                <w:highlight w:val="none"/>
              </w:rPr>
            </w:pPr>
            <w:r>
              <w:rPr>
                <w:rFonts w:hint="eastAsia" w:ascii="宋体" w:hAnsi="宋体" w:cs="宋体"/>
                <w:color w:val="auto"/>
                <w:highlight w:val="none"/>
              </w:rPr>
              <w:t>1</w:t>
            </w:r>
          </w:p>
        </w:tc>
      </w:tr>
      <w:tr w14:paraId="5A1B7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3FB4805C">
            <w:pPr>
              <w:jc w:val="center"/>
              <w:rPr>
                <w:rFonts w:hint="eastAsia" w:ascii="宋体" w:hAnsi="宋体" w:cs="宋体"/>
                <w:b/>
                <w:bCs/>
                <w:color w:val="auto"/>
                <w:highlight w:val="none"/>
              </w:rPr>
            </w:pPr>
            <w:r>
              <w:rPr>
                <w:rFonts w:hint="eastAsia" w:ascii="宋体" w:hAnsi="宋体" w:cs="宋体"/>
                <w:color w:val="auto"/>
                <w:highlight w:val="none"/>
              </w:rPr>
              <w:t>2</w:t>
            </w:r>
          </w:p>
        </w:tc>
        <w:tc>
          <w:tcPr>
            <w:tcW w:w="782" w:type="pct"/>
            <w:tcBorders>
              <w:left w:val="single" w:color="auto" w:sz="4" w:space="0"/>
              <w:right w:val="single" w:color="auto" w:sz="4" w:space="0"/>
            </w:tcBorders>
            <w:vAlign w:val="center"/>
          </w:tcPr>
          <w:p w14:paraId="0AAD1614">
            <w:pPr>
              <w:jc w:val="center"/>
              <w:rPr>
                <w:rFonts w:hint="eastAsia" w:ascii="宋体" w:hAnsi="宋体" w:cs="宋体"/>
                <w:b/>
                <w:bCs/>
                <w:color w:val="auto"/>
                <w:highlight w:val="none"/>
              </w:rPr>
            </w:pPr>
            <w:r>
              <w:rPr>
                <w:rFonts w:hint="eastAsia" w:ascii="宋体" w:hAnsi="宋体" w:cs="宋体"/>
                <w:color w:val="auto"/>
                <w:highlight w:val="none"/>
              </w:rPr>
              <w:t>自感现象演示器</w:t>
            </w:r>
          </w:p>
        </w:tc>
        <w:tc>
          <w:tcPr>
            <w:tcW w:w="3079" w:type="pct"/>
            <w:tcBorders>
              <w:left w:val="single" w:color="auto" w:sz="4" w:space="0"/>
            </w:tcBorders>
            <w:vAlign w:val="center"/>
          </w:tcPr>
          <w:p w14:paraId="2D34A9C6">
            <w:pPr>
              <w:rPr>
                <w:rFonts w:hint="eastAsia" w:ascii="宋体" w:hAnsi="宋体" w:cs="宋体"/>
                <w:color w:val="auto"/>
                <w:highlight w:val="none"/>
              </w:rPr>
            </w:pPr>
            <w:r>
              <w:rPr>
                <w:rFonts w:hint="eastAsia" w:ascii="宋体" w:hAnsi="宋体" w:cs="宋体"/>
                <w:color w:val="auto"/>
                <w:highlight w:val="none"/>
              </w:rPr>
              <w:t>主要配置及特征参数：</w:t>
            </w:r>
          </w:p>
          <w:p w14:paraId="5861E6B9">
            <w:pPr>
              <w:rPr>
                <w:rFonts w:hint="eastAsia" w:ascii="宋体" w:hAnsi="宋体" w:cs="宋体"/>
                <w:color w:val="auto"/>
                <w:highlight w:val="none"/>
              </w:rPr>
            </w:pPr>
            <w:r>
              <w:rPr>
                <w:rFonts w:hint="eastAsia" w:ascii="宋体" w:hAnsi="宋体" w:cs="宋体"/>
                <w:color w:val="auto"/>
                <w:highlight w:val="none"/>
              </w:rPr>
              <w:t>由小灯泡、灯座、变压器、电位器、开关等组成。</w:t>
            </w:r>
          </w:p>
          <w:p w14:paraId="3EDD2039">
            <w:pPr>
              <w:rPr>
                <w:rFonts w:hint="eastAsia" w:ascii="宋体" w:hAnsi="宋体" w:cs="宋体"/>
                <w:color w:val="auto"/>
                <w:highlight w:val="none"/>
              </w:rPr>
            </w:pPr>
            <w:r>
              <w:rPr>
                <w:rFonts w:hint="eastAsia" w:ascii="宋体" w:hAnsi="宋体" w:cs="宋体"/>
                <w:color w:val="auto"/>
                <w:highlight w:val="none"/>
              </w:rPr>
              <w:t>技术指标：</w:t>
            </w:r>
          </w:p>
          <w:p w14:paraId="4429FC74">
            <w:pPr>
              <w:rPr>
                <w:rFonts w:hint="eastAsia" w:ascii="宋体" w:hAnsi="宋体" w:cs="宋体"/>
                <w:color w:val="auto"/>
                <w:highlight w:val="none"/>
              </w:rPr>
            </w:pPr>
            <w:r>
              <w:rPr>
                <w:rFonts w:hint="eastAsia" w:ascii="宋体" w:hAnsi="宋体" w:cs="宋体"/>
                <w:color w:val="auto"/>
                <w:highlight w:val="none"/>
              </w:rPr>
              <w:t>▲外形基本尺寸666*470mm（±5mm）；上下为铝型材结构，6063-T5材料，具有良好的抗拉强度，表面黑色氧化细喷砂处理。左右为ABS塑料精密注塑成型边框；仪器面板分为“通电自感现象”和“断电自感现象”两部分。表面印有电路原理图并分别标有两部分的工作电压。导线采用暗线布置，内部接线与面板上的原理图一致。</w:t>
            </w:r>
          </w:p>
          <w:p w14:paraId="19C6CE80">
            <w:pPr>
              <w:rPr>
                <w:rFonts w:hint="eastAsia" w:ascii="宋体" w:hAnsi="宋体" w:cs="宋体"/>
                <w:b/>
                <w:bCs/>
                <w:color w:val="auto"/>
                <w:highlight w:val="none"/>
              </w:rPr>
            </w:pPr>
            <w:r>
              <w:rPr>
                <w:rFonts w:hint="eastAsia" w:ascii="宋体" w:hAnsi="宋体" w:cs="宋体"/>
                <w:b/>
                <w:bCs/>
                <w:color w:val="auto"/>
                <w:highlight w:val="none"/>
              </w:rPr>
              <w:t>提供第三方检测机构出具的产品检测报告的扫描件。</w:t>
            </w:r>
          </w:p>
        </w:tc>
        <w:tc>
          <w:tcPr>
            <w:tcW w:w="384" w:type="pct"/>
            <w:vAlign w:val="center"/>
          </w:tcPr>
          <w:p w14:paraId="7AECCE9A">
            <w:pPr>
              <w:jc w:val="center"/>
              <w:rPr>
                <w:color w:val="auto"/>
                <w:highlight w:val="none"/>
              </w:rPr>
            </w:pPr>
            <w:r>
              <w:rPr>
                <w:rFonts w:hint="eastAsia" w:ascii="宋体" w:hAnsi="宋体" w:cs="宋体"/>
                <w:color w:val="auto"/>
                <w:highlight w:val="none"/>
              </w:rPr>
              <w:t>台</w:t>
            </w:r>
          </w:p>
        </w:tc>
        <w:tc>
          <w:tcPr>
            <w:tcW w:w="385" w:type="pct"/>
            <w:vAlign w:val="center"/>
          </w:tcPr>
          <w:p w14:paraId="69BEDC6F">
            <w:pPr>
              <w:jc w:val="center"/>
              <w:rPr>
                <w:color w:val="auto"/>
                <w:highlight w:val="none"/>
              </w:rPr>
            </w:pPr>
            <w:r>
              <w:rPr>
                <w:rFonts w:hint="eastAsia" w:ascii="宋体" w:hAnsi="宋体" w:cs="宋体"/>
                <w:color w:val="auto"/>
                <w:highlight w:val="none"/>
              </w:rPr>
              <w:t>1</w:t>
            </w:r>
          </w:p>
        </w:tc>
      </w:tr>
      <w:tr w14:paraId="1B356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6B9CC0B7">
            <w:pPr>
              <w:jc w:val="center"/>
              <w:rPr>
                <w:rFonts w:hint="eastAsia" w:ascii="宋体" w:hAnsi="宋体" w:cs="宋体"/>
                <w:b/>
                <w:bCs/>
                <w:color w:val="auto"/>
                <w:highlight w:val="none"/>
              </w:rPr>
            </w:pPr>
            <w:r>
              <w:rPr>
                <w:rFonts w:hint="eastAsia" w:ascii="宋体" w:hAnsi="宋体" w:cs="宋体"/>
                <w:color w:val="auto"/>
                <w:highlight w:val="none"/>
              </w:rPr>
              <w:t>3</w:t>
            </w:r>
          </w:p>
        </w:tc>
        <w:tc>
          <w:tcPr>
            <w:tcW w:w="782" w:type="pct"/>
            <w:tcBorders>
              <w:left w:val="single" w:color="auto" w:sz="4" w:space="0"/>
              <w:right w:val="single" w:color="auto" w:sz="4" w:space="0"/>
            </w:tcBorders>
            <w:vAlign w:val="center"/>
          </w:tcPr>
          <w:p w14:paraId="779A293C">
            <w:pPr>
              <w:jc w:val="center"/>
              <w:rPr>
                <w:rFonts w:hint="eastAsia" w:ascii="宋体" w:hAnsi="宋体" w:cs="宋体"/>
                <w:b/>
                <w:bCs/>
                <w:color w:val="auto"/>
                <w:highlight w:val="none"/>
              </w:rPr>
            </w:pPr>
            <w:r>
              <w:rPr>
                <w:rFonts w:hint="eastAsia" w:ascii="宋体" w:hAnsi="宋体" w:cs="宋体"/>
                <w:color w:val="auto"/>
                <w:highlight w:val="none"/>
              </w:rPr>
              <w:t>光电效应演示器</w:t>
            </w:r>
          </w:p>
        </w:tc>
        <w:tc>
          <w:tcPr>
            <w:tcW w:w="3079" w:type="pct"/>
            <w:tcBorders>
              <w:left w:val="single" w:color="auto" w:sz="4" w:space="0"/>
            </w:tcBorders>
            <w:vAlign w:val="center"/>
          </w:tcPr>
          <w:p w14:paraId="702CCD44">
            <w:pPr>
              <w:rPr>
                <w:rFonts w:hint="eastAsia" w:ascii="宋体" w:hAnsi="宋体" w:cs="宋体"/>
                <w:color w:val="auto"/>
                <w:highlight w:val="none"/>
              </w:rPr>
            </w:pPr>
            <w:r>
              <w:rPr>
                <w:rFonts w:hint="eastAsia" w:ascii="宋体" w:hAnsi="宋体" w:cs="宋体"/>
                <w:color w:val="auto"/>
                <w:highlight w:val="none"/>
              </w:rPr>
              <w:t>主要配置及特征参数：</w:t>
            </w:r>
          </w:p>
          <w:p w14:paraId="01CBAE41">
            <w:pPr>
              <w:rPr>
                <w:rFonts w:hint="eastAsia" w:ascii="宋体" w:hAnsi="宋体" w:cs="宋体"/>
                <w:color w:val="auto"/>
                <w:highlight w:val="none"/>
              </w:rPr>
            </w:pPr>
            <w:r>
              <w:rPr>
                <w:rFonts w:hint="eastAsia" w:ascii="宋体" w:hAnsi="宋体" w:cs="宋体"/>
                <w:color w:val="auto"/>
                <w:highlight w:val="none"/>
              </w:rPr>
              <w:t>由电流表、电压表、电位器、光源、光电管、滤光片（红色、绿色、蓝色）等组成。</w:t>
            </w:r>
          </w:p>
          <w:p w14:paraId="7DE8B386">
            <w:pPr>
              <w:rPr>
                <w:rFonts w:hint="eastAsia" w:ascii="宋体" w:hAnsi="宋体" w:cs="宋体"/>
                <w:color w:val="auto"/>
                <w:highlight w:val="none"/>
              </w:rPr>
            </w:pPr>
            <w:r>
              <w:rPr>
                <w:rFonts w:hint="eastAsia" w:ascii="宋体" w:hAnsi="宋体" w:cs="宋体"/>
                <w:color w:val="auto"/>
                <w:highlight w:val="none"/>
              </w:rPr>
              <w:t>技术指标：</w:t>
            </w:r>
          </w:p>
          <w:p w14:paraId="633C198F">
            <w:pPr>
              <w:rPr>
                <w:rFonts w:hint="eastAsia" w:ascii="宋体" w:hAnsi="宋体" w:cs="宋体"/>
                <w:color w:val="auto"/>
                <w:highlight w:val="none"/>
              </w:rPr>
            </w:pPr>
            <w:r>
              <w:rPr>
                <w:rFonts w:hint="eastAsia" w:ascii="宋体" w:hAnsi="宋体" w:cs="宋体"/>
                <w:color w:val="auto"/>
                <w:highlight w:val="none"/>
              </w:rPr>
              <w:t>▲外形基本尺寸666*470mm（±5mm）；上下为铝型材结构，6063-T5材料,具有良好的抗拉强度，表面黑色氧化细喷砂处理。左右为ABS塑料精密注塑成型边框。仪器面板表面印有原理电路图，导线采用暗线布置，内部接线与面板上的电路图一致，光源强度和光源颜色均可调节。</w:t>
            </w:r>
          </w:p>
          <w:p w14:paraId="13AD79DD">
            <w:pPr>
              <w:rPr>
                <w:rFonts w:hint="eastAsia" w:ascii="宋体" w:hAnsi="宋体" w:cs="宋体"/>
                <w:b/>
                <w:bCs/>
                <w:color w:val="auto"/>
                <w:highlight w:val="none"/>
              </w:rPr>
            </w:pPr>
            <w:r>
              <w:rPr>
                <w:rFonts w:hint="eastAsia" w:ascii="宋体" w:hAnsi="宋体" w:cs="宋体"/>
                <w:b/>
                <w:bCs/>
                <w:color w:val="auto"/>
                <w:highlight w:val="none"/>
              </w:rPr>
              <w:t>提供第三方检测机构出具的产品检测报告的扫描件。</w:t>
            </w:r>
          </w:p>
        </w:tc>
        <w:tc>
          <w:tcPr>
            <w:tcW w:w="384" w:type="pct"/>
            <w:vAlign w:val="center"/>
          </w:tcPr>
          <w:p w14:paraId="0128D0E1">
            <w:pPr>
              <w:jc w:val="center"/>
              <w:rPr>
                <w:color w:val="auto"/>
                <w:highlight w:val="none"/>
              </w:rPr>
            </w:pPr>
            <w:r>
              <w:rPr>
                <w:rFonts w:hint="eastAsia" w:ascii="宋体" w:hAnsi="宋体" w:cs="宋体"/>
                <w:color w:val="auto"/>
                <w:highlight w:val="none"/>
              </w:rPr>
              <w:t>套</w:t>
            </w:r>
          </w:p>
        </w:tc>
        <w:tc>
          <w:tcPr>
            <w:tcW w:w="385" w:type="pct"/>
            <w:vAlign w:val="center"/>
          </w:tcPr>
          <w:p w14:paraId="15E2070E">
            <w:pPr>
              <w:jc w:val="center"/>
              <w:rPr>
                <w:color w:val="auto"/>
                <w:highlight w:val="none"/>
              </w:rPr>
            </w:pPr>
            <w:r>
              <w:rPr>
                <w:rFonts w:hint="eastAsia" w:ascii="宋体" w:hAnsi="宋体" w:cs="宋体"/>
                <w:color w:val="auto"/>
                <w:highlight w:val="none"/>
              </w:rPr>
              <w:t>1</w:t>
            </w:r>
          </w:p>
        </w:tc>
      </w:tr>
      <w:tr w14:paraId="7A628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6B38CC48">
            <w:pPr>
              <w:jc w:val="center"/>
              <w:rPr>
                <w:rFonts w:hint="eastAsia" w:ascii="宋体" w:hAnsi="宋体" w:cs="宋体"/>
                <w:b/>
                <w:bCs/>
                <w:color w:val="auto"/>
                <w:highlight w:val="none"/>
              </w:rPr>
            </w:pPr>
            <w:r>
              <w:rPr>
                <w:rFonts w:hint="eastAsia" w:ascii="宋体" w:hAnsi="宋体" w:cs="宋体"/>
                <w:color w:val="auto"/>
                <w:highlight w:val="none"/>
              </w:rPr>
              <w:t>4</w:t>
            </w:r>
          </w:p>
        </w:tc>
        <w:tc>
          <w:tcPr>
            <w:tcW w:w="782" w:type="pct"/>
            <w:tcBorders>
              <w:left w:val="single" w:color="auto" w:sz="4" w:space="0"/>
              <w:right w:val="single" w:color="auto" w:sz="4" w:space="0"/>
            </w:tcBorders>
            <w:vAlign w:val="center"/>
          </w:tcPr>
          <w:p w14:paraId="7D01D7DB">
            <w:pPr>
              <w:jc w:val="center"/>
              <w:rPr>
                <w:rFonts w:hint="eastAsia" w:ascii="宋体" w:hAnsi="宋体" w:cs="宋体"/>
                <w:b/>
                <w:bCs/>
                <w:color w:val="auto"/>
                <w:highlight w:val="none"/>
              </w:rPr>
            </w:pPr>
            <w:r>
              <w:rPr>
                <w:rFonts w:hint="eastAsia" w:ascii="宋体" w:hAnsi="宋体" w:cs="宋体"/>
                <w:color w:val="auto"/>
                <w:highlight w:val="none"/>
              </w:rPr>
              <w:t>曲线运动条件实验器</w:t>
            </w:r>
          </w:p>
        </w:tc>
        <w:tc>
          <w:tcPr>
            <w:tcW w:w="3079" w:type="pct"/>
            <w:tcBorders>
              <w:left w:val="single" w:color="auto" w:sz="4" w:space="0"/>
            </w:tcBorders>
            <w:vAlign w:val="center"/>
          </w:tcPr>
          <w:p w14:paraId="4AC2F228">
            <w:pPr>
              <w:rPr>
                <w:rFonts w:hint="eastAsia" w:ascii="宋体" w:hAnsi="宋体" w:cs="宋体"/>
                <w:color w:val="auto"/>
                <w:highlight w:val="none"/>
              </w:rPr>
            </w:pPr>
            <w:r>
              <w:rPr>
                <w:rFonts w:hint="eastAsia" w:ascii="宋体" w:hAnsi="宋体" w:cs="宋体"/>
                <w:color w:val="auto"/>
                <w:highlight w:val="none"/>
              </w:rPr>
              <w:t>主要配置及特征参数：</w:t>
            </w:r>
          </w:p>
          <w:p w14:paraId="33D0BD47">
            <w:pPr>
              <w:rPr>
                <w:rFonts w:hint="eastAsia" w:ascii="宋体" w:hAnsi="宋体" w:cs="宋体"/>
                <w:color w:val="auto"/>
                <w:highlight w:val="none"/>
              </w:rPr>
            </w:pPr>
            <w:r>
              <w:rPr>
                <w:rFonts w:hint="eastAsia" w:ascii="宋体" w:hAnsi="宋体" w:cs="宋体"/>
                <w:color w:val="auto"/>
                <w:highlight w:val="none"/>
              </w:rPr>
              <w:t>由曲线运动实验器主体、一体式跨轨专用电磁继电器组件、轨道、磁铁、小铁球、等组成。</w:t>
            </w:r>
          </w:p>
          <w:p w14:paraId="69FA10FA">
            <w:pPr>
              <w:rPr>
                <w:rFonts w:hint="eastAsia" w:ascii="宋体" w:hAnsi="宋体" w:cs="宋体"/>
                <w:color w:val="auto"/>
                <w:highlight w:val="none"/>
              </w:rPr>
            </w:pPr>
            <w:r>
              <w:rPr>
                <w:rFonts w:hint="eastAsia" w:ascii="宋体" w:hAnsi="宋体" w:cs="宋体"/>
                <w:color w:val="auto"/>
                <w:highlight w:val="none"/>
              </w:rPr>
              <w:t>技术指标：</w:t>
            </w:r>
          </w:p>
          <w:p w14:paraId="396A2BE6">
            <w:pPr>
              <w:rPr>
                <w:rFonts w:hint="eastAsia" w:ascii="宋体" w:hAnsi="宋体" w:cs="宋体"/>
                <w:color w:val="auto"/>
                <w:highlight w:val="none"/>
              </w:rPr>
            </w:pPr>
            <w:r>
              <w:rPr>
                <w:rFonts w:hint="eastAsia" w:ascii="宋体" w:hAnsi="宋体" w:cs="宋体"/>
                <w:color w:val="auto"/>
                <w:highlight w:val="none"/>
              </w:rPr>
              <w:t>曲线运动实验器主体：</w:t>
            </w:r>
          </w:p>
          <w:p w14:paraId="3922F1AB">
            <w:pPr>
              <w:rPr>
                <w:rFonts w:hint="eastAsia" w:ascii="宋体" w:hAnsi="宋体" w:cs="宋体"/>
                <w:color w:val="auto"/>
                <w:highlight w:val="none"/>
              </w:rPr>
            </w:pPr>
            <w:r>
              <w:rPr>
                <w:rFonts w:hint="eastAsia" w:ascii="宋体" w:hAnsi="宋体" w:cs="宋体"/>
                <w:color w:val="auto"/>
                <w:highlight w:val="none"/>
              </w:rPr>
              <w:t>外形基本参考尺寸630*456mm（±5mm）；上下为铝型材结构，6063-T5材料,具有良好的抗拉强度，表面黑色氧化细喷砂处理。左右为ABS塑料精密注塑成型边框。</w:t>
            </w:r>
          </w:p>
          <w:p w14:paraId="0C9E022B">
            <w:pPr>
              <w:rPr>
                <w:rFonts w:hint="eastAsia" w:ascii="宋体" w:hAnsi="宋体" w:cs="宋体"/>
                <w:color w:val="auto"/>
                <w:highlight w:val="none"/>
              </w:rPr>
            </w:pPr>
            <w:r>
              <w:rPr>
                <w:rFonts w:hint="eastAsia" w:ascii="宋体" w:hAnsi="宋体" w:cs="宋体"/>
                <w:color w:val="auto"/>
                <w:highlight w:val="none"/>
              </w:rPr>
              <w:t>一体式跨轨专用电磁继电器组件：</w:t>
            </w:r>
          </w:p>
          <w:p w14:paraId="24C5E551">
            <w:pPr>
              <w:rPr>
                <w:rFonts w:hint="eastAsia" w:ascii="宋体" w:hAnsi="宋体" w:cs="宋体"/>
                <w:color w:val="auto"/>
                <w:highlight w:val="none"/>
              </w:rPr>
            </w:pPr>
            <w:r>
              <w:rPr>
                <w:rFonts w:hint="eastAsia" w:ascii="宋体" w:hAnsi="宋体" w:cs="宋体"/>
                <w:color w:val="auto"/>
                <w:highlight w:val="none"/>
              </w:rPr>
              <w:t>规格：40×40×24mm（±5mm），4mm接线端子2个，M4手紧螺丝1个；材质：PMMA，钢；工艺：精加工，钢镀镍；</w:t>
            </w:r>
          </w:p>
          <w:p w14:paraId="56FB2905">
            <w:pPr>
              <w:rPr>
                <w:rFonts w:hint="eastAsia" w:ascii="宋体" w:hAnsi="宋体" w:cs="宋体"/>
                <w:color w:val="auto"/>
                <w:highlight w:val="none"/>
              </w:rPr>
            </w:pPr>
            <w:r>
              <w:rPr>
                <w:rFonts w:hint="eastAsia" w:ascii="宋体" w:hAnsi="宋体" w:cs="宋体"/>
                <w:color w:val="auto"/>
                <w:highlight w:val="none"/>
              </w:rPr>
              <w:t>功能描述：</w:t>
            </w:r>
          </w:p>
          <w:p w14:paraId="7C61816D">
            <w:pPr>
              <w:rPr>
                <w:rFonts w:hint="eastAsia" w:ascii="宋体" w:hAnsi="宋体" w:cs="宋体"/>
                <w:color w:val="auto"/>
                <w:highlight w:val="none"/>
              </w:rPr>
            </w:pPr>
            <w:r>
              <w:rPr>
                <w:rFonts w:hint="eastAsia" w:ascii="宋体" w:hAnsi="宋体" w:cs="宋体"/>
                <w:color w:val="auto"/>
                <w:highlight w:val="none"/>
              </w:rPr>
              <w:t>1.固定在曲线运功条件实验器板面上，通过手紧螺丝锁紧定位；</w:t>
            </w:r>
          </w:p>
          <w:p w14:paraId="43AF1FEB">
            <w:pPr>
              <w:rPr>
                <w:rFonts w:hint="eastAsia" w:ascii="宋体" w:hAnsi="宋体" w:cs="宋体"/>
                <w:color w:val="auto"/>
                <w:highlight w:val="none"/>
              </w:rPr>
            </w:pPr>
            <w:r>
              <w:rPr>
                <w:rFonts w:hint="eastAsia" w:ascii="宋体" w:hAnsi="宋体" w:cs="宋体"/>
                <w:color w:val="auto"/>
                <w:highlight w:val="none"/>
              </w:rPr>
              <w:t>2.一体式结构，避免冗杂的线缆，降低故障率；</w:t>
            </w:r>
          </w:p>
          <w:p w14:paraId="306854D0">
            <w:pPr>
              <w:rPr>
                <w:rFonts w:hint="eastAsia" w:ascii="宋体" w:hAnsi="宋体" w:cs="宋体"/>
                <w:color w:val="auto"/>
                <w:highlight w:val="none"/>
              </w:rPr>
            </w:pPr>
            <w:r>
              <w:rPr>
                <w:rFonts w:hint="eastAsia" w:ascii="宋体" w:hAnsi="宋体" w:cs="宋体"/>
                <w:color w:val="auto"/>
                <w:highlight w:val="none"/>
              </w:rPr>
              <w:t>3.电磁吸附小球，保证初始释放速度为零，能够摆脱常规手动控制小球造成的人为初速误差。</w:t>
            </w:r>
          </w:p>
          <w:p w14:paraId="2D8A6C42">
            <w:pPr>
              <w:rPr>
                <w:rFonts w:hint="eastAsia" w:ascii="宋体" w:hAnsi="宋体" w:cs="宋体"/>
                <w:color w:val="auto"/>
                <w:highlight w:val="none"/>
              </w:rPr>
            </w:pPr>
            <w:r>
              <w:rPr>
                <w:rFonts w:hint="eastAsia" w:ascii="宋体" w:hAnsi="宋体" w:cs="宋体"/>
                <w:color w:val="auto"/>
                <w:highlight w:val="none"/>
              </w:rPr>
              <w:t>轨道：</w:t>
            </w:r>
          </w:p>
          <w:p w14:paraId="3267D866">
            <w:pPr>
              <w:rPr>
                <w:rFonts w:hint="eastAsia" w:ascii="宋体" w:hAnsi="宋体" w:cs="宋体"/>
                <w:color w:val="auto"/>
                <w:highlight w:val="none"/>
              </w:rPr>
            </w:pPr>
            <w:r>
              <w:rPr>
                <w:rFonts w:hint="eastAsia" w:ascii="宋体" w:hAnsi="宋体" w:cs="宋体"/>
                <w:color w:val="auto"/>
                <w:highlight w:val="none"/>
              </w:rPr>
              <w:t>导轨倾斜度30度；</w:t>
            </w:r>
          </w:p>
          <w:p w14:paraId="54E59247">
            <w:pPr>
              <w:rPr>
                <w:rFonts w:hint="eastAsia" w:ascii="宋体" w:hAnsi="宋体" w:cs="宋体"/>
                <w:color w:val="auto"/>
                <w:highlight w:val="none"/>
              </w:rPr>
            </w:pPr>
            <w:r>
              <w:rPr>
                <w:rFonts w:hint="eastAsia" w:ascii="宋体" w:hAnsi="宋体" w:cs="宋体"/>
                <w:color w:val="auto"/>
                <w:highlight w:val="none"/>
              </w:rPr>
              <w:t>主要材质：铝合金；</w:t>
            </w:r>
          </w:p>
          <w:p w14:paraId="062983BD">
            <w:pPr>
              <w:rPr>
                <w:rFonts w:hint="eastAsia" w:ascii="宋体" w:hAnsi="宋体" w:cs="宋体"/>
                <w:color w:val="auto"/>
                <w:highlight w:val="none"/>
              </w:rPr>
            </w:pPr>
            <w:r>
              <w:rPr>
                <w:rFonts w:hint="eastAsia" w:ascii="宋体" w:hAnsi="宋体" w:cs="宋体"/>
                <w:color w:val="auto"/>
                <w:highlight w:val="none"/>
              </w:rPr>
              <w:t>工艺：黑色阳极化。</w:t>
            </w:r>
          </w:p>
          <w:p w14:paraId="01AFAA41">
            <w:pPr>
              <w:rPr>
                <w:rFonts w:hint="eastAsia" w:ascii="宋体" w:hAnsi="宋体" w:cs="宋体"/>
                <w:b/>
                <w:bCs/>
                <w:color w:val="auto"/>
                <w:highlight w:val="none"/>
              </w:rPr>
            </w:pPr>
            <w:r>
              <w:rPr>
                <w:rFonts w:hint="eastAsia" w:ascii="宋体" w:hAnsi="宋体" w:cs="宋体"/>
                <w:color w:val="auto"/>
                <w:highlight w:val="none"/>
              </w:rPr>
              <w:t>能够完成的教学演示：曲线运动条件实验。</w:t>
            </w:r>
          </w:p>
        </w:tc>
        <w:tc>
          <w:tcPr>
            <w:tcW w:w="384" w:type="pct"/>
            <w:vAlign w:val="center"/>
          </w:tcPr>
          <w:p w14:paraId="4B2322C1">
            <w:pPr>
              <w:jc w:val="center"/>
              <w:rPr>
                <w:color w:val="auto"/>
                <w:highlight w:val="none"/>
              </w:rPr>
            </w:pPr>
            <w:r>
              <w:rPr>
                <w:rFonts w:hint="eastAsia" w:ascii="宋体" w:hAnsi="宋体" w:cs="宋体"/>
                <w:color w:val="auto"/>
                <w:highlight w:val="none"/>
              </w:rPr>
              <w:t>台</w:t>
            </w:r>
          </w:p>
        </w:tc>
        <w:tc>
          <w:tcPr>
            <w:tcW w:w="385" w:type="pct"/>
            <w:vAlign w:val="center"/>
          </w:tcPr>
          <w:p w14:paraId="1DF9273A">
            <w:pPr>
              <w:jc w:val="center"/>
              <w:rPr>
                <w:color w:val="auto"/>
                <w:highlight w:val="none"/>
              </w:rPr>
            </w:pPr>
            <w:r>
              <w:rPr>
                <w:rFonts w:hint="eastAsia" w:ascii="宋体" w:hAnsi="宋体" w:cs="宋体"/>
                <w:color w:val="auto"/>
                <w:highlight w:val="none"/>
              </w:rPr>
              <w:t>1</w:t>
            </w:r>
          </w:p>
        </w:tc>
      </w:tr>
      <w:tr w14:paraId="7A690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32325F25">
            <w:pPr>
              <w:jc w:val="center"/>
              <w:rPr>
                <w:rFonts w:hint="eastAsia" w:ascii="宋体" w:hAnsi="宋体" w:cs="宋体"/>
                <w:b/>
                <w:bCs/>
                <w:color w:val="auto"/>
                <w:highlight w:val="none"/>
              </w:rPr>
            </w:pPr>
            <w:r>
              <w:rPr>
                <w:rFonts w:hint="eastAsia" w:ascii="宋体" w:hAnsi="宋体" w:cs="宋体"/>
                <w:color w:val="auto"/>
                <w:highlight w:val="none"/>
              </w:rPr>
              <w:t>5</w:t>
            </w:r>
          </w:p>
        </w:tc>
        <w:tc>
          <w:tcPr>
            <w:tcW w:w="782" w:type="pct"/>
            <w:tcBorders>
              <w:left w:val="single" w:color="auto" w:sz="4" w:space="0"/>
              <w:right w:val="single" w:color="auto" w:sz="4" w:space="0"/>
            </w:tcBorders>
            <w:vAlign w:val="center"/>
          </w:tcPr>
          <w:p w14:paraId="5178DB8B">
            <w:pPr>
              <w:jc w:val="center"/>
              <w:rPr>
                <w:rFonts w:hint="eastAsia" w:ascii="宋体" w:hAnsi="宋体" w:cs="宋体"/>
                <w:b/>
                <w:bCs/>
                <w:color w:val="auto"/>
                <w:highlight w:val="none"/>
              </w:rPr>
            </w:pPr>
            <w:r>
              <w:rPr>
                <w:rFonts w:hint="eastAsia" w:ascii="宋体" w:hAnsi="宋体" w:cs="宋体"/>
                <w:color w:val="auto"/>
                <w:highlight w:val="none"/>
              </w:rPr>
              <w:t>曲线运动速度方向实验器</w:t>
            </w:r>
          </w:p>
        </w:tc>
        <w:tc>
          <w:tcPr>
            <w:tcW w:w="3079" w:type="pct"/>
            <w:tcBorders>
              <w:left w:val="single" w:color="auto" w:sz="4" w:space="0"/>
            </w:tcBorders>
            <w:vAlign w:val="center"/>
          </w:tcPr>
          <w:p w14:paraId="248B39D1">
            <w:pPr>
              <w:rPr>
                <w:rFonts w:hint="eastAsia" w:ascii="宋体" w:hAnsi="宋体" w:cs="宋体"/>
                <w:color w:val="auto"/>
                <w:highlight w:val="none"/>
              </w:rPr>
            </w:pPr>
            <w:r>
              <w:rPr>
                <w:rFonts w:hint="eastAsia" w:ascii="宋体" w:hAnsi="宋体" w:cs="宋体"/>
                <w:color w:val="auto"/>
                <w:highlight w:val="none"/>
              </w:rPr>
              <w:t>主要配置及特征参数：</w:t>
            </w:r>
          </w:p>
          <w:p w14:paraId="0C35C3FF">
            <w:pPr>
              <w:rPr>
                <w:rFonts w:hint="eastAsia" w:ascii="宋体" w:hAnsi="宋体" w:cs="宋体"/>
                <w:color w:val="auto"/>
                <w:highlight w:val="none"/>
              </w:rPr>
            </w:pPr>
            <w:r>
              <w:rPr>
                <w:rFonts w:hint="eastAsia" w:ascii="宋体" w:hAnsi="宋体" w:cs="宋体"/>
                <w:color w:val="auto"/>
                <w:highlight w:val="none"/>
              </w:rPr>
              <w:t>下面板、丝印板、PVC挡板、小球释放轨道、手拧螺丝、拐角型材、拐角连接件等。</w:t>
            </w:r>
          </w:p>
          <w:p w14:paraId="05ACC28A">
            <w:pPr>
              <w:rPr>
                <w:rFonts w:hint="eastAsia" w:ascii="宋体" w:hAnsi="宋体" w:cs="宋体"/>
                <w:color w:val="auto"/>
                <w:highlight w:val="none"/>
              </w:rPr>
            </w:pPr>
            <w:r>
              <w:rPr>
                <w:rFonts w:hint="eastAsia" w:ascii="宋体" w:hAnsi="宋体" w:cs="宋体"/>
                <w:color w:val="auto"/>
                <w:highlight w:val="none"/>
              </w:rPr>
              <w:t>技术指标：</w:t>
            </w:r>
          </w:p>
          <w:p w14:paraId="4FAFE4C0">
            <w:pPr>
              <w:rPr>
                <w:rFonts w:hint="eastAsia" w:ascii="宋体" w:hAnsi="宋体" w:cs="宋体"/>
                <w:color w:val="auto"/>
                <w:highlight w:val="none"/>
              </w:rPr>
            </w:pPr>
            <w:r>
              <w:rPr>
                <w:rFonts w:hint="eastAsia" w:ascii="宋体" w:hAnsi="宋体" w:cs="宋体"/>
                <w:color w:val="auto"/>
                <w:highlight w:val="none"/>
              </w:rPr>
              <w:t>下面板：基本尺寸规格：409*289mm（±5mm）；材质工艺：优质亚克力；功能描述：为整个演示器提供牢固稳定的平台，</w:t>
            </w:r>
          </w:p>
          <w:p w14:paraId="29E77191">
            <w:pPr>
              <w:rPr>
                <w:rFonts w:hint="eastAsia" w:ascii="宋体" w:hAnsi="宋体" w:cs="宋体"/>
                <w:b/>
                <w:bCs/>
                <w:color w:val="auto"/>
                <w:highlight w:val="none"/>
              </w:rPr>
            </w:pPr>
            <w:r>
              <w:rPr>
                <w:rFonts w:hint="eastAsia" w:ascii="宋体" w:hAnsi="宋体" w:cs="宋体"/>
                <w:color w:val="auto"/>
                <w:highlight w:val="none"/>
              </w:rPr>
              <w:t>丝印板：基本尺寸规格：389*260（±5mm），材质工艺：优质亚克力材料；表面处理工艺：双色丝印，功能描述：为小球的滚动提供平台，双色的丝印便于观察小球的运动方向。</w:t>
            </w:r>
          </w:p>
        </w:tc>
        <w:tc>
          <w:tcPr>
            <w:tcW w:w="384" w:type="pct"/>
            <w:vAlign w:val="center"/>
          </w:tcPr>
          <w:p w14:paraId="2EFC9D05">
            <w:pPr>
              <w:jc w:val="center"/>
              <w:rPr>
                <w:color w:val="auto"/>
                <w:highlight w:val="none"/>
              </w:rPr>
            </w:pPr>
            <w:r>
              <w:rPr>
                <w:rFonts w:hint="eastAsia" w:ascii="宋体" w:hAnsi="宋体" w:cs="宋体"/>
                <w:color w:val="auto"/>
                <w:highlight w:val="none"/>
              </w:rPr>
              <w:t>套</w:t>
            </w:r>
          </w:p>
        </w:tc>
        <w:tc>
          <w:tcPr>
            <w:tcW w:w="385" w:type="pct"/>
            <w:vAlign w:val="center"/>
          </w:tcPr>
          <w:p w14:paraId="2C209E63">
            <w:pPr>
              <w:jc w:val="center"/>
              <w:rPr>
                <w:color w:val="auto"/>
                <w:highlight w:val="none"/>
              </w:rPr>
            </w:pPr>
            <w:r>
              <w:rPr>
                <w:rFonts w:hint="eastAsia" w:ascii="宋体" w:hAnsi="宋体" w:cs="宋体"/>
                <w:color w:val="auto"/>
                <w:highlight w:val="none"/>
              </w:rPr>
              <w:t>1</w:t>
            </w:r>
          </w:p>
        </w:tc>
      </w:tr>
      <w:tr w14:paraId="20E14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2934B704">
            <w:pPr>
              <w:jc w:val="center"/>
              <w:rPr>
                <w:rFonts w:hint="eastAsia" w:ascii="宋体" w:hAnsi="宋体" w:cs="宋体"/>
                <w:b/>
                <w:bCs/>
                <w:color w:val="auto"/>
                <w:highlight w:val="none"/>
              </w:rPr>
            </w:pPr>
            <w:r>
              <w:rPr>
                <w:rFonts w:hint="eastAsia" w:ascii="宋体" w:hAnsi="宋体" w:cs="宋体"/>
                <w:color w:val="auto"/>
                <w:highlight w:val="none"/>
              </w:rPr>
              <w:t>6</w:t>
            </w:r>
          </w:p>
        </w:tc>
        <w:tc>
          <w:tcPr>
            <w:tcW w:w="782" w:type="pct"/>
            <w:tcBorders>
              <w:left w:val="single" w:color="auto" w:sz="4" w:space="0"/>
              <w:right w:val="single" w:color="auto" w:sz="4" w:space="0"/>
            </w:tcBorders>
            <w:vAlign w:val="center"/>
          </w:tcPr>
          <w:p w14:paraId="665DCD52">
            <w:pPr>
              <w:jc w:val="center"/>
              <w:rPr>
                <w:rFonts w:hint="eastAsia" w:ascii="宋体" w:hAnsi="宋体" w:cs="宋体"/>
                <w:b/>
                <w:bCs/>
                <w:color w:val="auto"/>
                <w:highlight w:val="none"/>
              </w:rPr>
            </w:pPr>
            <w:r>
              <w:rPr>
                <w:rFonts w:hint="eastAsia" w:ascii="宋体" w:hAnsi="宋体" w:cs="宋体"/>
                <w:color w:val="auto"/>
                <w:highlight w:val="none"/>
              </w:rPr>
              <w:t>向心力实验器</w:t>
            </w:r>
          </w:p>
        </w:tc>
        <w:tc>
          <w:tcPr>
            <w:tcW w:w="3079" w:type="pct"/>
            <w:tcBorders>
              <w:left w:val="single" w:color="auto" w:sz="4" w:space="0"/>
            </w:tcBorders>
            <w:vAlign w:val="center"/>
          </w:tcPr>
          <w:p w14:paraId="379ABDD2">
            <w:pPr>
              <w:rPr>
                <w:rFonts w:hint="eastAsia" w:ascii="宋体" w:hAnsi="宋体" w:cs="宋体"/>
                <w:color w:val="auto"/>
                <w:highlight w:val="none"/>
              </w:rPr>
            </w:pPr>
            <w:r>
              <w:rPr>
                <w:rFonts w:hint="eastAsia" w:ascii="宋体" w:hAnsi="宋体" w:cs="宋体"/>
                <w:color w:val="auto"/>
                <w:highlight w:val="none"/>
              </w:rPr>
              <w:t>主要配置及特征参数：</w:t>
            </w:r>
          </w:p>
          <w:p w14:paraId="467104DE">
            <w:pPr>
              <w:rPr>
                <w:rFonts w:hint="eastAsia" w:ascii="宋体" w:hAnsi="宋体" w:cs="宋体"/>
                <w:color w:val="auto"/>
                <w:highlight w:val="none"/>
              </w:rPr>
            </w:pPr>
            <w:r>
              <w:rPr>
                <w:rFonts w:hint="eastAsia" w:ascii="宋体" w:hAnsi="宋体" w:cs="宋体"/>
                <w:color w:val="auto"/>
                <w:highlight w:val="none"/>
              </w:rPr>
              <w:t>型材底座、平衡体、圆柱体、半径指示器、转轴、轴承座等</w:t>
            </w:r>
          </w:p>
          <w:p w14:paraId="78D4A1D8">
            <w:pPr>
              <w:rPr>
                <w:rFonts w:hint="eastAsia" w:ascii="宋体" w:hAnsi="宋体" w:cs="宋体"/>
                <w:color w:val="auto"/>
                <w:highlight w:val="none"/>
              </w:rPr>
            </w:pPr>
            <w:r>
              <w:rPr>
                <w:rFonts w:hint="eastAsia" w:ascii="宋体" w:hAnsi="宋体" w:cs="宋体"/>
                <w:color w:val="auto"/>
                <w:highlight w:val="none"/>
              </w:rPr>
              <w:t>技术指标：</w:t>
            </w:r>
          </w:p>
          <w:p w14:paraId="1051DC93">
            <w:pPr>
              <w:rPr>
                <w:rFonts w:hint="eastAsia" w:ascii="宋体" w:hAnsi="宋体" w:cs="宋体"/>
                <w:color w:val="auto"/>
                <w:highlight w:val="none"/>
              </w:rPr>
            </w:pPr>
            <w:r>
              <w:rPr>
                <w:rFonts w:hint="eastAsia" w:ascii="宋体" w:hAnsi="宋体" w:cs="宋体"/>
                <w:color w:val="auto"/>
                <w:highlight w:val="none"/>
              </w:rPr>
              <w:t>型材底座：基本参考尺寸规格：240*90（±5mm）；材质工艺：铝6063-T5，挤压拉模成型；表面处理工艺：黑色阳极氧化处理；功能描述：为器材提供安装固定的底座。</w:t>
            </w:r>
          </w:p>
          <w:p w14:paraId="2F87A5AE">
            <w:pPr>
              <w:rPr>
                <w:rFonts w:hint="eastAsia" w:ascii="宋体" w:hAnsi="宋体" w:cs="宋体"/>
                <w:b/>
                <w:bCs/>
                <w:color w:val="auto"/>
                <w:highlight w:val="none"/>
              </w:rPr>
            </w:pPr>
            <w:r>
              <w:rPr>
                <w:rFonts w:hint="eastAsia" w:ascii="宋体" w:hAnsi="宋体" w:cs="宋体"/>
                <w:color w:val="auto"/>
                <w:highlight w:val="none"/>
              </w:rPr>
              <w:t>转轴：规格：116*18mm（±5mm）；材质：Q235A；材质工艺：精密数控车床加工；表面处理工艺：镀镍。功能描述：为仪器提供旋转中心及力。</w:t>
            </w:r>
          </w:p>
        </w:tc>
        <w:tc>
          <w:tcPr>
            <w:tcW w:w="384" w:type="pct"/>
            <w:vAlign w:val="center"/>
          </w:tcPr>
          <w:p w14:paraId="01EBD97C">
            <w:pPr>
              <w:jc w:val="center"/>
              <w:rPr>
                <w:color w:val="auto"/>
                <w:highlight w:val="none"/>
              </w:rPr>
            </w:pPr>
            <w:r>
              <w:rPr>
                <w:rFonts w:hint="eastAsia" w:ascii="宋体" w:hAnsi="宋体" w:cs="宋体"/>
                <w:color w:val="auto"/>
                <w:highlight w:val="none"/>
              </w:rPr>
              <w:t>台</w:t>
            </w:r>
          </w:p>
        </w:tc>
        <w:tc>
          <w:tcPr>
            <w:tcW w:w="385" w:type="pct"/>
            <w:vAlign w:val="center"/>
          </w:tcPr>
          <w:p w14:paraId="50031248">
            <w:pPr>
              <w:jc w:val="center"/>
              <w:rPr>
                <w:color w:val="auto"/>
                <w:highlight w:val="none"/>
              </w:rPr>
            </w:pPr>
            <w:r>
              <w:rPr>
                <w:rFonts w:hint="eastAsia" w:ascii="宋体" w:hAnsi="宋体" w:cs="宋体"/>
                <w:color w:val="auto"/>
                <w:highlight w:val="none"/>
              </w:rPr>
              <w:t>2</w:t>
            </w:r>
          </w:p>
        </w:tc>
      </w:tr>
      <w:tr w14:paraId="42C13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7CCAB47C">
            <w:pPr>
              <w:jc w:val="center"/>
              <w:rPr>
                <w:rFonts w:hint="eastAsia" w:ascii="宋体" w:hAnsi="宋体" w:cs="宋体"/>
                <w:b/>
                <w:bCs/>
                <w:color w:val="auto"/>
                <w:highlight w:val="none"/>
              </w:rPr>
            </w:pPr>
            <w:r>
              <w:rPr>
                <w:rFonts w:hint="eastAsia" w:ascii="宋体" w:hAnsi="宋体" w:cs="宋体"/>
                <w:color w:val="auto"/>
                <w:highlight w:val="none"/>
              </w:rPr>
              <w:t>7</w:t>
            </w:r>
          </w:p>
        </w:tc>
        <w:tc>
          <w:tcPr>
            <w:tcW w:w="782" w:type="pct"/>
            <w:tcBorders>
              <w:left w:val="single" w:color="auto" w:sz="4" w:space="0"/>
              <w:right w:val="single" w:color="auto" w:sz="4" w:space="0"/>
            </w:tcBorders>
            <w:vAlign w:val="center"/>
          </w:tcPr>
          <w:p w14:paraId="077AF91A">
            <w:pPr>
              <w:jc w:val="center"/>
              <w:rPr>
                <w:rFonts w:hint="eastAsia" w:ascii="宋体" w:hAnsi="宋体" w:cs="宋体"/>
                <w:b/>
                <w:bCs/>
                <w:color w:val="auto"/>
                <w:highlight w:val="none"/>
              </w:rPr>
            </w:pPr>
            <w:r>
              <w:rPr>
                <w:rFonts w:hint="eastAsia" w:ascii="宋体" w:hAnsi="宋体" w:cs="宋体"/>
                <w:color w:val="auto"/>
                <w:highlight w:val="none"/>
              </w:rPr>
              <w:t>简谐振动投影演示器</w:t>
            </w:r>
          </w:p>
        </w:tc>
        <w:tc>
          <w:tcPr>
            <w:tcW w:w="3079" w:type="pct"/>
            <w:tcBorders>
              <w:left w:val="single" w:color="auto" w:sz="4" w:space="0"/>
            </w:tcBorders>
            <w:vAlign w:val="center"/>
          </w:tcPr>
          <w:p w14:paraId="13B31E42">
            <w:pPr>
              <w:rPr>
                <w:rFonts w:hint="eastAsia" w:ascii="宋体" w:hAnsi="宋体" w:cs="宋体"/>
                <w:color w:val="auto"/>
                <w:highlight w:val="none"/>
              </w:rPr>
            </w:pPr>
            <w:r>
              <w:rPr>
                <w:rFonts w:hint="eastAsia" w:ascii="宋体" w:hAnsi="宋体" w:cs="宋体"/>
                <w:color w:val="auto"/>
                <w:highlight w:val="none"/>
              </w:rPr>
              <w:t>主要配置及特征参数：</w:t>
            </w:r>
          </w:p>
          <w:p w14:paraId="599C8C36">
            <w:pPr>
              <w:rPr>
                <w:rFonts w:hint="eastAsia" w:ascii="宋体" w:hAnsi="宋体" w:cs="宋体"/>
                <w:color w:val="auto"/>
                <w:highlight w:val="none"/>
              </w:rPr>
            </w:pPr>
            <w:r>
              <w:rPr>
                <w:rFonts w:hint="eastAsia" w:ascii="宋体" w:hAnsi="宋体" w:cs="宋体"/>
                <w:color w:val="auto"/>
                <w:highlight w:val="none"/>
              </w:rPr>
              <w:t>塑料底座、多面反射镜、屏幕板、灯座底板等。</w:t>
            </w:r>
          </w:p>
          <w:p w14:paraId="65BBE355">
            <w:pPr>
              <w:rPr>
                <w:rFonts w:hint="eastAsia" w:ascii="宋体" w:hAnsi="宋体" w:cs="宋体"/>
                <w:color w:val="auto"/>
                <w:highlight w:val="none"/>
              </w:rPr>
            </w:pPr>
            <w:r>
              <w:rPr>
                <w:rFonts w:hint="eastAsia" w:ascii="宋体" w:hAnsi="宋体" w:cs="宋体"/>
                <w:color w:val="auto"/>
                <w:highlight w:val="none"/>
              </w:rPr>
              <w:t>技术指标：</w:t>
            </w:r>
          </w:p>
          <w:p w14:paraId="740D2D69">
            <w:pPr>
              <w:rPr>
                <w:rFonts w:hint="eastAsia" w:ascii="宋体" w:hAnsi="宋体" w:cs="宋体"/>
                <w:color w:val="auto"/>
                <w:highlight w:val="none"/>
              </w:rPr>
            </w:pPr>
            <w:r>
              <w:rPr>
                <w:rFonts w:hint="eastAsia" w:ascii="宋体" w:hAnsi="宋体" w:cs="宋体"/>
                <w:color w:val="auto"/>
                <w:highlight w:val="none"/>
              </w:rPr>
              <w:t>塑料底座：</w:t>
            </w:r>
          </w:p>
          <w:p w14:paraId="389406D0">
            <w:pPr>
              <w:rPr>
                <w:rFonts w:hint="eastAsia" w:ascii="宋体" w:hAnsi="宋体" w:cs="宋体"/>
                <w:color w:val="auto"/>
                <w:highlight w:val="none"/>
              </w:rPr>
            </w:pPr>
            <w:r>
              <w:rPr>
                <w:rFonts w:hint="eastAsia" w:ascii="宋体" w:hAnsi="宋体" w:cs="宋体"/>
                <w:color w:val="auto"/>
                <w:highlight w:val="none"/>
              </w:rPr>
              <w:t>基本尺寸规格：436*274*49（±5mm）；材质工艺：ABS塑料精密注塑成型；功能描述：为整个演示器提供牢固稳定的底座，内嵌垫片，使得底座具备防滑耐磨的特点。</w:t>
            </w:r>
          </w:p>
          <w:p w14:paraId="21D6222C">
            <w:pPr>
              <w:rPr>
                <w:rFonts w:hint="eastAsia" w:ascii="宋体" w:hAnsi="宋体" w:cs="宋体"/>
                <w:color w:val="auto"/>
                <w:highlight w:val="none"/>
              </w:rPr>
            </w:pPr>
            <w:r>
              <w:rPr>
                <w:rFonts w:hint="eastAsia" w:ascii="宋体" w:hAnsi="宋体" w:cs="宋体"/>
                <w:color w:val="auto"/>
                <w:highlight w:val="none"/>
              </w:rPr>
              <w:t>屏幕板：</w:t>
            </w:r>
          </w:p>
          <w:p w14:paraId="2EE9A5D6">
            <w:pPr>
              <w:rPr>
                <w:rFonts w:hint="eastAsia" w:ascii="宋体" w:hAnsi="宋体" w:cs="宋体"/>
                <w:b/>
                <w:bCs/>
                <w:color w:val="auto"/>
                <w:highlight w:val="none"/>
              </w:rPr>
            </w:pPr>
            <w:r>
              <w:rPr>
                <w:rFonts w:hint="eastAsia" w:ascii="宋体" w:hAnsi="宋体" w:cs="宋体"/>
                <w:color w:val="auto"/>
                <w:highlight w:val="none"/>
              </w:rPr>
              <w:t>基本参考尺寸规格：435*160（±5mm），材质工艺：Q235A材料，表面白色亚光烤漆处理，提高外观品质，同时具备防锈防氧化功能。功能描述：作为屏幕使用，激光点投影在屏幕上。</w:t>
            </w:r>
          </w:p>
        </w:tc>
        <w:tc>
          <w:tcPr>
            <w:tcW w:w="384" w:type="pct"/>
            <w:vAlign w:val="center"/>
          </w:tcPr>
          <w:p w14:paraId="548BD0E4">
            <w:pPr>
              <w:jc w:val="center"/>
              <w:rPr>
                <w:color w:val="auto"/>
                <w:highlight w:val="none"/>
              </w:rPr>
            </w:pPr>
            <w:r>
              <w:rPr>
                <w:rFonts w:hint="eastAsia" w:ascii="宋体" w:hAnsi="宋体" w:cs="宋体"/>
                <w:color w:val="auto"/>
                <w:highlight w:val="none"/>
              </w:rPr>
              <w:t>套</w:t>
            </w:r>
          </w:p>
        </w:tc>
        <w:tc>
          <w:tcPr>
            <w:tcW w:w="385" w:type="pct"/>
            <w:vAlign w:val="center"/>
          </w:tcPr>
          <w:p w14:paraId="12D9A5FB">
            <w:pPr>
              <w:jc w:val="center"/>
              <w:rPr>
                <w:color w:val="auto"/>
                <w:highlight w:val="none"/>
              </w:rPr>
            </w:pPr>
            <w:r>
              <w:rPr>
                <w:rFonts w:hint="eastAsia" w:ascii="宋体" w:hAnsi="宋体" w:cs="宋体"/>
                <w:color w:val="auto"/>
                <w:highlight w:val="none"/>
              </w:rPr>
              <w:t>1</w:t>
            </w:r>
          </w:p>
        </w:tc>
      </w:tr>
      <w:tr w14:paraId="08809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098B12E2">
            <w:pPr>
              <w:jc w:val="center"/>
              <w:rPr>
                <w:rFonts w:hint="eastAsia" w:ascii="宋体" w:hAnsi="宋体" w:cs="宋体"/>
                <w:b/>
                <w:bCs/>
                <w:color w:val="auto"/>
                <w:highlight w:val="none"/>
              </w:rPr>
            </w:pPr>
            <w:r>
              <w:rPr>
                <w:rFonts w:hint="eastAsia" w:ascii="宋体" w:hAnsi="宋体" w:cs="宋体"/>
                <w:color w:val="auto"/>
                <w:highlight w:val="none"/>
              </w:rPr>
              <w:t>8</w:t>
            </w:r>
          </w:p>
        </w:tc>
        <w:tc>
          <w:tcPr>
            <w:tcW w:w="782" w:type="pct"/>
            <w:tcBorders>
              <w:left w:val="single" w:color="auto" w:sz="4" w:space="0"/>
              <w:right w:val="single" w:color="auto" w:sz="4" w:space="0"/>
            </w:tcBorders>
            <w:vAlign w:val="center"/>
          </w:tcPr>
          <w:p w14:paraId="376019C8">
            <w:pPr>
              <w:jc w:val="center"/>
              <w:rPr>
                <w:rFonts w:hint="eastAsia" w:ascii="宋体" w:hAnsi="宋体" w:cs="宋体"/>
                <w:b/>
                <w:bCs/>
                <w:color w:val="auto"/>
                <w:highlight w:val="none"/>
              </w:rPr>
            </w:pPr>
            <w:r>
              <w:rPr>
                <w:rFonts w:hint="eastAsia" w:ascii="宋体" w:hAnsi="宋体" w:cs="宋体"/>
                <w:color w:val="auto"/>
                <w:highlight w:val="none"/>
              </w:rPr>
              <w:t>绳波演示器</w:t>
            </w:r>
          </w:p>
        </w:tc>
        <w:tc>
          <w:tcPr>
            <w:tcW w:w="3079" w:type="pct"/>
            <w:tcBorders>
              <w:left w:val="single" w:color="auto" w:sz="4" w:space="0"/>
            </w:tcBorders>
            <w:vAlign w:val="center"/>
          </w:tcPr>
          <w:p w14:paraId="7CC9D18A">
            <w:pPr>
              <w:rPr>
                <w:rFonts w:hint="eastAsia" w:ascii="宋体" w:hAnsi="宋体" w:cs="宋体"/>
                <w:color w:val="auto"/>
                <w:highlight w:val="none"/>
              </w:rPr>
            </w:pPr>
            <w:r>
              <w:rPr>
                <w:rFonts w:hint="eastAsia" w:ascii="宋体" w:hAnsi="宋体" w:cs="宋体"/>
                <w:color w:val="auto"/>
                <w:highlight w:val="none"/>
              </w:rPr>
              <w:t>主要配置及特征参数：</w:t>
            </w:r>
          </w:p>
          <w:p w14:paraId="65788AB3">
            <w:pPr>
              <w:rPr>
                <w:rFonts w:hint="eastAsia" w:ascii="宋体" w:hAnsi="宋体" w:cs="宋体"/>
                <w:color w:val="auto"/>
                <w:highlight w:val="none"/>
              </w:rPr>
            </w:pPr>
            <w:r>
              <w:rPr>
                <w:rFonts w:hint="eastAsia" w:ascii="宋体" w:hAnsi="宋体" w:cs="宋体"/>
                <w:color w:val="auto"/>
                <w:highlight w:val="none"/>
              </w:rPr>
              <w:t>由绳线、振荡器、标尺等组成。可通过振荡器控制绳波的频率。</w:t>
            </w:r>
          </w:p>
          <w:p w14:paraId="5C6DE0B3">
            <w:pPr>
              <w:rPr>
                <w:rFonts w:hint="eastAsia" w:ascii="宋体" w:hAnsi="宋体" w:cs="宋体"/>
                <w:color w:val="auto"/>
                <w:highlight w:val="none"/>
              </w:rPr>
            </w:pPr>
            <w:r>
              <w:rPr>
                <w:rFonts w:hint="eastAsia" w:ascii="宋体" w:hAnsi="宋体" w:cs="宋体"/>
                <w:color w:val="auto"/>
                <w:highlight w:val="none"/>
              </w:rPr>
              <w:t>能够完成的教学演示：</w:t>
            </w:r>
          </w:p>
          <w:p w14:paraId="7E520D8A">
            <w:pPr>
              <w:rPr>
                <w:rFonts w:hint="eastAsia" w:ascii="宋体" w:hAnsi="宋体" w:cs="宋体"/>
                <w:b/>
                <w:bCs/>
                <w:color w:val="auto"/>
                <w:highlight w:val="none"/>
              </w:rPr>
            </w:pPr>
            <w:r>
              <w:rPr>
                <w:rFonts w:hint="eastAsia" w:ascii="宋体" w:hAnsi="宋体" w:cs="宋体"/>
                <w:color w:val="auto"/>
                <w:highlight w:val="none"/>
              </w:rPr>
              <w:t>横波；驻波；模拟偏振等。</w:t>
            </w:r>
          </w:p>
        </w:tc>
        <w:tc>
          <w:tcPr>
            <w:tcW w:w="384" w:type="pct"/>
            <w:vAlign w:val="center"/>
          </w:tcPr>
          <w:p w14:paraId="2CDE5128">
            <w:pPr>
              <w:jc w:val="center"/>
              <w:rPr>
                <w:color w:val="auto"/>
                <w:highlight w:val="none"/>
              </w:rPr>
            </w:pPr>
            <w:r>
              <w:rPr>
                <w:rFonts w:hint="eastAsia" w:ascii="宋体" w:hAnsi="宋体" w:cs="宋体"/>
                <w:color w:val="auto"/>
                <w:highlight w:val="none"/>
              </w:rPr>
              <w:t>套</w:t>
            </w:r>
          </w:p>
        </w:tc>
        <w:tc>
          <w:tcPr>
            <w:tcW w:w="385" w:type="pct"/>
            <w:vAlign w:val="center"/>
          </w:tcPr>
          <w:p w14:paraId="67DC4644">
            <w:pPr>
              <w:jc w:val="center"/>
              <w:rPr>
                <w:color w:val="auto"/>
                <w:highlight w:val="none"/>
              </w:rPr>
            </w:pPr>
            <w:r>
              <w:rPr>
                <w:rFonts w:hint="eastAsia" w:ascii="宋体" w:hAnsi="宋体" w:cs="宋体"/>
                <w:color w:val="auto"/>
                <w:highlight w:val="none"/>
              </w:rPr>
              <w:t>1</w:t>
            </w:r>
          </w:p>
        </w:tc>
      </w:tr>
      <w:tr w14:paraId="7EF16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492C1E27">
            <w:pPr>
              <w:jc w:val="center"/>
              <w:rPr>
                <w:rFonts w:hint="eastAsia" w:ascii="宋体" w:hAnsi="宋体" w:cs="宋体"/>
                <w:b/>
                <w:bCs/>
                <w:color w:val="auto"/>
                <w:highlight w:val="none"/>
              </w:rPr>
            </w:pPr>
            <w:r>
              <w:rPr>
                <w:rFonts w:hint="eastAsia" w:ascii="宋体" w:hAnsi="宋体" w:cs="宋体"/>
                <w:color w:val="auto"/>
                <w:highlight w:val="none"/>
              </w:rPr>
              <w:t>9</w:t>
            </w:r>
          </w:p>
        </w:tc>
        <w:tc>
          <w:tcPr>
            <w:tcW w:w="782" w:type="pct"/>
            <w:tcBorders>
              <w:left w:val="single" w:color="auto" w:sz="4" w:space="0"/>
              <w:right w:val="single" w:color="auto" w:sz="4" w:space="0"/>
            </w:tcBorders>
            <w:vAlign w:val="center"/>
          </w:tcPr>
          <w:p w14:paraId="3C8D90E4">
            <w:pPr>
              <w:jc w:val="center"/>
              <w:rPr>
                <w:rFonts w:hint="eastAsia" w:ascii="宋体" w:hAnsi="宋体" w:cs="宋体"/>
                <w:b/>
                <w:bCs/>
                <w:color w:val="auto"/>
                <w:highlight w:val="none"/>
              </w:rPr>
            </w:pPr>
            <w:r>
              <w:rPr>
                <w:rFonts w:hint="eastAsia" w:ascii="宋体" w:hAnsi="宋体" w:cs="宋体"/>
                <w:color w:val="auto"/>
                <w:highlight w:val="none"/>
              </w:rPr>
              <w:t>感应起电机</w:t>
            </w:r>
          </w:p>
        </w:tc>
        <w:tc>
          <w:tcPr>
            <w:tcW w:w="3079" w:type="pct"/>
            <w:tcBorders>
              <w:left w:val="single" w:color="auto" w:sz="4" w:space="0"/>
            </w:tcBorders>
            <w:vAlign w:val="center"/>
          </w:tcPr>
          <w:p w14:paraId="1DFC42B0">
            <w:pPr>
              <w:rPr>
                <w:rFonts w:hint="eastAsia" w:ascii="宋体" w:hAnsi="宋体" w:cs="宋体"/>
                <w:color w:val="auto"/>
                <w:highlight w:val="none"/>
              </w:rPr>
            </w:pPr>
            <w:r>
              <w:rPr>
                <w:rFonts w:hint="eastAsia" w:ascii="宋体" w:hAnsi="宋体" w:cs="宋体"/>
                <w:color w:val="auto"/>
                <w:highlight w:val="none"/>
              </w:rPr>
              <w:t>主要配置及特征参数：</w:t>
            </w:r>
          </w:p>
          <w:p w14:paraId="719714D4">
            <w:pPr>
              <w:rPr>
                <w:rFonts w:hint="eastAsia" w:ascii="宋体" w:hAnsi="宋体" w:cs="宋体"/>
                <w:color w:val="auto"/>
                <w:highlight w:val="none"/>
              </w:rPr>
            </w:pPr>
            <w:r>
              <w:rPr>
                <w:rFonts w:hint="eastAsia" w:ascii="宋体" w:hAnsi="宋体" w:cs="宋体"/>
                <w:color w:val="auto"/>
                <w:highlight w:val="none"/>
              </w:rPr>
              <w:t>由起电盘、底座、莱顿瓶、集电杆、放电杆、电刷、电刷杆、皮带轮、连接片等组成。应用感应起电原理，摇动手柄，起电盘转动，放电杆前端的球部分别带有不同电性的大量电荷。</w:t>
            </w:r>
          </w:p>
          <w:p w14:paraId="4C070060">
            <w:pPr>
              <w:rPr>
                <w:rFonts w:hint="eastAsia" w:ascii="宋体" w:hAnsi="宋体" w:cs="宋体"/>
                <w:color w:val="auto"/>
                <w:highlight w:val="none"/>
              </w:rPr>
            </w:pPr>
            <w:r>
              <w:rPr>
                <w:rFonts w:hint="eastAsia" w:ascii="宋体" w:hAnsi="宋体" w:cs="宋体"/>
                <w:color w:val="auto"/>
                <w:highlight w:val="none"/>
              </w:rPr>
              <w:t>能够完成的教学演示：</w:t>
            </w:r>
          </w:p>
          <w:p w14:paraId="43A64A5A">
            <w:pPr>
              <w:rPr>
                <w:rFonts w:hint="eastAsia" w:ascii="宋体" w:hAnsi="宋体" w:cs="宋体"/>
                <w:b/>
                <w:bCs/>
                <w:color w:val="auto"/>
                <w:highlight w:val="none"/>
              </w:rPr>
            </w:pPr>
            <w:r>
              <w:rPr>
                <w:rFonts w:hint="eastAsia" w:ascii="宋体" w:hAnsi="宋体" w:cs="宋体"/>
                <w:color w:val="auto"/>
                <w:highlight w:val="none"/>
              </w:rPr>
              <w:t>感应起电现象；火花放电；尖端放电；配合其他仪器进行静电学相应实验等。</w:t>
            </w:r>
          </w:p>
        </w:tc>
        <w:tc>
          <w:tcPr>
            <w:tcW w:w="384" w:type="pct"/>
            <w:vAlign w:val="center"/>
          </w:tcPr>
          <w:p w14:paraId="5D7F329D">
            <w:pPr>
              <w:jc w:val="center"/>
              <w:rPr>
                <w:color w:val="auto"/>
                <w:highlight w:val="none"/>
              </w:rPr>
            </w:pPr>
            <w:r>
              <w:rPr>
                <w:rFonts w:hint="eastAsia" w:ascii="宋体" w:hAnsi="宋体" w:cs="宋体"/>
                <w:color w:val="auto"/>
                <w:highlight w:val="none"/>
              </w:rPr>
              <w:t>台</w:t>
            </w:r>
          </w:p>
        </w:tc>
        <w:tc>
          <w:tcPr>
            <w:tcW w:w="385" w:type="pct"/>
            <w:vAlign w:val="center"/>
          </w:tcPr>
          <w:p w14:paraId="73C59BA8">
            <w:pPr>
              <w:jc w:val="center"/>
              <w:rPr>
                <w:color w:val="auto"/>
                <w:highlight w:val="none"/>
              </w:rPr>
            </w:pPr>
            <w:r>
              <w:rPr>
                <w:rFonts w:hint="eastAsia" w:ascii="宋体" w:hAnsi="宋体" w:cs="宋体"/>
                <w:color w:val="auto"/>
                <w:highlight w:val="none"/>
              </w:rPr>
              <w:t>1</w:t>
            </w:r>
          </w:p>
        </w:tc>
      </w:tr>
      <w:tr w14:paraId="64245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0E329E69">
            <w:pPr>
              <w:jc w:val="center"/>
              <w:rPr>
                <w:rFonts w:hint="eastAsia" w:ascii="宋体" w:hAnsi="宋体" w:cs="宋体"/>
                <w:b/>
                <w:bCs/>
                <w:color w:val="auto"/>
                <w:highlight w:val="none"/>
              </w:rPr>
            </w:pPr>
            <w:r>
              <w:rPr>
                <w:rFonts w:hint="eastAsia" w:ascii="宋体" w:hAnsi="宋体" w:cs="宋体"/>
                <w:color w:val="auto"/>
                <w:highlight w:val="none"/>
              </w:rPr>
              <w:t>10</w:t>
            </w:r>
          </w:p>
        </w:tc>
        <w:tc>
          <w:tcPr>
            <w:tcW w:w="782" w:type="pct"/>
            <w:tcBorders>
              <w:left w:val="single" w:color="auto" w:sz="4" w:space="0"/>
              <w:right w:val="single" w:color="auto" w:sz="4" w:space="0"/>
            </w:tcBorders>
            <w:vAlign w:val="center"/>
          </w:tcPr>
          <w:p w14:paraId="46F3DF36">
            <w:pPr>
              <w:jc w:val="center"/>
              <w:rPr>
                <w:rFonts w:hint="eastAsia" w:ascii="宋体" w:hAnsi="宋体" w:cs="宋体"/>
                <w:b/>
                <w:bCs/>
                <w:color w:val="auto"/>
                <w:highlight w:val="none"/>
              </w:rPr>
            </w:pPr>
            <w:r>
              <w:rPr>
                <w:rFonts w:hint="eastAsia" w:ascii="宋体" w:hAnsi="宋体" w:cs="宋体"/>
                <w:color w:val="auto"/>
                <w:highlight w:val="none"/>
              </w:rPr>
              <w:t>范氏起电机</w:t>
            </w:r>
          </w:p>
        </w:tc>
        <w:tc>
          <w:tcPr>
            <w:tcW w:w="3079" w:type="pct"/>
            <w:tcBorders>
              <w:left w:val="single" w:color="auto" w:sz="4" w:space="0"/>
            </w:tcBorders>
            <w:vAlign w:val="center"/>
          </w:tcPr>
          <w:p w14:paraId="14C6F5E2">
            <w:pPr>
              <w:rPr>
                <w:rFonts w:hint="eastAsia" w:ascii="宋体" w:hAnsi="宋体" w:cs="宋体"/>
                <w:b/>
                <w:bCs/>
                <w:color w:val="auto"/>
                <w:highlight w:val="none"/>
              </w:rPr>
            </w:pPr>
            <w:r>
              <w:rPr>
                <w:rFonts w:hint="eastAsia" w:ascii="宋体" w:hAnsi="宋体" w:cs="宋体"/>
                <w:color w:val="auto"/>
                <w:highlight w:val="none"/>
              </w:rPr>
              <w:t>由大金属壳、绝缘支架、传送带、转轮、尖端导体、接地导体板组成，电压可达数百万伏。</w:t>
            </w:r>
          </w:p>
        </w:tc>
        <w:tc>
          <w:tcPr>
            <w:tcW w:w="384" w:type="pct"/>
            <w:vAlign w:val="center"/>
          </w:tcPr>
          <w:p w14:paraId="2FD39BB8">
            <w:pPr>
              <w:jc w:val="center"/>
              <w:rPr>
                <w:color w:val="auto"/>
                <w:highlight w:val="none"/>
              </w:rPr>
            </w:pPr>
            <w:r>
              <w:rPr>
                <w:rFonts w:hint="eastAsia" w:ascii="宋体" w:hAnsi="宋体" w:cs="宋体"/>
                <w:color w:val="auto"/>
                <w:highlight w:val="none"/>
              </w:rPr>
              <w:t>台</w:t>
            </w:r>
          </w:p>
        </w:tc>
        <w:tc>
          <w:tcPr>
            <w:tcW w:w="385" w:type="pct"/>
            <w:vAlign w:val="center"/>
          </w:tcPr>
          <w:p w14:paraId="6409B9A8">
            <w:pPr>
              <w:jc w:val="center"/>
              <w:rPr>
                <w:color w:val="auto"/>
                <w:highlight w:val="none"/>
              </w:rPr>
            </w:pPr>
            <w:r>
              <w:rPr>
                <w:rFonts w:hint="eastAsia" w:ascii="宋体" w:hAnsi="宋体" w:cs="宋体"/>
                <w:color w:val="auto"/>
                <w:highlight w:val="none"/>
              </w:rPr>
              <w:t>1</w:t>
            </w:r>
          </w:p>
        </w:tc>
      </w:tr>
      <w:tr w14:paraId="0ED07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622CF13A">
            <w:pPr>
              <w:jc w:val="center"/>
              <w:rPr>
                <w:rFonts w:hint="eastAsia" w:ascii="宋体" w:hAnsi="宋体" w:cs="宋体"/>
                <w:b/>
                <w:bCs/>
                <w:color w:val="auto"/>
                <w:highlight w:val="none"/>
              </w:rPr>
            </w:pPr>
            <w:r>
              <w:rPr>
                <w:rFonts w:hint="eastAsia" w:ascii="宋体" w:hAnsi="宋体" w:cs="宋体"/>
                <w:color w:val="auto"/>
                <w:highlight w:val="none"/>
              </w:rPr>
              <w:t>11</w:t>
            </w:r>
          </w:p>
        </w:tc>
        <w:tc>
          <w:tcPr>
            <w:tcW w:w="782" w:type="pct"/>
            <w:tcBorders>
              <w:left w:val="single" w:color="auto" w:sz="4" w:space="0"/>
              <w:right w:val="single" w:color="auto" w:sz="4" w:space="0"/>
            </w:tcBorders>
            <w:vAlign w:val="center"/>
          </w:tcPr>
          <w:p w14:paraId="712F288A">
            <w:pPr>
              <w:jc w:val="center"/>
              <w:rPr>
                <w:rFonts w:hint="eastAsia" w:ascii="宋体" w:hAnsi="宋体" w:cs="宋体"/>
                <w:b/>
                <w:bCs/>
                <w:color w:val="auto"/>
                <w:highlight w:val="none"/>
              </w:rPr>
            </w:pPr>
            <w:r>
              <w:rPr>
                <w:rFonts w:hint="eastAsia" w:ascii="宋体" w:hAnsi="宋体" w:cs="宋体"/>
                <w:color w:val="auto"/>
                <w:highlight w:val="none"/>
              </w:rPr>
              <w:t>安培力演示器</w:t>
            </w:r>
          </w:p>
        </w:tc>
        <w:tc>
          <w:tcPr>
            <w:tcW w:w="3079" w:type="pct"/>
            <w:tcBorders>
              <w:left w:val="single" w:color="auto" w:sz="4" w:space="0"/>
            </w:tcBorders>
            <w:vAlign w:val="center"/>
          </w:tcPr>
          <w:p w14:paraId="39333A9B">
            <w:pPr>
              <w:rPr>
                <w:rFonts w:hint="eastAsia" w:ascii="宋体" w:hAnsi="宋体" w:cs="宋体"/>
                <w:color w:val="auto"/>
                <w:highlight w:val="none"/>
              </w:rPr>
            </w:pPr>
            <w:r>
              <w:rPr>
                <w:rFonts w:hint="eastAsia" w:ascii="宋体" w:hAnsi="宋体" w:cs="宋体"/>
                <w:color w:val="auto"/>
                <w:highlight w:val="none"/>
              </w:rPr>
              <w:t>配合电流传感器和微力传感器使用，研究安培力与导线长度、供电电流以及电流方向与磁场夹角的关系。</w:t>
            </w:r>
          </w:p>
          <w:p w14:paraId="7D5C2B8A">
            <w:pPr>
              <w:rPr>
                <w:rFonts w:hint="eastAsia" w:ascii="宋体" w:hAnsi="宋体" w:cs="宋体"/>
                <w:color w:val="auto"/>
                <w:highlight w:val="none"/>
              </w:rPr>
            </w:pPr>
            <w:r>
              <w:rPr>
                <w:rFonts w:hint="eastAsia" w:ascii="宋体" w:hAnsi="宋体" w:cs="宋体"/>
                <w:color w:val="auto"/>
                <w:highlight w:val="none"/>
              </w:rPr>
              <w:t>主要配置及特征参数：</w:t>
            </w:r>
          </w:p>
          <w:p w14:paraId="53FF482A">
            <w:pPr>
              <w:rPr>
                <w:rFonts w:hint="eastAsia" w:ascii="宋体" w:hAnsi="宋体" w:cs="宋体"/>
                <w:color w:val="auto"/>
                <w:highlight w:val="none"/>
              </w:rPr>
            </w:pPr>
            <w:r>
              <w:rPr>
                <w:rFonts w:hint="eastAsia" w:ascii="宋体" w:hAnsi="宋体" w:cs="宋体"/>
                <w:color w:val="auto"/>
                <w:highlight w:val="none"/>
              </w:rPr>
              <w:t>铝型材底座组件、线圈、轴承底座、磁铁座、刻度转盘等</w:t>
            </w:r>
          </w:p>
          <w:p w14:paraId="038056FE">
            <w:pPr>
              <w:rPr>
                <w:rFonts w:hint="eastAsia" w:ascii="宋体" w:hAnsi="宋体" w:cs="宋体"/>
                <w:color w:val="auto"/>
                <w:highlight w:val="none"/>
              </w:rPr>
            </w:pPr>
            <w:r>
              <w:rPr>
                <w:rFonts w:hint="eastAsia" w:ascii="宋体" w:hAnsi="宋体" w:cs="宋体"/>
                <w:color w:val="auto"/>
                <w:highlight w:val="none"/>
              </w:rPr>
              <w:t>技术指标：</w:t>
            </w:r>
          </w:p>
          <w:p w14:paraId="6D95F8AE">
            <w:pPr>
              <w:rPr>
                <w:rFonts w:hint="eastAsia" w:ascii="宋体" w:hAnsi="宋体" w:cs="宋体"/>
                <w:color w:val="auto"/>
                <w:highlight w:val="none"/>
              </w:rPr>
            </w:pPr>
            <w:r>
              <w:rPr>
                <w:rFonts w:hint="eastAsia" w:ascii="宋体" w:hAnsi="宋体" w:cs="宋体"/>
                <w:color w:val="auto"/>
                <w:highlight w:val="none"/>
              </w:rPr>
              <w:t>铝型材底座组件：</w:t>
            </w:r>
          </w:p>
          <w:p w14:paraId="2D722412">
            <w:pPr>
              <w:rPr>
                <w:rFonts w:hint="eastAsia" w:ascii="宋体" w:hAnsi="宋体" w:cs="宋体"/>
                <w:color w:val="auto"/>
                <w:highlight w:val="none"/>
              </w:rPr>
            </w:pPr>
            <w:r>
              <w:rPr>
                <w:rFonts w:hint="eastAsia" w:ascii="宋体" w:hAnsi="宋体" w:cs="宋体"/>
                <w:color w:val="auto"/>
                <w:highlight w:val="none"/>
              </w:rPr>
              <w:t>组成产品：端盖、铝型材底座、EVA自粘板等</w:t>
            </w:r>
          </w:p>
          <w:p w14:paraId="0EDE9FEF">
            <w:pPr>
              <w:rPr>
                <w:rFonts w:hint="eastAsia" w:ascii="宋体" w:hAnsi="宋体" w:cs="宋体"/>
                <w:color w:val="auto"/>
                <w:highlight w:val="none"/>
              </w:rPr>
            </w:pPr>
            <w:r>
              <w:rPr>
                <w:rFonts w:hint="eastAsia" w:ascii="宋体" w:hAnsi="宋体" w:cs="宋体"/>
                <w:color w:val="auto"/>
                <w:highlight w:val="none"/>
              </w:rPr>
              <w:t>规格：底座基本尺寸：350*90*35mm，长度公差±2.0mm；材质工艺：铝6063-T5，挤压拉模成型；表面处理工艺：电泳发黑；端盖基本尺寸：95*35mm，ABS塑料精密注塑成型；功能描述：多个零件组合集成在底座，为安培力实验提供运动和安装平台。</w:t>
            </w:r>
          </w:p>
          <w:p w14:paraId="0DAA3BB1">
            <w:pPr>
              <w:rPr>
                <w:rFonts w:hint="eastAsia" w:ascii="宋体" w:hAnsi="宋体" w:cs="宋体"/>
                <w:color w:val="auto"/>
                <w:highlight w:val="none"/>
              </w:rPr>
            </w:pPr>
            <w:r>
              <w:rPr>
                <w:rFonts w:hint="eastAsia" w:ascii="宋体" w:hAnsi="宋体" w:cs="宋体"/>
                <w:color w:val="auto"/>
                <w:highlight w:val="none"/>
              </w:rPr>
              <w:t>线圈：</w:t>
            </w:r>
          </w:p>
          <w:p w14:paraId="56C09AB0">
            <w:pPr>
              <w:rPr>
                <w:rFonts w:hint="eastAsia" w:ascii="宋体" w:hAnsi="宋体" w:cs="宋体"/>
                <w:color w:val="auto"/>
                <w:highlight w:val="none"/>
              </w:rPr>
            </w:pPr>
            <w:r>
              <w:rPr>
                <w:rFonts w:hint="eastAsia" w:ascii="宋体" w:hAnsi="宋体" w:cs="宋体"/>
                <w:color w:val="auto"/>
                <w:highlight w:val="none"/>
              </w:rPr>
              <w:t>基本参考尺寸规格：94*94*14mm；材质工艺：ABS塑料精密注塑成型；功能描述：提供线径0.25mm的漆包线，分为100匝、200匝、300匝线圈，为实验提供不同的线圈匝数，提高实验数据的可靠性和准确度。</w:t>
            </w:r>
          </w:p>
          <w:p w14:paraId="35FB4447">
            <w:pPr>
              <w:rPr>
                <w:rFonts w:hint="eastAsia" w:ascii="宋体" w:hAnsi="宋体" w:cs="宋体"/>
                <w:color w:val="auto"/>
                <w:highlight w:val="none"/>
              </w:rPr>
            </w:pPr>
            <w:r>
              <w:rPr>
                <w:rFonts w:hint="eastAsia" w:ascii="宋体" w:hAnsi="宋体" w:cs="宋体"/>
                <w:color w:val="auto"/>
                <w:highlight w:val="none"/>
              </w:rPr>
              <w:t>轴承底座：</w:t>
            </w:r>
          </w:p>
          <w:p w14:paraId="037738AE">
            <w:pPr>
              <w:rPr>
                <w:rFonts w:hint="eastAsia" w:ascii="宋体" w:hAnsi="宋体" w:cs="宋体"/>
                <w:color w:val="auto"/>
                <w:highlight w:val="none"/>
              </w:rPr>
            </w:pPr>
            <w:r>
              <w:rPr>
                <w:rFonts w:hint="eastAsia" w:ascii="宋体" w:hAnsi="宋体" w:cs="宋体"/>
                <w:color w:val="auto"/>
                <w:highlight w:val="none"/>
              </w:rPr>
              <w:t>基本尺寸规格：60*58*35mm；材质工艺：ABS塑料精密注塑成型；功能描述：为轴承提供良好的安装孔位，内嵌6802Z铁盖轴承，线圈通过轴承可以平稳的转动，输出准确的实验数据。</w:t>
            </w:r>
          </w:p>
          <w:p w14:paraId="0FC6195F">
            <w:pPr>
              <w:rPr>
                <w:rFonts w:hint="eastAsia" w:ascii="宋体" w:hAnsi="宋体" w:cs="宋体"/>
                <w:color w:val="auto"/>
                <w:highlight w:val="none"/>
              </w:rPr>
            </w:pPr>
            <w:r>
              <w:rPr>
                <w:rFonts w:hint="eastAsia" w:ascii="宋体" w:hAnsi="宋体" w:cs="宋体"/>
                <w:color w:val="auto"/>
                <w:highlight w:val="none"/>
              </w:rPr>
              <w:t>刻度转盘：</w:t>
            </w:r>
          </w:p>
          <w:p w14:paraId="3DC800CB">
            <w:pPr>
              <w:rPr>
                <w:rFonts w:hint="eastAsia" w:ascii="宋体" w:hAnsi="宋体" w:cs="宋体"/>
                <w:b/>
                <w:bCs/>
                <w:color w:val="auto"/>
                <w:highlight w:val="none"/>
              </w:rPr>
            </w:pPr>
            <w:r>
              <w:rPr>
                <w:rFonts w:hint="eastAsia" w:ascii="宋体" w:hAnsi="宋体" w:cs="宋体"/>
                <w:color w:val="auto"/>
                <w:highlight w:val="none"/>
              </w:rPr>
              <w:t>规格：</w:t>
            </w:r>
            <w:r>
              <w:rPr>
                <w:rFonts w:hint="eastAsia" w:ascii="MS Gothic" w:hAnsi="MS Gothic" w:eastAsia="MS Gothic" w:cs="MS Gothic"/>
                <w:color w:val="auto"/>
                <w:highlight w:val="none"/>
              </w:rPr>
              <w:t>∅</w:t>
            </w:r>
            <w:r>
              <w:rPr>
                <w:rFonts w:hint="eastAsia" w:ascii="宋体" w:hAnsi="宋体" w:cs="宋体"/>
                <w:color w:val="auto"/>
                <w:highlight w:val="none"/>
              </w:rPr>
              <w:t>235*3mm；材质：铝6061；表面处理：细喷砂阳极氧化，表面双色丝印，刻度线条清晰。功能描述：为磁铁座提供安装平台，可以旋转，实验中便于调节不同的角度。</w:t>
            </w:r>
          </w:p>
        </w:tc>
        <w:tc>
          <w:tcPr>
            <w:tcW w:w="384" w:type="pct"/>
            <w:vAlign w:val="center"/>
          </w:tcPr>
          <w:p w14:paraId="3CD336D3">
            <w:pPr>
              <w:jc w:val="center"/>
              <w:rPr>
                <w:color w:val="auto"/>
                <w:highlight w:val="none"/>
              </w:rPr>
            </w:pPr>
            <w:r>
              <w:rPr>
                <w:rFonts w:hint="eastAsia" w:ascii="宋体" w:hAnsi="宋体" w:cs="宋体"/>
                <w:color w:val="auto"/>
                <w:highlight w:val="none"/>
              </w:rPr>
              <w:t>套</w:t>
            </w:r>
          </w:p>
        </w:tc>
        <w:tc>
          <w:tcPr>
            <w:tcW w:w="385" w:type="pct"/>
            <w:vAlign w:val="center"/>
          </w:tcPr>
          <w:p w14:paraId="0DEB16A5">
            <w:pPr>
              <w:jc w:val="center"/>
              <w:rPr>
                <w:color w:val="auto"/>
                <w:highlight w:val="none"/>
              </w:rPr>
            </w:pPr>
            <w:r>
              <w:rPr>
                <w:rFonts w:hint="eastAsia" w:ascii="宋体" w:hAnsi="宋体" w:cs="宋体"/>
                <w:color w:val="auto"/>
                <w:highlight w:val="none"/>
              </w:rPr>
              <w:t>1</w:t>
            </w:r>
          </w:p>
        </w:tc>
      </w:tr>
      <w:tr w14:paraId="14A1C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6D930F95">
            <w:pPr>
              <w:jc w:val="center"/>
              <w:rPr>
                <w:rFonts w:hint="eastAsia" w:ascii="宋体" w:hAnsi="宋体" w:cs="宋体"/>
                <w:b/>
                <w:bCs/>
                <w:color w:val="auto"/>
                <w:highlight w:val="none"/>
              </w:rPr>
            </w:pPr>
            <w:r>
              <w:rPr>
                <w:rFonts w:hint="eastAsia" w:ascii="宋体" w:hAnsi="宋体" w:cs="宋体"/>
                <w:color w:val="auto"/>
                <w:highlight w:val="none"/>
              </w:rPr>
              <w:t>12</w:t>
            </w:r>
          </w:p>
        </w:tc>
        <w:tc>
          <w:tcPr>
            <w:tcW w:w="782" w:type="pct"/>
            <w:tcBorders>
              <w:left w:val="single" w:color="auto" w:sz="4" w:space="0"/>
              <w:right w:val="single" w:color="auto" w:sz="4" w:space="0"/>
            </w:tcBorders>
            <w:vAlign w:val="center"/>
          </w:tcPr>
          <w:p w14:paraId="3DC9BC78">
            <w:pPr>
              <w:jc w:val="center"/>
              <w:rPr>
                <w:rFonts w:hint="eastAsia" w:ascii="宋体" w:hAnsi="宋体" w:cs="宋体"/>
                <w:b/>
                <w:bCs/>
                <w:color w:val="auto"/>
                <w:highlight w:val="none"/>
              </w:rPr>
            </w:pPr>
            <w:r>
              <w:rPr>
                <w:rFonts w:hint="eastAsia" w:ascii="宋体" w:hAnsi="宋体" w:cs="宋体"/>
                <w:color w:val="auto"/>
                <w:highlight w:val="none"/>
              </w:rPr>
              <w:t>动量传递演示器</w:t>
            </w:r>
          </w:p>
        </w:tc>
        <w:tc>
          <w:tcPr>
            <w:tcW w:w="3079" w:type="pct"/>
            <w:tcBorders>
              <w:left w:val="single" w:color="auto" w:sz="4" w:space="0"/>
            </w:tcBorders>
            <w:vAlign w:val="center"/>
          </w:tcPr>
          <w:p w14:paraId="7F500C73">
            <w:pPr>
              <w:rPr>
                <w:rFonts w:hint="eastAsia" w:ascii="宋体" w:hAnsi="宋体" w:cs="宋体"/>
                <w:color w:val="auto"/>
                <w:highlight w:val="none"/>
              </w:rPr>
            </w:pPr>
            <w:r>
              <w:rPr>
                <w:rFonts w:hint="eastAsia" w:ascii="宋体" w:hAnsi="宋体" w:cs="宋体"/>
                <w:color w:val="auto"/>
                <w:highlight w:val="none"/>
              </w:rPr>
              <w:t>主要配置及特征参数：</w:t>
            </w:r>
          </w:p>
          <w:p w14:paraId="3CFA9535">
            <w:pPr>
              <w:rPr>
                <w:rFonts w:hint="eastAsia" w:ascii="宋体" w:hAnsi="宋体" w:cs="宋体"/>
                <w:color w:val="auto"/>
                <w:highlight w:val="none"/>
              </w:rPr>
            </w:pPr>
            <w:r>
              <w:rPr>
                <w:rFonts w:hint="eastAsia" w:ascii="宋体" w:hAnsi="宋体" w:cs="宋体"/>
                <w:color w:val="auto"/>
                <w:highlight w:val="none"/>
              </w:rPr>
              <w:t>由塑料底座、支架（立柱及横杆）、钢球等组成。支架上悬挂五个等质量、等直径且相互接触的钢球。</w:t>
            </w:r>
          </w:p>
          <w:p w14:paraId="743AEECA">
            <w:pPr>
              <w:rPr>
                <w:rFonts w:hint="eastAsia" w:ascii="宋体" w:hAnsi="宋体" w:cs="宋体"/>
                <w:color w:val="auto"/>
                <w:highlight w:val="none"/>
              </w:rPr>
            </w:pPr>
            <w:r>
              <w:rPr>
                <w:rFonts w:hint="eastAsia" w:ascii="宋体" w:hAnsi="宋体" w:cs="宋体"/>
                <w:color w:val="auto"/>
                <w:highlight w:val="none"/>
              </w:rPr>
              <w:t>技术指标：</w:t>
            </w:r>
          </w:p>
          <w:p w14:paraId="13E7A1BD">
            <w:pPr>
              <w:rPr>
                <w:rFonts w:hint="eastAsia" w:ascii="宋体" w:hAnsi="宋体" w:cs="宋体"/>
                <w:color w:val="auto"/>
                <w:highlight w:val="none"/>
              </w:rPr>
            </w:pPr>
            <w:r>
              <w:rPr>
                <w:rFonts w:hint="eastAsia" w:ascii="宋体" w:hAnsi="宋体" w:cs="宋体"/>
                <w:color w:val="auto"/>
                <w:highlight w:val="none"/>
              </w:rPr>
              <w:t>塑料底座：</w:t>
            </w:r>
          </w:p>
          <w:p w14:paraId="383487EF">
            <w:pPr>
              <w:rPr>
                <w:rFonts w:hint="eastAsia" w:ascii="宋体" w:hAnsi="宋体" w:cs="宋体"/>
                <w:color w:val="auto"/>
                <w:highlight w:val="none"/>
              </w:rPr>
            </w:pPr>
            <w:r>
              <w:rPr>
                <w:rFonts w:hint="eastAsia" w:ascii="宋体" w:hAnsi="宋体" w:cs="宋体"/>
                <w:color w:val="auto"/>
                <w:highlight w:val="none"/>
              </w:rPr>
              <w:t>基本尺寸规格：265*170*38mm（±5mm）；材质工艺：ABS塑料精密注塑成型；功能描述：为整个演示器提供牢固稳定的底座，内嵌垫片，使得底座具备防滑耐磨的特点。</w:t>
            </w:r>
          </w:p>
          <w:p w14:paraId="524F9F1C">
            <w:pPr>
              <w:rPr>
                <w:rFonts w:hint="eastAsia" w:ascii="宋体" w:hAnsi="宋体" w:cs="宋体"/>
                <w:color w:val="auto"/>
                <w:highlight w:val="none"/>
              </w:rPr>
            </w:pPr>
            <w:r>
              <w:rPr>
                <w:rFonts w:hint="eastAsia" w:ascii="宋体" w:hAnsi="宋体" w:cs="宋体"/>
                <w:color w:val="auto"/>
                <w:highlight w:val="none"/>
              </w:rPr>
              <w:t>能够完成的教学演示：</w:t>
            </w:r>
          </w:p>
          <w:p w14:paraId="5397D35B">
            <w:pPr>
              <w:rPr>
                <w:rFonts w:hint="eastAsia" w:ascii="宋体" w:hAnsi="宋体" w:cs="宋体"/>
                <w:b/>
                <w:bCs/>
                <w:color w:val="auto"/>
                <w:highlight w:val="none"/>
              </w:rPr>
            </w:pPr>
            <w:r>
              <w:rPr>
                <w:rFonts w:hint="eastAsia" w:ascii="宋体" w:hAnsi="宋体" w:cs="宋体"/>
                <w:color w:val="auto"/>
                <w:highlight w:val="none"/>
              </w:rPr>
              <w:t>动量传递实验。</w:t>
            </w:r>
          </w:p>
        </w:tc>
        <w:tc>
          <w:tcPr>
            <w:tcW w:w="384" w:type="pct"/>
            <w:vAlign w:val="center"/>
          </w:tcPr>
          <w:p w14:paraId="02943044">
            <w:pPr>
              <w:jc w:val="center"/>
              <w:rPr>
                <w:color w:val="auto"/>
                <w:highlight w:val="none"/>
              </w:rPr>
            </w:pPr>
            <w:r>
              <w:rPr>
                <w:rFonts w:hint="eastAsia" w:ascii="宋体" w:hAnsi="宋体" w:cs="宋体"/>
                <w:color w:val="auto"/>
                <w:highlight w:val="none"/>
              </w:rPr>
              <w:t>套</w:t>
            </w:r>
          </w:p>
        </w:tc>
        <w:tc>
          <w:tcPr>
            <w:tcW w:w="385" w:type="pct"/>
            <w:vAlign w:val="center"/>
          </w:tcPr>
          <w:p w14:paraId="0A0C4AE4">
            <w:pPr>
              <w:jc w:val="center"/>
              <w:rPr>
                <w:color w:val="auto"/>
                <w:highlight w:val="none"/>
              </w:rPr>
            </w:pPr>
            <w:r>
              <w:rPr>
                <w:rFonts w:hint="eastAsia" w:ascii="宋体" w:hAnsi="宋体" w:cs="宋体"/>
                <w:color w:val="auto"/>
                <w:highlight w:val="none"/>
              </w:rPr>
              <w:t>1</w:t>
            </w:r>
          </w:p>
        </w:tc>
      </w:tr>
      <w:tr w14:paraId="1EBF1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1DDF678B">
            <w:pPr>
              <w:jc w:val="center"/>
              <w:rPr>
                <w:rFonts w:hint="eastAsia" w:ascii="宋体" w:hAnsi="宋体" w:cs="宋体"/>
                <w:b/>
                <w:bCs/>
                <w:color w:val="auto"/>
                <w:highlight w:val="none"/>
              </w:rPr>
            </w:pPr>
            <w:r>
              <w:rPr>
                <w:rFonts w:hint="eastAsia" w:ascii="宋体" w:hAnsi="宋体" w:cs="宋体"/>
                <w:color w:val="auto"/>
                <w:highlight w:val="none"/>
              </w:rPr>
              <w:t>13</w:t>
            </w:r>
          </w:p>
        </w:tc>
        <w:tc>
          <w:tcPr>
            <w:tcW w:w="782" w:type="pct"/>
            <w:tcBorders>
              <w:left w:val="single" w:color="auto" w:sz="4" w:space="0"/>
              <w:right w:val="single" w:color="auto" w:sz="4" w:space="0"/>
            </w:tcBorders>
            <w:vAlign w:val="center"/>
          </w:tcPr>
          <w:p w14:paraId="1E9413AE">
            <w:pPr>
              <w:jc w:val="center"/>
              <w:rPr>
                <w:rFonts w:hint="eastAsia" w:ascii="宋体" w:hAnsi="宋体" w:cs="宋体"/>
                <w:b/>
                <w:bCs/>
                <w:color w:val="auto"/>
                <w:highlight w:val="none"/>
              </w:rPr>
            </w:pPr>
            <w:r>
              <w:rPr>
                <w:rFonts w:hint="eastAsia" w:ascii="宋体" w:hAnsi="宋体" w:cs="宋体"/>
                <w:color w:val="auto"/>
                <w:highlight w:val="none"/>
              </w:rPr>
              <w:t>磁感线演示板（指针式）</w:t>
            </w:r>
          </w:p>
        </w:tc>
        <w:tc>
          <w:tcPr>
            <w:tcW w:w="3079" w:type="pct"/>
            <w:tcBorders>
              <w:left w:val="single" w:color="auto" w:sz="4" w:space="0"/>
            </w:tcBorders>
            <w:vAlign w:val="center"/>
          </w:tcPr>
          <w:p w14:paraId="31C3C3AE">
            <w:pPr>
              <w:rPr>
                <w:rFonts w:hint="eastAsia" w:ascii="宋体" w:hAnsi="宋体" w:cs="宋体"/>
                <w:b/>
                <w:bCs/>
                <w:color w:val="auto"/>
                <w:highlight w:val="none"/>
              </w:rPr>
            </w:pPr>
            <w:r>
              <w:rPr>
                <w:rFonts w:hint="eastAsia" w:ascii="宋体" w:hAnsi="宋体" w:cs="宋体"/>
                <w:color w:val="auto"/>
                <w:highlight w:val="none"/>
              </w:rPr>
              <w:t>每块板上有130以上个空穴，内含自由活动小铁棒。</w:t>
            </w:r>
          </w:p>
        </w:tc>
        <w:tc>
          <w:tcPr>
            <w:tcW w:w="384" w:type="pct"/>
            <w:vAlign w:val="center"/>
          </w:tcPr>
          <w:p w14:paraId="3E36B4A7">
            <w:pPr>
              <w:jc w:val="center"/>
              <w:rPr>
                <w:color w:val="auto"/>
                <w:highlight w:val="none"/>
              </w:rPr>
            </w:pPr>
            <w:r>
              <w:rPr>
                <w:rFonts w:hint="eastAsia" w:ascii="宋体" w:hAnsi="宋体" w:cs="宋体"/>
                <w:color w:val="auto"/>
                <w:highlight w:val="none"/>
              </w:rPr>
              <w:t>套</w:t>
            </w:r>
          </w:p>
        </w:tc>
        <w:tc>
          <w:tcPr>
            <w:tcW w:w="385" w:type="pct"/>
            <w:vAlign w:val="center"/>
          </w:tcPr>
          <w:p w14:paraId="53BD42F8">
            <w:pPr>
              <w:jc w:val="center"/>
              <w:rPr>
                <w:color w:val="auto"/>
                <w:highlight w:val="none"/>
              </w:rPr>
            </w:pPr>
            <w:r>
              <w:rPr>
                <w:rFonts w:hint="eastAsia" w:ascii="宋体" w:hAnsi="宋体" w:cs="宋体"/>
                <w:color w:val="auto"/>
                <w:highlight w:val="none"/>
              </w:rPr>
              <w:t>2</w:t>
            </w:r>
          </w:p>
        </w:tc>
      </w:tr>
      <w:tr w14:paraId="15AC2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235F461F">
            <w:pPr>
              <w:jc w:val="center"/>
              <w:rPr>
                <w:rFonts w:hint="eastAsia" w:ascii="宋体" w:hAnsi="宋体" w:cs="宋体"/>
                <w:b/>
                <w:bCs/>
                <w:color w:val="auto"/>
                <w:highlight w:val="none"/>
              </w:rPr>
            </w:pPr>
            <w:r>
              <w:rPr>
                <w:rFonts w:hint="eastAsia" w:ascii="宋体" w:hAnsi="宋体" w:cs="宋体"/>
                <w:color w:val="auto"/>
                <w:highlight w:val="none"/>
              </w:rPr>
              <w:t>14</w:t>
            </w:r>
          </w:p>
        </w:tc>
        <w:tc>
          <w:tcPr>
            <w:tcW w:w="782" w:type="pct"/>
            <w:tcBorders>
              <w:left w:val="single" w:color="auto" w:sz="4" w:space="0"/>
              <w:right w:val="single" w:color="auto" w:sz="4" w:space="0"/>
            </w:tcBorders>
            <w:vAlign w:val="center"/>
          </w:tcPr>
          <w:p w14:paraId="1911EAEE">
            <w:pPr>
              <w:jc w:val="center"/>
              <w:rPr>
                <w:rFonts w:hint="eastAsia" w:ascii="宋体" w:hAnsi="宋体" w:cs="宋体"/>
                <w:b/>
                <w:bCs/>
                <w:color w:val="auto"/>
                <w:highlight w:val="none"/>
              </w:rPr>
            </w:pPr>
            <w:r>
              <w:rPr>
                <w:rFonts w:hint="eastAsia" w:ascii="宋体" w:hAnsi="宋体" w:cs="宋体"/>
                <w:color w:val="auto"/>
                <w:highlight w:val="none"/>
              </w:rPr>
              <w:t>液体表面张力演示器</w:t>
            </w:r>
          </w:p>
        </w:tc>
        <w:tc>
          <w:tcPr>
            <w:tcW w:w="3079" w:type="pct"/>
            <w:tcBorders>
              <w:left w:val="single" w:color="auto" w:sz="4" w:space="0"/>
            </w:tcBorders>
            <w:vAlign w:val="center"/>
          </w:tcPr>
          <w:p w14:paraId="5F6E73DE">
            <w:pPr>
              <w:rPr>
                <w:rFonts w:hint="eastAsia" w:ascii="宋体" w:hAnsi="宋体" w:cs="宋体"/>
                <w:color w:val="auto"/>
                <w:highlight w:val="none"/>
              </w:rPr>
            </w:pPr>
            <w:r>
              <w:rPr>
                <w:rFonts w:hint="eastAsia" w:ascii="宋体" w:hAnsi="宋体" w:cs="宋体"/>
                <w:color w:val="auto"/>
                <w:highlight w:val="none"/>
              </w:rPr>
              <w:t>线框用直径不低于1.6mm的钢丝制造，表面镀铬。手柄长度均不小于70mm，柄端有钩直径约10mm。外形规则端正，焊接光滑整洁牢固。</w:t>
            </w:r>
          </w:p>
          <w:p w14:paraId="2B5FE976">
            <w:pPr>
              <w:rPr>
                <w:rFonts w:hint="eastAsia" w:ascii="宋体" w:hAnsi="宋体" w:cs="宋体"/>
                <w:color w:val="auto"/>
                <w:highlight w:val="none"/>
              </w:rPr>
            </w:pPr>
            <w:r>
              <w:rPr>
                <w:rFonts w:hint="eastAsia" w:ascii="宋体" w:hAnsi="宋体" w:cs="宋体"/>
                <w:color w:val="auto"/>
                <w:highlight w:val="none"/>
              </w:rPr>
              <w:t>1.圆环线框，环直径40mm，连手柄总长110mm。</w:t>
            </w:r>
          </w:p>
          <w:p w14:paraId="198C173B">
            <w:pPr>
              <w:rPr>
                <w:rFonts w:hint="eastAsia" w:ascii="宋体" w:hAnsi="宋体" w:cs="宋体"/>
                <w:color w:val="auto"/>
                <w:highlight w:val="none"/>
              </w:rPr>
            </w:pPr>
            <w:r>
              <w:rPr>
                <w:rFonts w:hint="eastAsia" w:ascii="宋体" w:hAnsi="宋体" w:cs="宋体"/>
                <w:color w:val="auto"/>
                <w:highlight w:val="none"/>
              </w:rPr>
              <w:t>2.凸环线框，环直径40mm，凸半环直径40mm。半环面与环面同心且垂直，连柄总长1 1 0mm。</w:t>
            </w:r>
          </w:p>
          <w:p w14:paraId="2E63F13A">
            <w:pPr>
              <w:rPr>
                <w:rFonts w:hint="eastAsia" w:ascii="宋体" w:hAnsi="宋体" w:cs="宋体"/>
                <w:color w:val="auto"/>
                <w:highlight w:val="none"/>
              </w:rPr>
            </w:pPr>
            <w:r>
              <w:rPr>
                <w:rFonts w:hint="eastAsia" w:ascii="宋体" w:hAnsi="宋体" w:cs="宋体"/>
                <w:color w:val="auto"/>
                <w:highlight w:val="none"/>
              </w:rPr>
              <w:t>3.三角体线框，三角形边长50mm，连手柄总高130mm。</w:t>
            </w:r>
          </w:p>
          <w:p w14:paraId="4B29F9CA">
            <w:pPr>
              <w:rPr>
                <w:rFonts w:hint="eastAsia" w:ascii="宋体" w:hAnsi="宋体" w:cs="宋体"/>
                <w:color w:val="auto"/>
                <w:highlight w:val="none"/>
              </w:rPr>
            </w:pPr>
            <w:r>
              <w:rPr>
                <w:rFonts w:hint="eastAsia" w:ascii="宋体" w:hAnsi="宋体" w:cs="宋体"/>
                <w:color w:val="auto"/>
                <w:highlight w:val="none"/>
              </w:rPr>
              <w:t>4.正方体线框，边长50mm，连手柄总高130mm。</w:t>
            </w:r>
          </w:p>
          <w:p w14:paraId="24608B4F">
            <w:pPr>
              <w:rPr>
                <w:rFonts w:hint="eastAsia" w:ascii="宋体" w:hAnsi="宋体" w:cs="宋体"/>
                <w:color w:val="auto"/>
                <w:highlight w:val="none"/>
              </w:rPr>
            </w:pPr>
            <w:r>
              <w:rPr>
                <w:rFonts w:hint="eastAsia" w:ascii="宋体" w:hAnsi="宋体" w:cs="宋体"/>
                <w:color w:val="auto"/>
                <w:highlight w:val="none"/>
              </w:rPr>
              <w:t>5.收缩线框，双叉平行，高85mm, 中间距50mm。叉端折向外10mm，成30度角，防收缩边滑出。连手柄总高140mm。收缩边用小于直径1mm的铜丝弯制，中间有挂圈，两端有弯钩，能勾住框叉自由滑动。</w:t>
            </w:r>
          </w:p>
          <w:p w14:paraId="26CD0FC5">
            <w:pPr>
              <w:rPr>
                <w:rFonts w:hint="eastAsia" w:ascii="宋体" w:hAnsi="宋体" w:cs="宋体"/>
                <w:b/>
                <w:bCs/>
                <w:color w:val="auto"/>
                <w:highlight w:val="none"/>
              </w:rPr>
            </w:pPr>
            <w:r>
              <w:rPr>
                <w:rFonts w:hint="eastAsia" w:ascii="宋体" w:hAnsi="宋体" w:cs="宋体"/>
                <w:color w:val="auto"/>
                <w:highlight w:val="none"/>
              </w:rPr>
              <w:t>6.双环线框，环直径都是50mm，手柄与环面成90度。外环手柄长100mm，内环手柄长60mm。内外手柄由两个铜丝圈套住，两个手环间距可调，最大距离为38mm。0.1N圆筒秤、1000L透明塑料水杯。</w:t>
            </w:r>
          </w:p>
        </w:tc>
        <w:tc>
          <w:tcPr>
            <w:tcW w:w="384" w:type="pct"/>
            <w:vAlign w:val="center"/>
          </w:tcPr>
          <w:p w14:paraId="23E2C9A4">
            <w:pPr>
              <w:jc w:val="center"/>
              <w:rPr>
                <w:color w:val="auto"/>
                <w:highlight w:val="none"/>
              </w:rPr>
            </w:pPr>
            <w:r>
              <w:rPr>
                <w:rFonts w:hint="eastAsia" w:ascii="宋体" w:hAnsi="宋体" w:cs="宋体"/>
                <w:color w:val="auto"/>
                <w:highlight w:val="none"/>
              </w:rPr>
              <w:t>套</w:t>
            </w:r>
          </w:p>
        </w:tc>
        <w:tc>
          <w:tcPr>
            <w:tcW w:w="385" w:type="pct"/>
            <w:vAlign w:val="center"/>
          </w:tcPr>
          <w:p w14:paraId="4E5E6095">
            <w:pPr>
              <w:jc w:val="center"/>
              <w:rPr>
                <w:color w:val="auto"/>
                <w:highlight w:val="none"/>
              </w:rPr>
            </w:pPr>
            <w:r>
              <w:rPr>
                <w:rFonts w:hint="eastAsia" w:ascii="宋体" w:hAnsi="宋体" w:cs="宋体"/>
                <w:color w:val="auto"/>
                <w:highlight w:val="none"/>
              </w:rPr>
              <w:t>1</w:t>
            </w:r>
          </w:p>
        </w:tc>
      </w:tr>
      <w:tr w14:paraId="7CEBD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07D3EFE9">
            <w:pPr>
              <w:jc w:val="center"/>
              <w:rPr>
                <w:rFonts w:hint="eastAsia" w:ascii="宋体" w:hAnsi="宋体" w:cs="宋体"/>
                <w:b/>
                <w:bCs/>
                <w:color w:val="auto"/>
                <w:highlight w:val="none"/>
              </w:rPr>
            </w:pPr>
            <w:r>
              <w:rPr>
                <w:rFonts w:hint="eastAsia" w:ascii="宋体" w:hAnsi="宋体" w:cs="宋体"/>
                <w:color w:val="auto"/>
                <w:highlight w:val="none"/>
              </w:rPr>
              <w:t>15</w:t>
            </w:r>
          </w:p>
        </w:tc>
        <w:tc>
          <w:tcPr>
            <w:tcW w:w="782" w:type="pct"/>
            <w:tcBorders>
              <w:left w:val="single" w:color="auto" w:sz="4" w:space="0"/>
              <w:right w:val="single" w:color="auto" w:sz="4" w:space="0"/>
            </w:tcBorders>
            <w:vAlign w:val="center"/>
          </w:tcPr>
          <w:p w14:paraId="68A77F6E">
            <w:pPr>
              <w:jc w:val="center"/>
              <w:rPr>
                <w:rFonts w:hint="eastAsia" w:ascii="宋体" w:hAnsi="宋体" w:cs="宋体"/>
                <w:b/>
                <w:bCs/>
                <w:color w:val="auto"/>
                <w:highlight w:val="none"/>
              </w:rPr>
            </w:pPr>
            <w:r>
              <w:rPr>
                <w:rFonts w:hint="eastAsia" w:ascii="宋体" w:hAnsi="宋体" w:cs="宋体"/>
                <w:color w:val="auto"/>
                <w:highlight w:val="none"/>
              </w:rPr>
              <w:t>超重失重演示器</w:t>
            </w:r>
          </w:p>
        </w:tc>
        <w:tc>
          <w:tcPr>
            <w:tcW w:w="3079" w:type="pct"/>
            <w:tcBorders>
              <w:left w:val="single" w:color="auto" w:sz="4" w:space="0"/>
            </w:tcBorders>
            <w:vAlign w:val="center"/>
          </w:tcPr>
          <w:p w14:paraId="7CD08B3B">
            <w:pPr>
              <w:rPr>
                <w:rFonts w:hint="eastAsia" w:ascii="宋体" w:hAnsi="宋体" w:cs="宋体"/>
                <w:b/>
                <w:bCs/>
                <w:color w:val="auto"/>
                <w:highlight w:val="none"/>
              </w:rPr>
            </w:pPr>
            <w:r>
              <w:rPr>
                <w:rFonts w:hint="eastAsia" w:ascii="宋体" w:hAnsi="宋体" w:cs="宋体"/>
                <w:color w:val="auto"/>
                <w:highlight w:val="none"/>
              </w:rPr>
              <w:t>记忆式</w:t>
            </w:r>
          </w:p>
        </w:tc>
        <w:tc>
          <w:tcPr>
            <w:tcW w:w="384" w:type="pct"/>
            <w:vAlign w:val="center"/>
          </w:tcPr>
          <w:p w14:paraId="677A4254">
            <w:pPr>
              <w:jc w:val="center"/>
              <w:rPr>
                <w:color w:val="auto"/>
                <w:highlight w:val="none"/>
              </w:rPr>
            </w:pPr>
            <w:r>
              <w:rPr>
                <w:rFonts w:hint="eastAsia" w:ascii="宋体" w:hAnsi="宋体" w:cs="宋体"/>
                <w:color w:val="auto"/>
                <w:highlight w:val="none"/>
              </w:rPr>
              <w:t>台</w:t>
            </w:r>
          </w:p>
        </w:tc>
        <w:tc>
          <w:tcPr>
            <w:tcW w:w="385" w:type="pct"/>
            <w:vAlign w:val="center"/>
          </w:tcPr>
          <w:p w14:paraId="584F7FEF">
            <w:pPr>
              <w:jc w:val="center"/>
              <w:rPr>
                <w:color w:val="auto"/>
                <w:highlight w:val="none"/>
              </w:rPr>
            </w:pPr>
            <w:r>
              <w:rPr>
                <w:rFonts w:hint="eastAsia" w:ascii="宋体" w:hAnsi="宋体" w:cs="宋体"/>
                <w:color w:val="auto"/>
                <w:highlight w:val="none"/>
              </w:rPr>
              <w:t>1</w:t>
            </w:r>
          </w:p>
        </w:tc>
      </w:tr>
      <w:tr w14:paraId="0C42C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7DD05DD5">
            <w:pPr>
              <w:jc w:val="center"/>
              <w:rPr>
                <w:rFonts w:hint="eastAsia" w:ascii="宋体" w:hAnsi="宋体" w:cs="宋体"/>
                <w:b/>
                <w:bCs/>
                <w:color w:val="auto"/>
                <w:highlight w:val="none"/>
              </w:rPr>
            </w:pPr>
            <w:r>
              <w:rPr>
                <w:rFonts w:hint="eastAsia" w:ascii="宋体" w:hAnsi="宋体" w:cs="宋体"/>
                <w:color w:val="auto"/>
                <w:highlight w:val="none"/>
              </w:rPr>
              <w:t>16</w:t>
            </w:r>
          </w:p>
        </w:tc>
        <w:tc>
          <w:tcPr>
            <w:tcW w:w="782" w:type="pct"/>
            <w:tcBorders>
              <w:left w:val="single" w:color="auto" w:sz="4" w:space="0"/>
              <w:right w:val="single" w:color="auto" w:sz="4" w:space="0"/>
            </w:tcBorders>
            <w:vAlign w:val="center"/>
          </w:tcPr>
          <w:p w14:paraId="3DACA1DA">
            <w:pPr>
              <w:jc w:val="center"/>
              <w:rPr>
                <w:rFonts w:hint="eastAsia" w:ascii="宋体" w:hAnsi="宋体" w:cs="宋体"/>
                <w:b/>
                <w:bCs/>
                <w:color w:val="auto"/>
                <w:highlight w:val="none"/>
              </w:rPr>
            </w:pPr>
            <w:r>
              <w:rPr>
                <w:rFonts w:hint="eastAsia" w:ascii="宋体" w:hAnsi="宋体" w:cs="宋体"/>
                <w:color w:val="auto"/>
                <w:highlight w:val="none"/>
              </w:rPr>
              <w:t>运动合成分解演示器</w:t>
            </w:r>
          </w:p>
        </w:tc>
        <w:tc>
          <w:tcPr>
            <w:tcW w:w="3079" w:type="pct"/>
            <w:tcBorders>
              <w:left w:val="single" w:color="auto" w:sz="4" w:space="0"/>
            </w:tcBorders>
            <w:vAlign w:val="center"/>
          </w:tcPr>
          <w:p w14:paraId="22C9EA36">
            <w:pPr>
              <w:rPr>
                <w:rFonts w:hint="eastAsia" w:ascii="宋体" w:hAnsi="宋体" w:cs="宋体"/>
                <w:color w:val="auto"/>
                <w:highlight w:val="none"/>
              </w:rPr>
            </w:pPr>
            <w:r>
              <w:rPr>
                <w:rFonts w:hint="eastAsia" w:ascii="宋体" w:hAnsi="宋体" w:cs="宋体"/>
                <w:color w:val="auto"/>
                <w:highlight w:val="none"/>
              </w:rPr>
              <w:t>主要配置及特征参数：</w:t>
            </w:r>
          </w:p>
          <w:p w14:paraId="372ACE11">
            <w:pPr>
              <w:rPr>
                <w:rFonts w:hint="eastAsia" w:ascii="宋体" w:hAnsi="宋体" w:cs="宋体"/>
                <w:color w:val="auto"/>
                <w:highlight w:val="none"/>
              </w:rPr>
            </w:pPr>
            <w:r>
              <w:rPr>
                <w:rFonts w:hint="eastAsia" w:ascii="宋体" w:hAnsi="宋体" w:cs="宋体"/>
                <w:color w:val="auto"/>
                <w:highlight w:val="none"/>
              </w:rPr>
              <w:t>由X向传动装置、Y向传动装置、轨道、画板、画笔机构、底座、控制系统等组成。</w:t>
            </w:r>
          </w:p>
          <w:p w14:paraId="003041B7">
            <w:pPr>
              <w:rPr>
                <w:rFonts w:hint="eastAsia" w:ascii="宋体" w:hAnsi="宋体" w:cs="宋体"/>
                <w:color w:val="auto"/>
                <w:highlight w:val="none"/>
              </w:rPr>
            </w:pPr>
            <w:r>
              <w:rPr>
                <w:rFonts w:hint="eastAsia" w:ascii="宋体" w:hAnsi="宋体" w:cs="宋体"/>
                <w:color w:val="auto"/>
                <w:highlight w:val="none"/>
              </w:rPr>
              <w:t>能够完成的教学演示：</w:t>
            </w:r>
          </w:p>
          <w:p w14:paraId="5655AD4C">
            <w:pPr>
              <w:rPr>
                <w:rFonts w:hint="eastAsia" w:ascii="宋体" w:hAnsi="宋体" w:cs="宋体"/>
                <w:b/>
                <w:bCs/>
                <w:color w:val="auto"/>
                <w:highlight w:val="none"/>
              </w:rPr>
            </w:pPr>
            <w:r>
              <w:rPr>
                <w:rFonts w:hint="eastAsia" w:ascii="宋体" w:hAnsi="宋体" w:cs="宋体"/>
                <w:color w:val="auto"/>
                <w:highlight w:val="none"/>
              </w:rPr>
              <w:t>关于运动合成与分解实验演示；匀速-匀速运动合成；匀速-匀加速运动合成。</w:t>
            </w:r>
          </w:p>
        </w:tc>
        <w:tc>
          <w:tcPr>
            <w:tcW w:w="384" w:type="pct"/>
            <w:vAlign w:val="center"/>
          </w:tcPr>
          <w:p w14:paraId="2FE60FB5">
            <w:pPr>
              <w:jc w:val="center"/>
              <w:rPr>
                <w:color w:val="auto"/>
                <w:highlight w:val="none"/>
              </w:rPr>
            </w:pPr>
            <w:r>
              <w:rPr>
                <w:rFonts w:hint="eastAsia" w:ascii="宋体" w:hAnsi="宋体" w:cs="宋体"/>
                <w:color w:val="auto"/>
                <w:highlight w:val="none"/>
              </w:rPr>
              <w:t>套</w:t>
            </w:r>
          </w:p>
        </w:tc>
        <w:tc>
          <w:tcPr>
            <w:tcW w:w="385" w:type="pct"/>
            <w:vAlign w:val="center"/>
          </w:tcPr>
          <w:p w14:paraId="27F5657A">
            <w:pPr>
              <w:jc w:val="center"/>
              <w:rPr>
                <w:color w:val="auto"/>
                <w:highlight w:val="none"/>
              </w:rPr>
            </w:pPr>
            <w:r>
              <w:rPr>
                <w:rFonts w:hint="eastAsia" w:ascii="宋体" w:hAnsi="宋体" w:cs="宋体"/>
                <w:color w:val="auto"/>
                <w:highlight w:val="none"/>
              </w:rPr>
              <w:t>1</w:t>
            </w:r>
          </w:p>
        </w:tc>
      </w:tr>
      <w:tr w14:paraId="2A102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77F9BC9A">
            <w:pPr>
              <w:jc w:val="center"/>
              <w:rPr>
                <w:rFonts w:hint="eastAsia" w:ascii="宋体" w:hAnsi="宋体" w:cs="宋体"/>
                <w:b/>
                <w:bCs/>
                <w:color w:val="auto"/>
                <w:highlight w:val="none"/>
              </w:rPr>
            </w:pPr>
            <w:r>
              <w:rPr>
                <w:rFonts w:hint="eastAsia" w:ascii="宋体" w:hAnsi="宋体" w:cs="宋体"/>
                <w:color w:val="auto"/>
                <w:highlight w:val="none"/>
              </w:rPr>
              <w:t>17</w:t>
            </w:r>
          </w:p>
        </w:tc>
        <w:tc>
          <w:tcPr>
            <w:tcW w:w="782" w:type="pct"/>
            <w:tcBorders>
              <w:left w:val="single" w:color="auto" w:sz="4" w:space="0"/>
              <w:right w:val="single" w:color="auto" w:sz="4" w:space="0"/>
            </w:tcBorders>
            <w:vAlign w:val="center"/>
          </w:tcPr>
          <w:p w14:paraId="42C5574E">
            <w:pPr>
              <w:jc w:val="center"/>
              <w:rPr>
                <w:rFonts w:hint="eastAsia" w:ascii="宋体" w:hAnsi="宋体" w:cs="宋体"/>
                <w:b/>
                <w:bCs/>
                <w:color w:val="auto"/>
                <w:highlight w:val="none"/>
              </w:rPr>
            </w:pPr>
            <w:r>
              <w:rPr>
                <w:rFonts w:hint="eastAsia" w:ascii="宋体" w:hAnsi="宋体" w:cs="宋体"/>
                <w:color w:val="auto"/>
                <w:highlight w:val="none"/>
              </w:rPr>
              <w:t>光的干涉衍射偏振演示器</w:t>
            </w:r>
          </w:p>
        </w:tc>
        <w:tc>
          <w:tcPr>
            <w:tcW w:w="3079" w:type="pct"/>
            <w:tcBorders>
              <w:left w:val="single" w:color="auto" w:sz="4" w:space="0"/>
            </w:tcBorders>
            <w:vAlign w:val="center"/>
          </w:tcPr>
          <w:p w14:paraId="27B332D0">
            <w:pPr>
              <w:rPr>
                <w:rFonts w:hint="eastAsia" w:ascii="宋体" w:hAnsi="宋体" w:cs="宋体"/>
                <w:b/>
                <w:bCs/>
                <w:color w:val="auto"/>
                <w:highlight w:val="none"/>
              </w:rPr>
            </w:pPr>
            <w:r>
              <w:rPr>
                <w:rFonts w:hint="eastAsia" w:ascii="宋体" w:hAnsi="宋体" w:cs="宋体"/>
                <w:color w:val="auto"/>
                <w:highlight w:val="none"/>
              </w:rPr>
              <w:t>白光光源（亮度和焦距可调）、光屏、光栅（3 个，分别为80线/mm、300线/mm、600线/mm）、双缝2个、单缝3个、1对带刻度的偏振滤光片、泊松亮斑。性能要求：可以观察清晰的白光干涉条纹，加上滤光片后可以观察到5条以上明暗相干条纹。</w:t>
            </w:r>
          </w:p>
        </w:tc>
        <w:tc>
          <w:tcPr>
            <w:tcW w:w="384" w:type="pct"/>
            <w:vAlign w:val="center"/>
          </w:tcPr>
          <w:p w14:paraId="20B1297C">
            <w:pPr>
              <w:jc w:val="center"/>
              <w:rPr>
                <w:color w:val="auto"/>
                <w:highlight w:val="none"/>
              </w:rPr>
            </w:pPr>
            <w:r>
              <w:rPr>
                <w:rFonts w:hint="eastAsia" w:ascii="宋体" w:hAnsi="宋体" w:cs="宋体"/>
                <w:color w:val="auto"/>
                <w:highlight w:val="none"/>
              </w:rPr>
              <w:t>套</w:t>
            </w:r>
          </w:p>
        </w:tc>
        <w:tc>
          <w:tcPr>
            <w:tcW w:w="385" w:type="pct"/>
            <w:vAlign w:val="center"/>
          </w:tcPr>
          <w:p w14:paraId="47913E4E">
            <w:pPr>
              <w:jc w:val="center"/>
              <w:rPr>
                <w:color w:val="auto"/>
                <w:highlight w:val="none"/>
              </w:rPr>
            </w:pPr>
            <w:r>
              <w:rPr>
                <w:rFonts w:hint="eastAsia" w:ascii="宋体" w:hAnsi="宋体" w:cs="宋体"/>
                <w:color w:val="auto"/>
                <w:highlight w:val="none"/>
              </w:rPr>
              <w:t>1</w:t>
            </w:r>
          </w:p>
        </w:tc>
      </w:tr>
      <w:tr w14:paraId="4DA08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4803E098">
            <w:pPr>
              <w:jc w:val="center"/>
              <w:rPr>
                <w:rFonts w:hint="eastAsia" w:ascii="宋体" w:hAnsi="宋体" w:cs="宋体"/>
                <w:b/>
                <w:bCs/>
                <w:color w:val="auto"/>
                <w:highlight w:val="none"/>
              </w:rPr>
            </w:pPr>
            <w:r>
              <w:rPr>
                <w:rFonts w:hint="eastAsia" w:ascii="宋体" w:hAnsi="宋体" w:cs="宋体"/>
                <w:color w:val="auto"/>
                <w:highlight w:val="none"/>
              </w:rPr>
              <w:t>18</w:t>
            </w:r>
          </w:p>
        </w:tc>
        <w:tc>
          <w:tcPr>
            <w:tcW w:w="782" w:type="pct"/>
            <w:tcBorders>
              <w:left w:val="single" w:color="auto" w:sz="4" w:space="0"/>
              <w:right w:val="single" w:color="auto" w:sz="4" w:space="0"/>
            </w:tcBorders>
            <w:vAlign w:val="center"/>
          </w:tcPr>
          <w:p w14:paraId="57CBFCA3">
            <w:pPr>
              <w:jc w:val="center"/>
              <w:rPr>
                <w:rFonts w:hint="eastAsia" w:ascii="宋体" w:hAnsi="宋体" w:cs="宋体"/>
                <w:b/>
                <w:bCs/>
                <w:color w:val="auto"/>
                <w:highlight w:val="none"/>
              </w:rPr>
            </w:pPr>
            <w:r>
              <w:rPr>
                <w:rFonts w:hint="eastAsia" w:ascii="宋体" w:hAnsi="宋体" w:cs="宋体"/>
                <w:color w:val="auto"/>
                <w:highlight w:val="none"/>
              </w:rPr>
              <w:t>盖·吕萨克定律演示器</w:t>
            </w:r>
          </w:p>
        </w:tc>
        <w:tc>
          <w:tcPr>
            <w:tcW w:w="3079" w:type="pct"/>
            <w:tcBorders>
              <w:left w:val="single" w:color="auto" w:sz="4" w:space="0"/>
            </w:tcBorders>
            <w:vAlign w:val="center"/>
          </w:tcPr>
          <w:p w14:paraId="47A7D5C0">
            <w:pPr>
              <w:rPr>
                <w:rFonts w:hint="eastAsia" w:ascii="宋体" w:hAnsi="宋体" w:cs="宋体"/>
                <w:color w:val="auto"/>
                <w:highlight w:val="none"/>
              </w:rPr>
            </w:pPr>
            <w:r>
              <w:rPr>
                <w:rFonts w:hint="eastAsia" w:ascii="宋体" w:hAnsi="宋体" w:cs="宋体"/>
                <w:color w:val="auto"/>
                <w:highlight w:val="none"/>
              </w:rPr>
              <w:t>主要配置及特征参数：由容器筒、变量测定器、连接管、温度计等组成。</w:t>
            </w:r>
          </w:p>
          <w:p w14:paraId="0CC00D1B">
            <w:pPr>
              <w:rPr>
                <w:rFonts w:hint="eastAsia" w:ascii="宋体" w:hAnsi="宋体" w:cs="宋体"/>
                <w:b/>
                <w:bCs/>
                <w:color w:val="auto"/>
                <w:highlight w:val="none"/>
              </w:rPr>
            </w:pPr>
            <w:r>
              <w:rPr>
                <w:rFonts w:hint="eastAsia" w:ascii="宋体" w:hAnsi="宋体" w:cs="宋体"/>
                <w:color w:val="auto"/>
                <w:highlight w:val="none"/>
              </w:rPr>
              <w:t>能够完成的教学演示：探究盖·吕萨克定律实验。</w:t>
            </w:r>
          </w:p>
        </w:tc>
        <w:tc>
          <w:tcPr>
            <w:tcW w:w="384" w:type="pct"/>
            <w:vAlign w:val="center"/>
          </w:tcPr>
          <w:p w14:paraId="3EC37CEE">
            <w:pPr>
              <w:jc w:val="center"/>
              <w:rPr>
                <w:color w:val="auto"/>
                <w:highlight w:val="none"/>
              </w:rPr>
            </w:pPr>
            <w:r>
              <w:rPr>
                <w:rFonts w:hint="eastAsia" w:ascii="宋体" w:hAnsi="宋体" w:cs="宋体"/>
                <w:color w:val="auto"/>
                <w:highlight w:val="none"/>
              </w:rPr>
              <w:t>套</w:t>
            </w:r>
          </w:p>
        </w:tc>
        <w:tc>
          <w:tcPr>
            <w:tcW w:w="385" w:type="pct"/>
            <w:vAlign w:val="center"/>
          </w:tcPr>
          <w:p w14:paraId="6C9C922C">
            <w:pPr>
              <w:jc w:val="center"/>
              <w:rPr>
                <w:color w:val="auto"/>
                <w:highlight w:val="none"/>
              </w:rPr>
            </w:pPr>
            <w:r>
              <w:rPr>
                <w:rFonts w:hint="eastAsia" w:ascii="宋体" w:hAnsi="宋体" w:cs="宋体"/>
                <w:color w:val="auto"/>
                <w:highlight w:val="none"/>
              </w:rPr>
              <w:t>1</w:t>
            </w:r>
          </w:p>
        </w:tc>
      </w:tr>
      <w:tr w14:paraId="40D59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229E09AD">
            <w:pPr>
              <w:jc w:val="center"/>
              <w:rPr>
                <w:rFonts w:hint="eastAsia" w:ascii="宋体" w:hAnsi="宋体" w:cs="宋体"/>
                <w:b/>
                <w:bCs/>
                <w:color w:val="auto"/>
                <w:highlight w:val="none"/>
              </w:rPr>
            </w:pPr>
            <w:r>
              <w:rPr>
                <w:rFonts w:hint="eastAsia" w:ascii="宋体" w:hAnsi="宋体" w:cs="宋体"/>
                <w:color w:val="auto"/>
                <w:highlight w:val="none"/>
              </w:rPr>
              <w:t>19</w:t>
            </w:r>
          </w:p>
        </w:tc>
        <w:tc>
          <w:tcPr>
            <w:tcW w:w="782" w:type="pct"/>
            <w:tcBorders>
              <w:left w:val="single" w:color="auto" w:sz="4" w:space="0"/>
              <w:right w:val="single" w:color="auto" w:sz="4" w:space="0"/>
            </w:tcBorders>
            <w:vAlign w:val="center"/>
          </w:tcPr>
          <w:p w14:paraId="23E5EA0C">
            <w:pPr>
              <w:jc w:val="center"/>
              <w:rPr>
                <w:rFonts w:hint="eastAsia" w:ascii="宋体" w:hAnsi="宋体" w:cs="宋体"/>
                <w:b/>
                <w:bCs/>
                <w:color w:val="auto"/>
                <w:highlight w:val="none"/>
              </w:rPr>
            </w:pPr>
            <w:r>
              <w:rPr>
                <w:rFonts w:hint="eastAsia" w:ascii="宋体" w:hAnsi="宋体" w:cs="宋体"/>
                <w:color w:val="auto"/>
                <w:highlight w:val="none"/>
              </w:rPr>
              <w:t>弹簧振子</w:t>
            </w:r>
          </w:p>
        </w:tc>
        <w:tc>
          <w:tcPr>
            <w:tcW w:w="3079" w:type="pct"/>
            <w:tcBorders>
              <w:left w:val="single" w:color="auto" w:sz="4" w:space="0"/>
            </w:tcBorders>
            <w:vAlign w:val="center"/>
          </w:tcPr>
          <w:p w14:paraId="46508AAD">
            <w:pPr>
              <w:rPr>
                <w:rFonts w:hint="eastAsia" w:ascii="宋体" w:hAnsi="宋体" w:cs="宋体"/>
                <w:color w:val="auto"/>
                <w:highlight w:val="none"/>
              </w:rPr>
            </w:pPr>
            <w:r>
              <w:rPr>
                <w:rFonts w:hint="eastAsia" w:ascii="宋体" w:hAnsi="宋体" w:cs="宋体"/>
                <w:color w:val="auto"/>
                <w:highlight w:val="none"/>
              </w:rPr>
              <w:t>主要配置及特征参数：由塑料底座、演示标尺板、支撑杆、振子等组成。</w:t>
            </w:r>
          </w:p>
          <w:p w14:paraId="1AE4F128">
            <w:pPr>
              <w:rPr>
                <w:rFonts w:hint="eastAsia" w:ascii="宋体" w:hAnsi="宋体" w:cs="宋体"/>
                <w:color w:val="auto"/>
                <w:highlight w:val="none"/>
              </w:rPr>
            </w:pPr>
            <w:r>
              <w:rPr>
                <w:rFonts w:hint="eastAsia" w:ascii="宋体" w:hAnsi="宋体" w:cs="宋体"/>
                <w:color w:val="auto"/>
                <w:highlight w:val="none"/>
              </w:rPr>
              <w:t>技术指标：</w:t>
            </w:r>
          </w:p>
          <w:p w14:paraId="5C044AFE">
            <w:pPr>
              <w:rPr>
                <w:rFonts w:hint="eastAsia" w:ascii="宋体" w:hAnsi="宋体" w:cs="宋体"/>
                <w:color w:val="auto"/>
                <w:highlight w:val="none"/>
              </w:rPr>
            </w:pPr>
            <w:r>
              <w:rPr>
                <w:rFonts w:hint="eastAsia" w:ascii="宋体" w:hAnsi="宋体" w:cs="宋体"/>
                <w:color w:val="auto"/>
                <w:highlight w:val="none"/>
              </w:rPr>
              <w:t>塑料底座：基本尺寸规格：436*274*49mm（±5mm）；材质工艺：ABS塑料精密注塑成型；功能描述：为整个演示器提供牢固稳定的底座，内嵌垫片，使得底座具备防滑耐磨的特点。</w:t>
            </w:r>
          </w:p>
          <w:p w14:paraId="2BBDECB5">
            <w:pPr>
              <w:rPr>
                <w:rFonts w:hint="eastAsia" w:ascii="宋体" w:hAnsi="宋体" w:cs="宋体"/>
                <w:color w:val="auto"/>
                <w:highlight w:val="none"/>
              </w:rPr>
            </w:pPr>
            <w:r>
              <w:rPr>
                <w:rFonts w:hint="eastAsia" w:ascii="宋体" w:hAnsi="宋体" w:cs="宋体"/>
                <w:color w:val="auto"/>
                <w:highlight w:val="none"/>
              </w:rPr>
              <w:t>振子：基本参考尺寸规格：35*20*20mm（±5mm），材质工艺：为优质304不锈钢材质，耐磨耐腐蚀；功能描述：在双弹簧的作用下，振子来回摆动，便于研究简谐振动的规律。</w:t>
            </w:r>
          </w:p>
          <w:p w14:paraId="302EADF4">
            <w:pPr>
              <w:rPr>
                <w:rFonts w:hint="eastAsia" w:ascii="宋体" w:hAnsi="宋体" w:cs="宋体"/>
                <w:b/>
                <w:bCs/>
                <w:color w:val="auto"/>
                <w:highlight w:val="none"/>
              </w:rPr>
            </w:pPr>
            <w:r>
              <w:rPr>
                <w:rFonts w:hint="eastAsia" w:ascii="宋体" w:hAnsi="宋体" w:cs="宋体"/>
                <w:color w:val="auto"/>
                <w:highlight w:val="none"/>
              </w:rPr>
              <w:t>能够完成的教学演示：观察弹簧振子的运动；简谐运动。</w:t>
            </w:r>
          </w:p>
        </w:tc>
        <w:tc>
          <w:tcPr>
            <w:tcW w:w="384" w:type="pct"/>
            <w:vAlign w:val="center"/>
          </w:tcPr>
          <w:p w14:paraId="09D42716">
            <w:pPr>
              <w:jc w:val="center"/>
              <w:rPr>
                <w:color w:val="auto"/>
                <w:highlight w:val="none"/>
              </w:rPr>
            </w:pPr>
            <w:r>
              <w:rPr>
                <w:rFonts w:hint="eastAsia" w:ascii="宋体" w:hAnsi="宋体" w:cs="宋体"/>
                <w:color w:val="auto"/>
                <w:highlight w:val="none"/>
              </w:rPr>
              <w:t>套</w:t>
            </w:r>
          </w:p>
        </w:tc>
        <w:tc>
          <w:tcPr>
            <w:tcW w:w="385" w:type="pct"/>
            <w:vAlign w:val="center"/>
          </w:tcPr>
          <w:p w14:paraId="2AEC285F">
            <w:pPr>
              <w:jc w:val="center"/>
              <w:rPr>
                <w:color w:val="auto"/>
                <w:highlight w:val="none"/>
              </w:rPr>
            </w:pPr>
            <w:r>
              <w:rPr>
                <w:rFonts w:hint="eastAsia" w:ascii="宋体" w:hAnsi="宋体" w:cs="宋体"/>
                <w:color w:val="auto"/>
                <w:highlight w:val="none"/>
              </w:rPr>
              <w:t>1</w:t>
            </w:r>
          </w:p>
        </w:tc>
      </w:tr>
      <w:tr w14:paraId="6C93A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5C70E827">
            <w:pPr>
              <w:jc w:val="center"/>
              <w:rPr>
                <w:rFonts w:hint="eastAsia" w:ascii="宋体" w:hAnsi="宋体" w:cs="宋体"/>
                <w:b/>
                <w:bCs/>
                <w:color w:val="auto"/>
                <w:highlight w:val="none"/>
              </w:rPr>
            </w:pPr>
            <w:r>
              <w:rPr>
                <w:rFonts w:hint="eastAsia" w:ascii="宋体" w:hAnsi="宋体" w:cs="宋体"/>
                <w:color w:val="auto"/>
                <w:highlight w:val="none"/>
              </w:rPr>
              <w:t>20</w:t>
            </w:r>
          </w:p>
        </w:tc>
        <w:tc>
          <w:tcPr>
            <w:tcW w:w="782" w:type="pct"/>
            <w:tcBorders>
              <w:left w:val="single" w:color="auto" w:sz="4" w:space="0"/>
              <w:right w:val="single" w:color="auto" w:sz="4" w:space="0"/>
            </w:tcBorders>
            <w:vAlign w:val="center"/>
          </w:tcPr>
          <w:p w14:paraId="72870A43">
            <w:pPr>
              <w:jc w:val="center"/>
              <w:rPr>
                <w:rFonts w:hint="eastAsia" w:ascii="宋体" w:hAnsi="宋体" w:cs="宋体"/>
                <w:b/>
                <w:bCs/>
                <w:color w:val="auto"/>
                <w:highlight w:val="none"/>
              </w:rPr>
            </w:pPr>
            <w:r>
              <w:rPr>
                <w:rFonts w:hint="eastAsia" w:ascii="宋体" w:hAnsi="宋体" w:cs="宋体"/>
                <w:color w:val="auto"/>
                <w:highlight w:val="none"/>
              </w:rPr>
              <w:t>电场中带电粒子运动模拟演示器</w:t>
            </w:r>
          </w:p>
        </w:tc>
        <w:tc>
          <w:tcPr>
            <w:tcW w:w="3079" w:type="pct"/>
            <w:tcBorders>
              <w:left w:val="single" w:color="auto" w:sz="4" w:space="0"/>
            </w:tcBorders>
            <w:vAlign w:val="center"/>
          </w:tcPr>
          <w:p w14:paraId="41A1B456">
            <w:pPr>
              <w:rPr>
                <w:rFonts w:hint="eastAsia" w:ascii="宋体" w:hAnsi="宋体" w:cs="宋体"/>
                <w:color w:val="auto"/>
                <w:highlight w:val="none"/>
              </w:rPr>
            </w:pPr>
            <w:r>
              <w:rPr>
                <w:rFonts w:hint="eastAsia" w:ascii="宋体" w:hAnsi="宋体" w:cs="宋体"/>
                <w:color w:val="auto"/>
                <w:highlight w:val="none"/>
              </w:rPr>
              <w:t>主要配置及特征参数：</w:t>
            </w:r>
          </w:p>
          <w:p w14:paraId="739014CA">
            <w:pPr>
              <w:rPr>
                <w:rFonts w:hint="eastAsia" w:ascii="宋体" w:hAnsi="宋体" w:cs="宋体"/>
                <w:color w:val="auto"/>
                <w:highlight w:val="none"/>
              </w:rPr>
            </w:pPr>
            <w:r>
              <w:rPr>
                <w:rFonts w:hint="eastAsia" w:ascii="宋体" w:hAnsi="宋体" w:cs="宋体"/>
                <w:color w:val="auto"/>
                <w:highlight w:val="none"/>
              </w:rPr>
              <w:t>由模拟屏、加速旋钮、偏移旋钮、开关等组成。</w:t>
            </w:r>
          </w:p>
          <w:p w14:paraId="797A8982">
            <w:pPr>
              <w:rPr>
                <w:rFonts w:hint="eastAsia" w:ascii="宋体" w:hAnsi="宋体" w:cs="宋体"/>
                <w:color w:val="auto"/>
                <w:highlight w:val="none"/>
              </w:rPr>
            </w:pPr>
            <w:r>
              <w:rPr>
                <w:rFonts w:hint="eastAsia" w:ascii="宋体" w:hAnsi="宋体" w:cs="宋体"/>
                <w:color w:val="auto"/>
                <w:highlight w:val="none"/>
              </w:rPr>
              <w:t>技术指标：</w:t>
            </w:r>
          </w:p>
          <w:p w14:paraId="6CFA3171">
            <w:pPr>
              <w:rPr>
                <w:rFonts w:hint="eastAsia" w:ascii="宋体" w:hAnsi="宋体" w:cs="宋体"/>
                <w:color w:val="auto"/>
                <w:highlight w:val="none"/>
              </w:rPr>
            </w:pPr>
            <w:r>
              <w:rPr>
                <w:rFonts w:hint="eastAsia" w:ascii="宋体" w:hAnsi="宋体" w:cs="宋体"/>
                <w:color w:val="auto"/>
                <w:highlight w:val="none"/>
              </w:rPr>
              <w:t>▲外形基本尺寸666*470mm（±5mm）；上下为铝型材结构，6063-T5材料,具有良好的抗拉强度，表面黑色氧化细喷砂处理。左右为ABS塑料精密注塑成型边框；可模拟粒子运动：通过调节加速旋钮，粒子做匀加速直线运动。调节偏转旋钮粒子做平抛运动。</w:t>
            </w:r>
          </w:p>
          <w:p w14:paraId="5547A792">
            <w:pPr>
              <w:rPr>
                <w:rFonts w:hint="eastAsia" w:ascii="宋体" w:hAnsi="宋体" w:cs="宋体"/>
                <w:b/>
                <w:bCs/>
                <w:color w:val="auto"/>
                <w:highlight w:val="none"/>
              </w:rPr>
            </w:pPr>
            <w:r>
              <w:rPr>
                <w:rFonts w:hint="eastAsia" w:ascii="宋体" w:hAnsi="宋体" w:cs="宋体"/>
                <w:b/>
                <w:bCs/>
                <w:color w:val="auto"/>
                <w:highlight w:val="none"/>
              </w:rPr>
              <w:t>提供第三方检测机构出具的产品检测报告的扫描件。</w:t>
            </w:r>
          </w:p>
          <w:p w14:paraId="38F47F0E">
            <w:pPr>
              <w:rPr>
                <w:rFonts w:hint="eastAsia" w:ascii="宋体" w:hAnsi="宋体" w:cs="宋体"/>
                <w:color w:val="auto"/>
                <w:highlight w:val="none"/>
              </w:rPr>
            </w:pPr>
            <w:r>
              <w:rPr>
                <w:rFonts w:hint="eastAsia" w:ascii="宋体" w:hAnsi="宋体" w:cs="宋体"/>
                <w:color w:val="auto"/>
                <w:highlight w:val="none"/>
              </w:rPr>
              <w:t>能够完成的教学演示：</w:t>
            </w:r>
          </w:p>
          <w:p w14:paraId="16BB0EF6">
            <w:pPr>
              <w:rPr>
                <w:rFonts w:hint="eastAsia" w:ascii="宋体" w:hAnsi="宋体" w:cs="宋体"/>
                <w:b/>
                <w:bCs/>
                <w:color w:val="auto"/>
                <w:highlight w:val="none"/>
              </w:rPr>
            </w:pPr>
            <w:r>
              <w:rPr>
                <w:rFonts w:hint="eastAsia" w:ascii="宋体" w:hAnsi="宋体" w:cs="宋体"/>
                <w:color w:val="auto"/>
                <w:highlight w:val="none"/>
              </w:rPr>
              <w:t>模拟电场中带电粒子的运动。</w:t>
            </w:r>
          </w:p>
        </w:tc>
        <w:tc>
          <w:tcPr>
            <w:tcW w:w="384" w:type="pct"/>
            <w:vAlign w:val="center"/>
          </w:tcPr>
          <w:p w14:paraId="2139A2CD">
            <w:pPr>
              <w:jc w:val="center"/>
              <w:rPr>
                <w:color w:val="auto"/>
                <w:highlight w:val="none"/>
              </w:rPr>
            </w:pPr>
            <w:r>
              <w:rPr>
                <w:rFonts w:hint="eastAsia" w:ascii="宋体" w:hAnsi="宋体" w:cs="宋体"/>
                <w:color w:val="auto"/>
                <w:highlight w:val="none"/>
              </w:rPr>
              <w:t>台</w:t>
            </w:r>
          </w:p>
        </w:tc>
        <w:tc>
          <w:tcPr>
            <w:tcW w:w="385" w:type="pct"/>
            <w:vAlign w:val="center"/>
          </w:tcPr>
          <w:p w14:paraId="3B274520">
            <w:pPr>
              <w:jc w:val="center"/>
              <w:rPr>
                <w:color w:val="auto"/>
                <w:highlight w:val="none"/>
              </w:rPr>
            </w:pPr>
            <w:r>
              <w:rPr>
                <w:rFonts w:hint="eastAsia" w:ascii="宋体" w:hAnsi="宋体" w:cs="宋体"/>
                <w:color w:val="auto"/>
                <w:highlight w:val="none"/>
              </w:rPr>
              <w:t>1</w:t>
            </w:r>
          </w:p>
        </w:tc>
      </w:tr>
      <w:tr w14:paraId="252D2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789552DE">
            <w:pPr>
              <w:jc w:val="center"/>
              <w:rPr>
                <w:rFonts w:hint="eastAsia" w:ascii="宋体" w:hAnsi="宋体" w:cs="宋体"/>
                <w:b/>
                <w:bCs/>
                <w:color w:val="auto"/>
                <w:highlight w:val="none"/>
              </w:rPr>
            </w:pPr>
            <w:r>
              <w:rPr>
                <w:rFonts w:hint="eastAsia" w:ascii="宋体" w:hAnsi="宋体" w:cs="宋体"/>
                <w:color w:val="auto"/>
                <w:highlight w:val="none"/>
              </w:rPr>
              <w:t>21</w:t>
            </w:r>
          </w:p>
        </w:tc>
        <w:tc>
          <w:tcPr>
            <w:tcW w:w="782" w:type="pct"/>
            <w:tcBorders>
              <w:left w:val="single" w:color="auto" w:sz="4" w:space="0"/>
              <w:right w:val="single" w:color="auto" w:sz="4" w:space="0"/>
            </w:tcBorders>
            <w:vAlign w:val="center"/>
          </w:tcPr>
          <w:p w14:paraId="1398FF45">
            <w:pPr>
              <w:jc w:val="center"/>
              <w:rPr>
                <w:rFonts w:hint="eastAsia" w:ascii="宋体" w:hAnsi="宋体" w:cs="宋体"/>
                <w:b/>
                <w:bCs/>
                <w:color w:val="auto"/>
                <w:highlight w:val="none"/>
              </w:rPr>
            </w:pPr>
            <w:r>
              <w:rPr>
                <w:rFonts w:hint="eastAsia" w:ascii="宋体" w:hAnsi="宋体" w:cs="宋体"/>
                <w:color w:val="auto"/>
                <w:highlight w:val="none"/>
              </w:rPr>
              <w:t>等势线描绘实验器</w:t>
            </w:r>
          </w:p>
        </w:tc>
        <w:tc>
          <w:tcPr>
            <w:tcW w:w="3079" w:type="pct"/>
            <w:tcBorders>
              <w:left w:val="single" w:color="auto" w:sz="4" w:space="0"/>
            </w:tcBorders>
            <w:vAlign w:val="center"/>
          </w:tcPr>
          <w:p w14:paraId="6F85ADD7">
            <w:pPr>
              <w:rPr>
                <w:rFonts w:hint="eastAsia" w:ascii="宋体" w:hAnsi="宋体" w:cs="宋体"/>
                <w:color w:val="auto"/>
                <w:highlight w:val="none"/>
              </w:rPr>
            </w:pPr>
            <w:r>
              <w:rPr>
                <w:rFonts w:hint="eastAsia" w:ascii="宋体" w:hAnsi="宋体" w:cs="宋体"/>
                <w:color w:val="auto"/>
                <w:highlight w:val="none"/>
              </w:rPr>
              <w:t>主要配置及特征参数：</w:t>
            </w:r>
          </w:p>
          <w:p w14:paraId="766AFEA6">
            <w:pPr>
              <w:rPr>
                <w:rFonts w:hint="eastAsia" w:ascii="宋体" w:hAnsi="宋体" w:cs="宋体"/>
                <w:color w:val="auto"/>
                <w:highlight w:val="none"/>
              </w:rPr>
            </w:pPr>
            <w:r>
              <w:rPr>
                <w:rFonts w:hint="eastAsia" w:ascii="宋体" w:hAnsi="宋体" w:cs="宋体"/>
                <w:color w:val="auto"/>
                <w:highlight w:val="none"/>
              </w:rPr>
              <w:t>塑料底座、方格板、4mm香蕉插头、导电纸等</w:t>
            </w:r>
          </w:p>
          <w:p w14:paraId="01B815BA">
            <w:pPr>
              <w:rPr>
                <w:rFonts w:hint="eastAsia" w:ascii="宋体" w:hAnsi="宋体" w:cs="宋体"/>
                <w:color w:val="auto"/>
                <w:highlight w:val="none"/>
              </w:rPr>
            </w:pPr>
            <w:r>
              <w:rPr>
                <w:rFonts w:hint="eastAsia" w:ascii="宋体" w:hAnsi="宋体" w:cs="宋体"/>
                <w:color w:val="auto"/>
                <w:highlight w:val="none"/>
              </w:rPr>
              <w:t>技术指标：</w:t>
            </w:r>
          </w:p>
          <w:p w14:paraId="0E2637F2">
            <w:pPr>
              <w:rPr>
                <w:rFonts w:hint="eastAsia" w:ascii="宋体" w:hAnsi="宋体" w:cs="宋体"/>
                <w:color w:val="auto"/>
                <w:highlight w:val="none"/>
              </w:rPr>
            </w:pPr>
            <w:r>
              <w:rPr>
                <w:rFonts w:hint="eastAsia" w:ascii="宋体" w:hAnsi="宋体" w:cs="宋体"/>
                <w:color w:val="auto"/>
                <w:highlight w:val="none"/>
              </w:rPr>
              <w:t>塑料底座：</w:t>
            </w:r>
          </w:p>
          <w:p w14:paraId="6B3CFB4E">
            <w:pPr>
              <w:rPr>
                <w:rFonts w:hint="eastAsia" w:ascii="宋体" w:hAnsi="宋体" w:cs="宋体"/>
                <w:color w:val="auto"/>
                <w:highlight w:val="none"/>
              </w:rPr>
            </w:pPr>
            <w:r>
              <w:rPr>
                <w:rFonts w:hint="eastAsia" w:ascii="宋体" w:hAnsi="宋体" w:cs="宋体"/>
                <w:color w:val="auto"/>
                <w:highlight w:val="none"/>
              </w:rPr>
              <w:t>基本尺寸规格：265*170*40（±5mm）；材质工艺：ABS塑料精密注塑成型；功能描述：为整个演示器提供牢固稳定的底座，内嵌垫片，使得底座具备防滑耐磨的特点。</w:t>
            </w:r>
          </w:p>
          <w:p w14:paraId="1D81DF9E">
            <w:pPr>
              <w:rPr>
                <w:rFonts w:hint="eastAsia" w:ascii="宋体" w:hAnsi="宋体" w:cs="宋体"/>
                <w:color w:val="auto"/>
                <w:highlight w:val="none"/>
              </w:rPr>
            </w:pPr>
            <w:r>
              <w:rPr>
                <w:rFonts w:hint="eastAsia" w:ascii="宋体" w:hAnsi="宋体" w:cs="宋体"/>
                <w:color w:val="auto"/>
                <w:highlight w:val="none"/>
              </w:rPr>
              <w:t>方格板：</w:t>
            </w:r>
          </w:p>
          <w:p w14:paraId="1A6C62AE">
            <w:pPr>
              <w:rPr>
                <w:rFonts w:hint="eastAsia" w:ascii="宋体" w:hAnsi="宋体" w:cs="宋体"/>
                <w:b/>
                <w:bCs/>
                <w:color w:val="auto"/>
                <w:highlight w:val="none"/>
              </w:rPr>
            </w:pPr>
            <w:r>
              <w:rPr>
                <w:rFonts w:hint="eastAsia" w:ascii="宋体" w:hAnsi="宋体" w:cs="宋体"/>
                <w:color w:val="auto"/>
                <w:highlight w:val="none"/>
              </w:rPr>
              <w:t>基本参考尺寸规格：190*150*3mm（±5mm）；材质工艺：优质透明亚克力，精密雕刻机一体加工成型；功能描述：提供等间距的基本尺寸，便于实验的快速准确的开展。</w:t>
            </w:r>
          </w:p>
        </w:tc>
        <w:tc>
          <w:tcPr>
            <w:tcW w:w="384" w:type="pct"/>
            <w:vAlign w:val="center"/>
          </w:tcPr>
          <w:p w14:paraId="4B125C1E">
            <w:pPr>
              <w:jc w:val="center"/>
              <w:rPr>
                <w:color w:val="auto"/>
                <w:highlight w:val="none"/>
              </w:rPr>
            </w:pPr>
            <w:r>
              <w:rPr>
                <w:rFonts w:hint="eastAsia" w:ascii="宋体" w:hAnsi="宋体" w:cs="宋体"/>
                <w:color w:val="auto"/>
                <w:highlight w:val="none"/>
              </w:rPr>
              <w:t>套</w:t>
            </w:r>
          </w:p>
        </w:tc>
        <w:tc>
          <w:tcPr>
            <w:tcW w:w="385" w:type="pct"/>
            <w:vAlign w:val="center"/>
          </w:tcPr>
          <w:p w14:paraId="1A64B980">
            <w:pPr>
              <w:jc w:val="center"/>
              <w:rPr>
                <w:color w:val="auto"/>
                <w:highlight w:val="none"/>
              </w:rPr>
            </w:pPr>
            <w:r>
              <w:rPr>
                <w:rFonts w:hint="eastAsia" w:ascii="宋体" w:hAnsi="宋体" w:cs="宋体"/>
                <w:color w:val="auto"/>
                <w:highlight w:val="none"/>
              </w:rPr>
              <w:t>1</w:t>
            </w:r>
          </w:p>
        </w:tc>
      </w:tr>
      <w:tr w14:paraId="453B5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50F382AB">
            <w:pPr>
              <w:jc w:val="center"/>
              <w:rPr>
                <w:rFonts w:hint="eastAsia" w:ascii="宋体" w:hAnsi="宋体" w:cs="宋体"/>
                <w:b/>
                <w:bCs/>
                <w:color w:val="auto"/>
                <w:highlight w:val="none"/>
              </w:rPr>
            </w:pPr>
            <w:r>
              <w:rPr>
                <w:rFonts w:hint="eastAsia" w:ascii="宋体" w:hAnsi="宋体" w:cs="宋体"/>
                <w:color w:val="auto"/>
                <w:highlight w:val="none"/>
              </w:rPr>
              <w:t>22</w:t>
            </w:r>
          </w:p>
        </w:tc>
        <w:tc>
          <w:tcPr>
            <w:tcW w:w="782" w:type="pct"/>
            <w:tcBorders>
              <w:left w:val="single" w:color="auto" w:sz="4" w:space="0"/>
              <w:right w:val="single" w:color="auto" w:sz="4" w:space="0"/>
            </w:tcBorders>
            <w:vAlign w:val="center"/>
          </w:tcPr>
          <w:p w14:paraId="28E8BCE1">
            <w:pPr>
              <w:jc w:val="center"/>
              <w:rPr>
                <w:rFonts w:hint="eastAsia" w:ascii="宋体" w:hAnsi="宋体" w:cs="宋体"/>
                <w:b/>
                <w:bCs/>
                <w:color w:val="auto"/>
                <w:highlight w:val="none"/>
              </w:rPr>
            </w:pPr>
            <w:r>
              <w:rPr>
                <w:rFonts w:hint="eastAsia" w:ascii="宋体" w:hAnsi="宋体" w:cs="宋体"/>
                <w:color w:val="auto"/>
                <w:highlight w:val="none"/>
              </w:rPr>
              <w:t>洛伦兹力演示器</w:t>
            </w:r>
          </w:p>
        </w:tc>
        <w:tc>
          <w:tcPr>
            <w:tcW w:w="3079" w:type="pct"/>
            <w:tcBorders>
              <w:left w:val="single" w:color="auto" w:sz="4" w:space="0"/>
            </w:tcBorders>
            <w:vAlign w:val="center"/>
          </w:tcPr>
          <w:p w14:paraId="03A2C6A7">
            <w:pPr>
              <w:rPr>
                <w:rFonts w:hint="eastAsia" w:ascii="宋体" w:hAnsi="宋体" w:cs="宋体"/>
                <w:b/>
                <w:bCs/>
                <w:color w:val="auto"/>
                <w:highlight w:val="none"/>
              </w:rPr>
            </w:pPr>
            <w:r>
              <w:rPr>
                <w:rFonts w:hint="eastAsia" w:ascii="宋体" w:hAnsi="宋体" w:cs="宋体"/>
                <w:color w:val="auto"/>
                <w:highlight w:val="none"/>
              </w:rPr>
              <w:t>有洛伦兹力演示管。</w:t>
            </w:r>
          </w:p>
        </w:tc>
        <w:tc>
          <w:tcPr>
            <w:tcW w:w="384" w:type="pct"/>
            <w:vAlign w:val="center"/>
          </w:tcPr>
          <w:p w14:paraId="16ABB004">
            <w:pPr>
              <w:jc w:val="center"/>
              <w:rPr>
                <w:color w:val="auto"/>
                <w:highlight w:val="none"/>
              </w:rPr>
            </w:pPr>
            <w:r>
              <w:rPr>
                <w:rFonts w:hint="eastAsia" w:ascii="宋体" w:hAnsi="宋体" w:cs="宋体"/>
                <w:color w:val="auto"/>
                <w:highlight w:val="none"/>
              </w:rPr>
              <w:t>台</w:t>
            </w:r>
          </w:p>
        </w:tc>
        <w:tc>
          <w:tcPr>
            <w:tcW w:w="385" w:type="pct"/>
            <w:vAlign w:val="center"/>
          </w:tcPr>
          <w:p w14:paraId="538C3788">
            <w:pPr>
              <w:jc w:val="center"/>
              <w:rPr>
                <w:color w:val="auto"/>
                <w:highlight w:val="none"/>
              </w:rPr>
            </w:pPr>
            <w:r>
              <w:rPr>
                <w:rFonts w:hint="eastAsia" w:ascii="宋体" w:hAnsi="宋体" w:cs="宋体"/>
                <w:color w:val="auto"/>
                <w:highlight w:val="none"/>
              </w:rPr>
              <w:t>1</w:t>
            </w:r>
          </w:p>
        </w:tc>
      </w:tr>
      <w:tr w14:paraId="621C6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0FB0519E">
            <w:pPr>
              <w:jc w:val="center"/>
              <w:rPr>
                <w:rFonts w:hint="eastAsia" w:ascii="宋体" w:hAnsi="宋体" w:cs="宋体"/>
                <w:b/>
                <w:bCs/>
                <w:color w:val="auto"/>
                <w:highlight w:val="none"/>
              </w:rPr>
            </w:pPr>
            <w:r>
              <w:rPr>
                <w:rFonts w:hint="eastAsia" w:ascii="宋体" w:hAnsi="宋体" w:cs="宋体"/>
                <w:color w:val="auto"/>
                <w:highlight w:val="none"/>
              </w:rPr>
              <w:t>23</w:t>
            </w:r>
          </w:p>
        </w:tc>
        <w:tc>
          <w:tcPr>
            <w:tcW w:w="782" w:type="pct"/>
            <w:tcBorders>
              <w:left w:val="single" w:color="auto" w:sz="4" w:space="0"/>
              <w:right w:val="single" w:color="auto" w:sz="4" w:space="0"/>
            </w:tcBorders>
            <w:vAlign w:val="center"/>
          </w:tcPr>
          <w:p w14:paraId="7A37CDA5">
            <w:pPr>
              <w:jc w:val="center"/>
              <w:rPr>
                <w:rFonts w:hint="eastAsia" w:ascii="宋体" w:hAnsi="宋体" w:cs="宋体"/>
                <w:b/>
                <w:bCs/>
                <w:color w:val="auto"/>
                <w:highlight w:val="none"/>
              </w:rPr>
            </w:pPr>
            <w:r>
              <w:rPr>
                <w:rFonts w:hint="eastAsia" w:ascii="宋体" w:hAnsi="宋体" w:cs="宋体"/>
                <w:color w:val="auto"/>
                <w:highlight w:val="none"/>
              </w:rPr>
              <w:t>气体定律演示器</w:t>
            </w:r>
          </w:p>
        </w:tc>
        <w:tc>
          <w:tcPr>
            <w:tcW w:w="3079" w:type="pct"/>
            <w:tcBorders>
              <w:left w:val="single" w:color="auto" w:sz="4" w:space="0"/>
            </w:tcBorders>
            <w:vAlign w:val="center"/>
          </w:tcPr>
          <w:p w14:paraId="49D93C6F">
            <w:pPr>
              <w:rPr>
                <w:rFonts w:hint="eastAsia" w:ascii="宋体" w:hAnsi="宋体" w:cs="宋体"/>
                <w:b/>
                <w:bCs/>
                <w:color w:val="auto"/>
                <w:highlight w:val="none"/>
              </w:rPr>
            </w:pPr>
            <w:r>
              <w:rPr>
                <w:rFonts w:hint="eastAsia" w:ascii="宋体" w:hAnsi="宋体" w:cs="宋体"/>
                <w:color w:val="auto"/>
                <w:highlight w:val="none"/>
              </w:rPr>
              <w:t>由橡皮帽、气柱玻管、体积标尺、硅油、固定夹、接头、压力表等组成。</w:t>
            </w:r>
          </w:p>
        </w:tc>
        <w:tc>
          <w:tcPr>
            <w:tcW w:w="384" w:type="pct"/>
            <w:vAlign w:val="center"/>
          </w:tcPr>
          <w:p w14:paraId="2DF05427">
            <w:pPr>
              <w:jc w:val="center"/>
              <w:rPr>
                <w:color w:val="auto"/>
                <w:highlight w:val="none"/>
              </w:rPr>
            </w:pPr>
            <w:r>
              <w:rPr>
                <w:rFonts w:hint="eastAsia" w:ascii="宋体" w:hAnsi="宋体" w:cs="宋体"/>
                <w:color w:val="auto"/>
                <w:highlight w:val="none"/>
              </w:rPr>
              <w:t>套</w:t>
            </w:r>
          </w:p>
        </w:tc>
        <w:tc>
          <w:tcPr>
            <w:tcW w:w="385" w:type="pct"/>
            <w:vAlign w:val="center"/>
          </w:tcPr>
          <w:p w14:paraId="77D9303C">
            <w:pPr>
              <w:jc w:val="center"/>
              <w:rPr>
                <w:color w:val="auto"/>
                <w:highlight w:val="none"/>
              </w:rPr>
            </w:pPr>
            <w:r>
              <w:rPr>
                <w:rFonts w:hint="eastAsia" w:ascii="宋体" w:hAnsi="宋体" w:cs="宋体"/>
                <w:color w:val="auto"/>
                <w:highlight w:val="none"/>
              </w:rPr>
              <w:t>1</w:t>
            </w:r>
          </w:p>
        </w:tc>
      </w:tr>
      <w:tr w14:paraId="2C61E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768F94EF">
            <w:pPr>
              <w:jc w:val="center"/>
              <w:rPr>
                <w:rFonts w:hint="eastAsia" w:ascii="宋体" w:hAnsi="宋体" w:cs="宋体"/>
                <w:b/>
                <w:bCs/>
                <w:color w:val="auto"/>
                <w:highlight w:val="none"/>
              </w:rPr>
            </w:pPr>
            <w:r>
              <w:rPr>
                <w:rFonts w:hint="eastAsia" w:ascii="宋体" w:hAnsi="宋体" w:cs="宋体"/>
                <w:color w:val="auto"/>
                <w:highlight w:val="none"/>
              </w:rPr>
              <w:t>24</w:t>
            </w:r>
          </w:p>
        </w:tc>
        <w:tc>
          <w:tcPr>
            <w:tcW w:w="782" w:type="pct"/>
            <w:tcBorders>
              <w:left w:val="single" w:color="auto" w:sz="4" w:space="0"/>
              <w:right w:val="single" w:color="auto" w:sz="4" w:space="0"/>
            </w:tcBorders>
            <w:vAlign w:val="center"/>
          </w:tcPr>
          <w:p w14:paraId="7D5199E5">
            <w:pPr>
              <w:jc w:val="center"/>
              <w:rPr>
                <w:rFonts w:hint="eastAsia" w:ascii="宋体" w:hAnsi="宋体" w:cs="宋体"/>
                <w:b/>
                <w:bCs/>
                <w:color w:val="auto"/>
                <w:highlight w:val="none"/>
              </w:rPr>
            </w:pPr>
            <w:r>
              <w:rPr>
                <w:rFonts w:hint="eastAsia" w:ascii="宋体" w:hAnsi="宋体" w:cs="宋体"/>
                <w:color w:val="auto"/>
                <w:highlight w:val="none"/>
              </w:rPr>
              <w:t>电场线演示器</w:t>
            </w:r>
          </w:p>
        </w:tc>
        <w:tc>
          <w:tcPr>
            <w:tcW w:w="3079" w:type="pct"/>
            <w:tcBorders>
              <w:left w:val="single" w:color="auto" w:sz="4" w:space="0"/>
            </w:tcBorders>
            <w:vAlign w:val="center"/>
          </w:tcPr>
          <w:p w14:paraId="3E89D6CF">
            <w:pPr>
              <w:rPr>
                <w:rFonts w:hint="eastAsia" w:ascii="宋体" w:hAnsi="宋体" w:cs="宋体"/>
                <w:b/>
                <w:bCs/>
                <w:color w:val="auto"/>
                <w:highlight w:val="none"/>
              </w:rPr>
            </w:pPr>
            <w:r>
              <w:rPr>
                <w:rFonts w:hint="eastAsia" w:ascii="宋体" w:hAnsi="宋体" w:cs="宋体"/>
                <w:color w:val="auto"/>
                <w:highlight w:val="none"/>
              </w:rPr>
              <w:t>由单点电极演示板、双点电极演示板（同种电极和异种电极）、平行板电极演示板、环形电极演示板、尖形导体演示板组成。</w:t>
            </w:r>
          </w:p>
        </w:tc>
        <w:tc>
          <w:tcPr>
            <w:tcW w:w="384" w:type="pct"/>
            <w:vAlign w:val="center"/>
          </w:tcPr>
          <w:p w14:paraId="49029D56">
            <w:pPr>
              <w:jc w:val="center"/>
              <w:rPr>
                <w:color w:val="auto"/>
                <w:highlight w:val="none"/>
              </w:rPr>
            </w:pPr>
            <w:r>
              <w:rPr>
                <w:rFonts w:hint="eastAsia" w:ascii="宋体" w:hAnsi="宋体" w:cs="宋体"/>
                <w:color w:val="auto"/>
                <w:highlight w:val="none"/>
              </w:rPr>
              <w:t>台</w:t>
            </w:r>
          </w:p>
        </w:tc>
        <w:tc>
          <w:tcPr>
            <w:tcW w:w="385" w:type="pct"/>
            <w:vAlign w:val="center"/>
          </w:tcPr>
          <w:p w14:paraId="045AD9CB">
            <w:pPr>
              <w:jc w:val="center"/>
              <w:rPr>
                <w:color w:val="auto"/>
                <w:highlight w:val="none"/>
              </w:rPr>
            </w:pPr>
            <w:r>
              <w:rPr>
                <w:rFonts w:hint="eastAsia" w:ascii="宋体" w:hAnsi="宋体" w:cs="宋体"/>
                <w:color w:val="auto"/>
                <w:highlight w:val="none"/>
              </w:rPr>
              <w:t>2</w:t>
            </w:r>
          </w:p>
        </w:tc>
      </w:tr>
      <w:tr w14:paraId="19AA6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42595D9B">
            <w:pPr>
              <w:jc w:val="center"/>
              <w:rPr>
                <w:rFonts w:hint="eastAsia" w:ascii="宋体" w:hAnsi="宋体" w:cs="宋体"/>
                <w:b/>
                <w:bCs/>
                <w:color w:val="auto"/>
                <w:highlight w:val="none"/>
              </w:rPr>
            </w:pPr>
            <w:r>
              <w:rPr>
                <w:rFonts w:hint="eastAsia" w:ascii="宋体" w:hAnsi="宋体" w:cs="宋体"/>
                <w:color w:val="auto"/>
                <w:highlight w:val="none"/>
              </w:rPr>
              <w:t>25</w:t>
            </w:r>
          </w:p>
        </w:tc>
        <w:tc>
          <w:tcPr>
            <w:tcW w:w="782" w:type="pct"/>
            <w:tcBorders>
              <w:left w:val="single" w:color="auto" w:sz="4" w:space="0"/>
              <w:right w:val="single" w:color="auto" w:sz="4" w:space="0"/>
            </w:tcBorders>
            <w:vAlign w:val="center"/>
          </w:tcPr>
          <w:p w14:paraId="7968E756">
            <w:pPr>
              <w:jc w:val="center"/>
              <w:rPr>
                <w:rFonts w:hint="eastAsia" w:ascii="宋体" w:hAnsi="宋体" w:cs="宋体"/>
                <w:b/>
                <w:bCs/>
                <w:color w:val="auto"/>
                <w:highlight w:val="none"/>
              </w:rPr>
            </w:pPr>
            <w:r>
              <w:rPr>
                <w:rFonts w:hint="eastAsia" w:ascii="宋体" w:hAnsi="宋体" w:cs="宋体"/>
                <w:color w:val="auto"/>
                <w:highlight w:val="none"/>
              </w:rPr>
              <w:t>反冲运动演示器</w:t>
            </w:r>
          </w:p>
        </w:tc>
        <w:tc>
          <w:tcPr>
            <w:tcW w:w="3079" w:type="pct"/>
            <w:tcBorders>
              <w:left w:val="single" w:color="auto" w:sz="4" w:space="0"/>
            </w:tcBorders>
            <w:vAlign w:val="center"/>
          </w:tcPr>
          <w:p w14:paraId="487FBAE3">
            <w:pPr>
              <w:rPr>
                <w:rFonts w:hint="eastAsia" w:ascii="宋体" w:hAnsi="宋体" w:cs="宋体"/>
                <w:b/>
                <w:bCs/>
                <w:color w:val="auto"/>
                <w:highlight w:val="none"/>
              </w:rPr>
            </w:pPr>
            <w:r>
              <w:rPr>
                <w:rFonts w:hint="eastAsia" w:ascii="宋体" w:hAnsi="宋体" w:cs="宋体"/>
                <w:color w:val="auto"/>
                <w:highlight w:val="none"/>
              </w:rPr>
              <w:t>包含调节钉、上下支承、盛水器、钢球塞、喷管、底座、横梁、立柱、密封座等。反冲运动时间不小于60s，盛水器盛水量1500mL±100 mL。</w:t>
            </w:r>
          </w:p>
        </w:tc>
        <w:tc>
          <w:tcPr>
            <w:tcW w:w="384" w:type="pct"/>
            <w:vAlign w:val="center"/>
          </w:tcPr>
          <w:p w14:paraId="67317EFD">
            <w:pPr>
              <w:jc w:val="center"/>
              <w:rPr>
                <w:color w:val="auto"/>
                <w:highlight w:val="none"/>
              </w:rPr>
            </w:pPr>
            <w:r>
              <w:rPr>
                <w:rFonts w:hint="eastAsia" w:ascii="宋体" w:hAnsi="宋体" w:cs="宋体"/>
                <w:color w:val="auto"/>
                <w:highlight w:val="none"/>
              </w:rPr>
              <w:t>套</w:t>
            </w:r>
          </w:p>
        </w:tc>
        <w:tc>
          <w:tcPr>
            <w:tcW w:w="385" w:type="pct"/>
            <w:vAlign w:val="center"/>
          </w:tcPr>
          <w:p w14:paraId="70E198A8">
            <w:pPr>
              <w:jc w:val="center"/>
              <w:rPr>
                <w:color w:val="auto"/>
                <w:highlight w:val="none"/>
              </w:rPr>
            </w:pPr>
            <w:r>
              <w:rPr>
                <w:rFonts w:hint="eastAsia" w:ascii="宋体" w:hAnsi="宋体" w:cs="宋体"/>
                <w:color w:val="auto"/>
                <w:highlight w:val="none"/>
              </w:rPr>
              <w:t>1</w:t>
            </w:r>
          </w:p>
        </w:tc>
      </w:tr>
      <w:tr w14:paraId="77886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3898C4F1">
            <w:pPr>
              <w:jc w:val="center"/>
              <w:rPr>
                <w:rFonts w:hint="eastAsia" w:ascii="宋体" w:hAnsi="宋体" w:cs="宋体"/>
                <w:b/>
                <w:bCs/>
                <w:color w:val="auto"/>
                <w:highlight w:val="none"/>
              </w:rPr>
            </w:pPr>
            <w:r>
              <w:rPr>
                <w:rFonts w:hint="eastAsia" w:ascii="宋体" w:hAnsi="宋体" w:cs="宋体"/>
                <w:color w:val="auto"/>
                <w:highlight w:val="none"/>
              </w:rPr>
              <w:t>26</w:t>
            </w:r>
          </w:p>
        </w:tc>
        <w:tc>
          <w:tcPr>
            <w:tcW w:w="782" w:type="pct"/>
            <w:tcBorders>
              <w:left w:val="single" w:color="auto" w:sz="4" w:space="0"/>
              <w:right w:val="single" w:color="auto" w:sz="4" w:space="0"/>
            </w:tcBorders>
            <w:vAlign w:val="center"/>
          </w:tcPr>
          <w:p w14:paraId="57C82492">
            <w:pPr>
              <w:jc w:val="center"/>
              <w:rPr>
                <w:rFonts w:hint="eastAsia" w:ascii="宋体" w:hAnsi="宋体" w:cs="宋体"/>
                <w:b/>
                <w:bCs/>
                <w:color w:val="auto"/>
                <w:highlight w:val="none"/>
              </w:rPr>
            </w:pPr>
            <w:r>
              <w:rPr>
                <w:rFonts w:hint="eastAsia" w:ascii="宋体" w:hAnsi="宋体" w:cs="宋体"/>
                <w:color w:val="auto"/>
                <w:highlight w:val="none"/>
              </w:rPr>
              <w:t>楞次定律演示器</w:t>
            </w:r>
          </w:p>
        </w:tc>
        <w:tc>
          <w:tcPr>
            <w:tcW w:w="3079" w:type="pct"/>
            <w:tcBorders>
              <w:left w:val="single" w:color="auto" w:sz="4" w:space="0"/>
            </w:tcBorders>
            <w:vAlign w:val="center"/>
          </w:tcPr>
          <w:p w14:paraId="342FD8C5">
            <w:pPr>
              <w:rPr>
                <w:rFonts w:hint="eastAsia" w:ascii="宋体" w:hAnsi="宋体" w:cs="宋体"/>
                <w:b/>
                <w:bCs/>
                <w:color w:val="auto"/>
                <w:highlight w:val="none"/>
              </w:rPr>
            </w:pPr>
            <w:r>
              <w:rPr>
                <w:rFonts w:hint="eastAsia" w:ascii="宋体" w:hAnsi="宋体" w:cs="宋体"/>
                <w:color w:val="auto"/>
                <w:highlight w:val="none"/>
              </w:rPr>
              <w:t>由铝梁、开口铝环、闭口铝环和带顶针的支柱座组成。铝梁长度不小于 140mm,宽不小于10mm，厚为0.5 mm，有两条通长加强筋，铜轴承套嵌在铝梁中间，内钳玻璃轴承。铝环直径不小于40mm，宽不小于10mm，厚0.5mm～1mm。铝梁和铝环表面应氧化处理。铝梁置于支柱顶针时应能保持水平，两端高度差不大于2mm，并转动灵活。</w:t>
            </w:r>
          </w:p>
        </w:tc>
        <w:tc>
          <w:tcPr>
            <w:tcW w:w="384" w:type="pct"/>
            <w:vAlign w:val="center"/>
          </w:tcPr>
          <w:p w14:paraId="2A9BCE57">
            <w:pPr>
              <w:jc w:val="center"/>
              <w:rPr>
                <w:color w:val="auto"/>
                <w:highlight w:val="none"/>
              </w:rPr>
            </w:pPr>
            <w:r>
              <w:rPr>
                <w:rFonts w:hint="eastAsia" w:ascii="宋体" w:hAnsi="宋体" w:cs="宋体"/>
                <w:color w:val="auto"/>
                <w:highlight w:val="none"/>
              </w:rPr>
              <w:t>套</w:t>
            </w:r>
          </w:p>
        </w:tc>
        <w:tc>
          <w:tcPr>
            <w:tcW w:w="385" w:type="pct"/>
            <w:vAlign w:val="center"/>
          </w:tcPr>
          <w:p w14:paraId="3647B21A">
            <w:pPr>
              <w:jc w:val="center"/>
              <w:rPr>
                <w:color w:val="auto"/>
                <w:highlight w:val="none"/>
              </w:rPr>
            </w:pPr>
            <w:r>
              <w:rPr>
                <w:rFonts w:hint="eastAsia" w:ascii="宋体" w:hAnsi="宋体" w:cs="宋体"/>
                <w:color w:val="auto"/>
                <w:highlight w:val="none"/>
              </w:rPr>
              <w:t>2</w:t>
            </w:r>
          </w:p>
        </w:tc>
      </w:tr>
      <w:tr w14:paraId="182D2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4727C819">
            <w:pPr>
              <w:jc w:val="center"/>
              <w:rPr>
                <w:rFonts w:hint="eastAsia" w:ascii="宋体" w:hAnsi="宋体" w:cs="宋体"/>
                <w:b/>
                <w:bCs/>
                <w:color w:val="auto"/>
                <w:highlight w:val="none"/>
              </w:rPr>
            </w:pPr>
            <w:r>
              <w:rPr>
                <w:rFonts w:hint="eastAsia" w:ascii="宋体" w:hAnsi="宋体" w:cs="宋体"/>
                <w:color w:val="auto"/>
                <w:highlight w:val="none"/>
              </w:rPr>
              <w:t>27</w:t>
            </w:r>
          </w:p>
        </w:tc>
        <w:tc>
          <w:tcPr>
            <w:tcW w:w="782" w:type="pct"/>
            <w:tcBorders>
              <w:left w:val="single" w:color="auto" w:sz="4" w:space="0"/>
              <w:right w:val="single" w:color="auto" w:sz="4" w:space="0"/>
            </w:tcBorders>
            <w:vAlign w:val="center"/>
          </w:tcPr>
          <w:p w14:paraId="5C343707">
            <w:pPr>
              <w:jc w:val="center"/>
              <w:rPr>
                <w:rFonts w:hint="eastAsia" w:ascii="宋体" w:hAnsi="宋体" w:cs="宋体"/>
                <w:b/>
                <w:bCs/>
                <w:color w:val="auto"/>
                <w:highlight w:val="none"/>
              </w:rPr>
            </w:pPr>
            <w:r>
              <w:rPr>
                <w:rFonts w:hint="eastAsia" w:ascii="宋体" w:hAnsi="宋体" w:cs="宋体"/>
                <w:color w:val="auto"/>
                <w:highlight w:val="none"/>
              </w:rPr>
              <w:t>立体磁感线演示器</w:t>
            </w:r>
          </w:p>
        </w:tc>
        <w:tc>
          <w:tcPr>
            <w:tcW w:w="3079" w:type="pct"/>
            <w:tcBorders>
              <w:left w:val="single" w:color="auto" w:sz="4" w:space="0"/>
            </w:tcBorders>
            <w:vAlign w:val="center"/>
          </w:tcPr>
          <w:p w14:paraId="5A30007A">
            <w:pPr>
              <w:rPr>
                <w:rFonts w:hint="eastAsia" w:ascii="宋体" w:hAnsi="宋体" w:cs="宋体"/>
                <w:color w:val="auto"/>
                <w:highlight w:val="none"/>
              </w:rPr>
            </w:pPr>
            <w:r>
              <w:rPr>
                <w:rFonts w:hint="eastAsia" w:ascii="宋体" w:hAnsi="宋体" w:cs="宋体"/>
                <w:color w:val="auto"/>
                <w:highlight w:val="none"/>
              </w:rPr>
              <w:t>主要配置及特征参数：</w:t>
            </w:r>
          </w:p>
          <w:p w14:paraId="7E8F289A">
            <w:pPr>
              <w:rPr>
                <w:rFonts w:hint="eastAsia" w:ascii="宋体" w:hAnsi="宋体" w:cs="宋体"/>
                <w:color w:val="auto"/>
                <w:highlight w:val="none"/>
              </w:rPr>
            </w:pPr>
            <w:r>
              <w:rPr>
                <w:rFonts w:hint="eastAsia" w:ascii="宋体" w:hAnsi="宋体" w:cs="宋体"/>
                <w:color w:val="auto"/>
                <w:highlight w:val="none"/>
              </w:rPr>
              <w:t>由立体磁感线主体、半圆形板、工字型板、U型磁铁、条形磁铁等部分组成。</w:t>
            </w:r>
          </w:p>
          <w:p w14:paraId="55158572">
            <w:pPr>
              <w:rPr>
                <w:rFonts w:hint="eastAsia" w:ascii="宋体" w:hAnsi="宋体" w:cs="宋体"/>
                <w:color w:val="auto"/>
                <w:highlight w:val="none"/>
              </w:rPr>
            </w:pPr>
            <w:r>
              <w:rPr>
                <w:rFonts w:hint="eastAsia" w:ascii="宋体" w:hAnsi="宋体" w:cs="宋体"/>
                <w:color w:val="auto"/>
                <w:highlight w:val="none"/>
              </w:rPr>
              <w:t>能够完成的教学演示：</w:t>
            </w:r>
          </w:p>
          <w:p w14:paraId="35AD36AA">
            <w:pPr>
              <w:rPr>
                <w:rFonts w:hint="eastAsia" w:ascii="宋体" w:hAnsi="宋体" w:cs="宋体"/>
                <w:b/>
                <w:bCs/>
                <w:color w:val="auto"/>
                <w:highlight w:val="none"/>
              </w:rPr>
            </w:pPr>
            <w:r>
              <w:rPr>
                <w:rFonts w:hint="eastAsia" w:ascii="宋体" w:hAnsi="宋体" w:cs="宋体"/>
                <w:color w:val="auto"/>
                <w:highlight w:val="none"/>
              </w:rPr>
              <w:t>磁场周围空间各个点的磁场方向及磁感线方向和磁感线的形成；磁铁周围磁场的空间分布特点。</w:t>
            </w:r>
          </w:p>
        </w:tc>
        <w:tc>
          <w:tcPr>
            <w:tcW w:w="384" w:type="pct"/>
            <w:vAlign w:val="center"/>
          </w:tcPr>
          <w:p w14:paraId="5116DFD7">
            <w:pPr>
              <w:jc w:val="center"/>
              <w:rPr>
                <w:color w:val="auto"/>
                <w:highlight w:val="none"/>
              </w:rPr>
            </w:pPr>
            <w:r>
              <w:rPr>
                <w:rFonts w:hint="eastAsia" w:ascii="宋体" w:hAnsi="宋体" w:cs="宋体"/>
                <w:color w:val="auto"/>
                <w:highlight w:val="none"/>
              </w:rPr>
              <w:t>套</w:t>
            </w:r>
          </w:p>
        </w:tc>
        <w:tc>
          <w:tcPr>
            <w:tcW w:w="385" w:type="pct"/>
            <w:vAlign w:val="center"/>
          </w:tcPr>
          <w:p w14:paraId="75960AE7">
            <w:pPr>
              <w:jc w:val="center"/>
              <w:rPr>
                <w:color w:val="auto"/>
                <w:highlight w:val="none"/>
              </w:rPr>
            </w:pPr>
            <w:r>
              <w:rPr>
                <w:rFonts w:hint="eastAsia" w:ascii="宋体" w:hAnsi="宋体" w:cs="宋体"/>
                <w:color w:val="auto"/>
                <w:highlight w:val="none"/>
              </w:rPr>
              <w:t>1</w:t>
            </w:r>
          </w:p>
        </w:tc>
      </w:tr>
      <w:tr w14:paraId="40820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17D43B89">
            <w:pPr>
              <w:jc w:val="center"/>
              <w:rPr>
                <w:rFonts w:hint="eastAsia" w:ascii="宋体" w:hAnsi="宋体" w:cs="宋体"/>
                <w:b/>
                <w:bCs/>
                <w:color w:val="auto"/>
                <w:highlight w:val="none"/>
              </w:rPr>
            </w:pPr>
            <w:r>
              <w:rPr>
                <w:rFonts w:hint="eastAsia" w:ascii="宋体" w:hAnsi="宋体" w:cs="宋体"/>
                <w:color w:val="auto"/>
                <w:highlight w:val="none"/>
              </w:rPr>
              <w:t>28</w:t>
            </w:r>
          </w:p>
        </w:tc>
        <w:tc>
          <w:tcPr>
            <w:tcW w:w="782" w:type="pct"/>
            <w:tcBorders>
              <w:left w:val="single" w:color="auto" w:sz="4" w:space="0"/>
              <w:right w:val="single" w:color="auto" w:sz="4" w:space="0"/>
            </w:tcBorders>
            <w:vAlign w:val="center"/>
          </w:tcPr>
          <w:p w14:paraId="43FCB928">
            <w:pPr>
              <w:jc w:val="center"/>
              <w:rPr>
                <w:rFonts w:hint="eastAsia" w:ascii="宋体" w:hAnsi="宋体" w:cs="宋体"/>
                <w:b/>
                <w:bCs/>
                <w:color w:val="auto"/>
                <w:highlight w:val="none"/>
              </w:rPr>
            </w:pPr>
            <w:r>
              <w:rPr>
                <w:rFonts w:hint="eastAsia" w:ascii="宋体" w:hAnsi="宋体" w:cs="宋体"/>
                <w:color w:val="auto"/>
                <w:highlight w:val="none"/>
              </w:rPr>
              <w:t>法拉第电磁感应定律演示仪</w:t>
            </w:r>
          </w:p>
        </w:tc>
        <w:tc>
          <w:tcPr>
            <w:tcW w:w="3079" w:type="pct"/>
            <w:tcBorders>
              <w:left w:val="single" w:color="auto" w:sz="4" w:space="0"/>
            </w:tcBorders>
            <w:vAlign w:val="center"/>
          </w:tcPr>
          <w:p w14:paraId="51580AD2">
            <w:pPr>
              <w:rPr>
                <w:rFonts w:hint="eastAsia" w:ascii="宋体" w:hAnsi="宋体" w:cs="宋体"/>
                <w:b/>
                <w:bCs/>
                <w:color w:val="auto"/>
                <w:highlight w:val="none"/>
              </w:rPr>
            </w:pPr>
            <w:r>
              <w:rPr>
                <w:rFonts w:hint="eastAsia" w:ascii="宋体" w:hAnsi="宋体" w:cs="宋体"/>
                <w:color w:val="auto"/>
                <w:highlight w:val="none"/>
              </w:rPr>
              <w:t>由长玻璃管、强磁铁3块、不同匝数的线圈等组成。</w:t>
            </w:r>
          </w:p>
        </w:tc>
        <w:tc>
          <w:tcPr>
            <w:tcW w:w="384" w:type="pct"/>
            <w:vAlign w:val="center"/>
          </w:tcPr>
          <w:p w14:paraId="39A40B95">
            <w:pPr>
              <w:jc w:val="center"/>
              <w:rPr>
                <w:color w:val="auto"/>
                <w:highlight w:val="none"/>
              </w:rPr>
            </w:pPr>
            <w:r>
              <w:rPr>
                <w:rFonts w:hint="eastAsia" w:ascii="宋体" w:hAnsi="宋体" w:cs="宋体"/>
                <w:color w:val="auto"/>
                <w:highlight w:val="none"/>
              </w:rPr>
              <w:t>套</w:t>
            </w:r>
          </w:p>
        </w:tc>
        <w:tc>
          <w:tcPr>
            <w:tcW w:w="385" w:type="pct"/>
            <w:vAlign w:val="center"/>
          </w:tcPr>
          <w:p w14:paraId="655D1F2E">
            <w:pPr>
              <w:jc w:val="center"/>
              <w:rPr>
                <w:color w:val="auto"/>
                <w:highlight w:val="none"/>
              </w:rPr>
            </w:pPr>
            <w:r>
              <w:rPr>
                <w:rFonts w:hint="eastAsia" w:ascii="宋体" w:hAnsi="宋体" w:cs="宋体"/>
                <w:color w:val="auto"/>
                <w:highlight w:val="none"/>
              </w:rPr>
              <w:t>1</w:t>
            </w:r>
          </w:p>
        </w:tc>
      </w:tr>
      <w:tr w14:paraId="36514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589BD7B6">
            <w:pPr>
              <w:jc w:val="center"/>
              <w:rPr>
                <w:rFonts w:hint="eastAsia" w:ascii="宋体" w:hAnsi="宋体" w:cs="宋体"/>
                <w:b/>
                <w:bCs/>
                <w:color w:val="auto"/>
                <w:highlight w:val="none"/>
              </w:rPr>
            </w:pPr>
            <w:r>
              <w:rPr>
                <w:rFonts w:hint="eastAsia" w:ascii="宋体" w:hAnsi="宋体" w:cs="宋体"/>
                <w:color w:val="auto"/>
                <w:highlight w:val="none"/>
              </w:rPr>
              <w:t>29</w:t>
            </w:r>
          </w:p>
        </w:tc>
        <w:tc>
          <w:tcPr>
            <w:tcW w:w="782" w:type="pct"/>
            <w:tcBorders>
              <w:left w:val="single" w:color="auto" w:sz="4" w:space="0"/>
              <w:right w:val="single" w:color="auto" w:sz="4" w:space="0"/>
            </w:tcBorders>
            <w:vAlign w:val="center"/>
          </w:tcPr>
          <w:p w14:paraId="6DAF3722">
            <w:pPr>
              <w:jc w:val="center"/>
              <w:rPr>
                <w:rFonts w:hint="eastAsia" w:ascii="宋体" w:hAnsi="宋体" w:cs="宋体"/>
                <w:b/>
                <w:bCs/>
                <w:color w:val="auto"/>
                <w:highlight w:val="none"/>
              </w:rPr>
            </w:pPr>
            <w:r>
              <w:rPr>
                <w:rFonts w:hint="eastAsia" w:ascii="宋体" w:hAnsi="宋体" w:cs="宋体"/>
                <w:color w:val="auto"/>
                <w:highlight w:val="none"/>
              </w:rPr>
              <w:t>力的合成与分解演示器</w:t>
            </w:r>
          </w:p>
        </w:tc>
        <w:tc>
          <w:tcPr>
            <w:tcW w:w="3079" w:type="pct"/>
            <w:tcBorders>
              <w:left w:val="single" w:color="auto" w:sz="4" w:space="0"/>
            </w:tcBorders>
            <w:vAlign w:val="center"/>
          </w:tcPr>
          <w:p w14:paraId="75E30145">
            <w:pPr>
              <w:rPr>
                <w:rFonts w:hint="eastAsia" w:ascii="宋体" w:hAnsi="宋体" w:cs="宋体"/>
                <w:color w:val="auto"/>
                <w:highlight w:val="none"/>
              </w:rPr>
            </w:pPr>
            <w:r>
              <w:rPr>
                <w:rFonts w:hint="eastAsia" w:ascii="宋体" w:hAnsi="宋体" w:cs="宋体"/>
                <w:color w:val="auto"/>
                <w:highlight w:val="none"/>
              </w:rPr>
              <w:t>刻度盘、固定式滑轮、圆环组件、圆筒测力计2.5N、圆筒测力计固定件、力传感器支架、中心定位棒等、钓鱼线等(既可做传统实验、也可做数字化实验)。</w:t>
            </w:r>
          </w:p>
          <w:p w14:paraId="20B49FE4">
            <w:pPr>
              <w:rPr>
                <w:rFonts w:hint="eastAsia" w:ascii="宋体" w:hAnsi="宋体" w:cs="宋体"/>
                <w:color w:val="auto"/>
                <w:highlight w:val="none"/>
              </w:rPr>
            </w:pPr>
            <w:r>
              <w:rPr>
                <w:rFonts w:hint="eastAsia" w:ascii="宋体" w:hAnsi="宋体" w:cs="宋体"/>
                <w:color w:val="auto"/>
                <w:highlight w:val="none"/>
              </w:rPr>
              <w:t>技术指标：</w:t>
            </w:r>
          </w:p>
          <w:p w14:paraId="4C66AFFD">
            <w:pPr>
              <w:rPr>
                <w:rFonts w:hint="eastAsia" w:ascii="宋体" w:hAnsi="宋体" w:cs="宋体"/>
                <w:color w:val="auto"/>
                <w:highlight w:val="none"/>
              </w:rPr>
            </w:pPr>
            <w:r>
              <w:rPr>
                <w:rFonts w:hint="eastAsia" w:ascii="宋体" w:hAnsi="宋体" w:cs="宋体"/>
                <w:color w:val="auto"/>
                <w:highlight w:val="none"/>
              </w:rPr>
              <w:t>刻度盘：</w:t>
            </w:r>
          </w:p>
          <w:p w14:paraId="1A7A65AA">
            <w:pPr>
              <w:rPr>
                <w:rFonts w:hint="eastAsia" w:ascii="宋体" w:hAnsi="宋体" w:cs="宋体"/>
                <w:color w:val="auto"/>
                <w:highlight w:val="none"/>
              </w:rPr>
            </w:pPr>
            <w:r>
              <w:rPr>
                <w:rFonts w:hint="eastAsia" w:ascii="宋体" w:hAnsi="宋体" w:cs="宋体"/>
                <w:color w:val="auto"/>
                <w:highlight w:val="none"/>
              </w:rPr>
              <w:t>基本规格：</w:t>
            </w:r>
            <w:r>
              <w:rPr>
                <w:rFonts w:hint="eastAsia" w:ascii="MS Gothic" w:hAnsi="MS Gothic" w:eastAsia="MS Gothic" w:cs="MS Gothic"/>
                <w:color w:val="auto"/>
                <w:highlight w:val="none"/>
              </w:rPr>
              <w:t>∅</w:t>
            </w:r>
            <w:r>
              <w:rPr>
                <w:rFonts w:hint="eastAsia" w:ascii="宋体" w:hAnsi="宋体" w:cs="宋体"/>
                <w:color w:val="auto"/>
                <w:highlight w:val="none"/>
              </w:rPr>
              <w:t>255*3mm；材质：铝6061；表面处理：细喷砂阳极氧化，表面双色丝印，刻度线条清晰。功能描述：为传感器支架提供安装平台，结构简单，安装方便，实验中便于调节不同的角度。</w:t>
            </w:r>
          </w:p>
          <w:p w14:paraId="649ADBAF">
            <w:pPr>
              <w:rPr>
                <w:rFonts w:hint="eastAsia" w:ascii="宋体" w:hAnsi="宋体" w:cs="宋体"/>
                <w:color w:val="auto"/>
                <w:highlight w:val="none"/>
              </w:rPr>
            </w:pPr>
            <w:r>
              <w:rPr>
                <w:rFonts w:hint="eastAsia" w:ascii="宋体" w:hAnsi="宋体" w:cs="宋体"/>
                <w:color w:val="auto"/>
                <w:highlight w:val="none"/>
              </w:rPr>
              <w:t>圆筒测力计固定件</w:t>
            </w:r>
          </w:p>
          <w:p w14:paraId="23EAB9DE">
            <w:pPr>
              <w:rPr>
                <w:rFonts w:hint="eastAsia" w:ascii="宋体" w:hAnsi="宋体" w:cs="宋体"/>
                <w:b/>
                <w:bCs/>
                <w:color w:val="auto"/>
                <w:highlight w:val="none"/>
              </w:rPr>
            </w:pPr>
            <w:r>
              <w:rPr>
                <w:rFonts w:hint="eastAsia" w:ascii="宋体" w:hAnsi="宋体" w:cs="宋体"/>
                <w:color w:val="auto"/>
                <w:highlight w:val="none"/>
              </w:rPr>
              <w:t>基本尺寸：40×35×16mm，前端M4铜镶嵌螺母2个，后端紧固穿杆M6铜镶嵌螺母1个；材质：ABS工程塑料、黄铜；工艺：塑料注塑成型；功能描述：与相关产品组装搭配使用,便于固定面板和600mm支撑杆。</w:t>
            </w:r>
          </w:p>
        </w:tc>
        <w:tc>
          <w:tcPr>
            <w:tcW w:w="384" w:type="pct"/>
            <w:vAlign w:val="center"/>
          </w:tcPr>
          <w:p w14:paraId="7EE945B2">
            <w:pPr>
              <w:jc w:val="center"/>
              <w:rPr>
                <w:color w:val="auto"/>
                <w:highlight w:val="none"/>
              </w:rPr>
            </w:pPr>
            <w:r>
              <w:rPr>
                <w:rFonts w:hint="eastAsia" w:ascii="宋体" w:hAnsi="宋体" w:cs="宋体"/>
                <w:color w:val="auto"/>
                <w:highlight w:val="none"/>
              </w:rPr>
              <w:t>套</w:t>
            </w:r>
          </w:p>
        </w:tc>
        <w:tc>
          <w:tcPr>
            <w:tcW w:w="385" w:type="pct"/>
            <w:vAlign w:val="center"/>
          </w:tcPr>
          <w:p w14:paraId="5623CBE0">
            <w:pPr>
              <w:jc w:val="center"/>
              <w:rPr>
                <w:color w:val="auto"/>
                <w:highlight w:val="none"/>
              </w:rPr>
            </w:pPr>
            <w:r>
              <w:rPr>
                <w:rFonts w:hint="eastAsia" w:ascii="宋体" w:hAnsi="宋体" w:cs="宋体"/>
                <w:color w:val="auto"/>
                <w:highlight w:val="none"/>
              </w:rPr>
              <w:t>1</w:t>
            </w:r>
          </w:p>
        </w:tc>
      </w:tr>
      <w:tr w14:paraId="551BF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67289F79">
            <w:pPr>
              <w:jc w:val="center"/>
              <w:rPr>
                <w:rFonts w:hint="eastAsia" w:ascii="宋体" w:hAnsi="宋体" w:cs="宋体"/>
                <w:b/>
                <w:bCs/>
                <w:color w:val="auto"/>
                <w:highlight w:val="none"/>
              </w:rPr>
            </w:pPr>
            <w:r>
              <w:rPr>
                <w:rFonts w:hint="eastAsia" w:ascii="宋体" w:hAnsi="宋体" w:cs="宋体"/>
                <w:color w:val="auto"/>
                <w:highlight w:val="none"/>
              </w:rPr>
              <w:t>30</w:t>
            </w:r>
          </w:p>
        </w:tc>
        <w:tc>
          <w:tcPr>
            <w:tcW w:w="782" w:type="pct"/>
            <w:tcBorders>
              <w:left w:val="single" w:color="auto" w:sz="4" w:space="0"/>
              <w:right w:val="single" w:color="auto" w:sz="4" w:space="0"/>
            </w:tcBorders>
            <w:vAlign w:val="center"/>
          </w:tcPr>
          <w:p w14:paraId="1C7ACAA3">
            <w:pPr>
              <w:jc w:val="center"/>
              <w:rPr>
                <w:rFonts w:hint="eastAsia" w:ascii="宋体" w:hAnsi="宋体" w:cs="宋体"/>
                <w:b/>
                <w:bCs/>
                <w:color w:val="auto"/>
                <w:highlight w:val="none"/>
              </w:rPr>
            </w:pPr>
            <w:r>
              <w:rPr>
                <w:rFonts w:hint="eastAsia" w:ascii="宋体" w:hAnsi="宋体" w:cs="宋体"/>
                <w:color w:val="auto"/>
                <w:highlight w:val="none"/>
              </w:rPr>
              <w:t>摩擦力演示器</w:t>
            </w:r>
          </w:p>
        </w:tc>
        <w:tc>
          <w:tcPr>
            <w:tcW w:w="3079" w:type="pct"/>
            <w:tcBorders>
              <w:left w:val="single" w:color="auto" w:sz="4" w:space="0"/>
            </w:tcBorders>
            <w:vAlign w:val="center"/>
          </w:tcPr>
          <w:p w14:paraId="2DBC9559">
            <w:pPr>
              <w:rPr>
                <w:rFonts w:hint="eastAsia" w:ascii="宋体" w:hAnsi="宋体" w:cs="宋体"/>
                <w:color w:val="auto"/>
                <w:highlight w:val="none"/>
              </w:rPr>
            </w:pPr>
            <w:r>
              <w:rPr>
                <w:rFonts w:hint="eastAsia" w:ascii="宋体" w:hAnsi="宋体" w:cs="宋体"/>
                <w:color w:val="auto"/>
                <w:highlight w:val="none"/>
              </w:rPr>
              <w:t>主要配置及特征参数：</w:t>
            </w:r>
          </w:p>
          <w:p w14:paraId="36BA51C5">
            <w:pPr>
              <w:rPr>
                <w:rFonts w:hint="eastAsia" w:ascii="宋体" w:hAnsi="宋体" w:cs="宋体"/>
                <w:color w:val="auto"/>
                <w:highlight w:val="none"/>
              </w:rPr>
            </w:pPr>
            <w:r>
              <w:rPr>
                <w:rFonts w:hint="eastAsia" w:ascii="宋体" w:hAnsi="宋体" w:cs="宋体"/>
                <w:color w:val="auto"/>
                <w:highlight w:val="none"/>
              </w:rPr>
              <w:t>由铝型材底座组件、电机、摩擦力背板、摩擦板、摩擦块（3种摩擦面）、定滑轮、测力计、测力计支架、细绳等组成。</w:t>
            </w:r>
          </w:p>
          <w:p w14:paraId="24DFD5A0">
            <w:pPr>
              <w:rPr>
                <w:rFonts w:hint="eastAsia" w:ascii="宋体" w:hAnsi="宋体" w:cs="宋体"/>
                <w:color w:val="auto"/>
                <w:highlight w:val="none"/>
              </w:rPr>
            </w:pPr>
            <w:r>
              <w:rPr>
                <w:rFonts w:hint="eastAsia" w:ascii="宋体" w:hAnsi="宋体" w:cs="宋体"/>
                <w:color w:val="auto"/>
                <w:highlight w:val="none"/>
              </w:rPr>
              <w:t>技术指标：</w:t>
            </w:r>
          </w:p>
          <w:p w14:paraId="3A13138C">
            <w:pPr>
              <w:rPr>
                <w:rFonts w:hint="eastAsia" w:ascii="宋体" w:hAnsi="宋体" w:cs="宋体"/>
                <w:color w:val="auto"/>
                <w:highlight w:val="none"/>
              </w:rPr>
            </w:pPr>
            <w:r>
              <w:rPr>
                <w:rFonts w:hint="eastAsia" w:ascii="宋体" w:hAnsi="宋体" w:cs="宋体"/>
                <w:color w:val="auto"/>
                <w:highlight w:val="none"/>
              </w:rPr>
              <w:t>铝型材底座组件：</w:t>
            </w:r>
          </w:p>
          <w:p w14:paraId="08E1B316">
            <w:pPr>
              <w:rPr>
                <w:rFonts w:hint="eastAsia" w:ascii="宋体" w:hAnsi="宋体" w:cs="宋体"/>
                <w:color w:val="auto"/>
                <w:highlight w:val="none"/>
              </w:rPr>
            </w:pPr>
            <w:r>
              <w:rPr>
                <w:rFonts w:hint="eastAsia" w:ascii="宋体" w:hAnsi="宋体" w:cs="宋体"/>
                <w:color w:val="auto"/>
                <w:highlight w:val="none"/>
              </w:rPr>
              <w:t>产品组成：端盖、铝型材底座、电机等。</w:t>
            </w:r>
          </w:p>
          <w:p w14:paraId="55A00292">
            <w:pPr>
              <w:rPr>
                <w:rFonts w:hint="eastAsia" w:ascii="宋体" w:hAnsi="宋体" w:cs="宋体"/>
                <w:color w:val="auto"/>
                <w:highlight w:val="none"/>
              </w:rPr>
            </w:pPr>
            <w:r>
              <w:rPr>
                <w:rFonts w:hint="eastAsia" w:ascii="宋体" w:hAnsi="宋体" w:cs="宋体"/>
                <w:color w:val="auto"/>
                <w:highlight w:val="none"/>
              </w:rPr>
              <w:t>底座基本尺寸：导轨基本尺寸1300×90×30mm(±5mm)；材质工艺：铝6063-T5，挤压拉模成型；表面处理工艺：电泳发黑；端盖基本尺寸：90*30mm(±5mm)，ABS塑料精密注塑成型；功能描述：多个零件组合集成在底座，为摩擦力实验提供运动和安装平台。</w:t>
            </w:r>
          </w:p>
          <w:p w14:paraId="768F81FD">
            <w:pPr>
              <w:rPr>
                <w:rFonts w:hint="eastAsia" w:ascii="宋体" w:hAnsi="宋体" w:cs="宋体"/>
                <w:color w:val="auto"/>
                <w:highlight w:val="none"/>
              </w:rPr>
            </w:pPr>
            <w:r>
              <w:rPr>
                <w:rFonts w:hint="eastAsia" w:ascii="宋体" w:hAnsi="宋体" w:cs="宋体"/>
                <w:color w:val="auto"/>
                <w:highlight w:val="none"/>
              </w:rPr>
              <w:t>摩擦块：数量：3个；</w:t>
            </w:r>
          </w:p>
          <w:p w14:paraId="7A7AB6C6">
            <w:pPr>
              <w:rPr>
                <w:rFonts w:hint="eastAsia" w:ascii="宋体" w:hAnsi="宋体" w:cs="宋体"/>
                <w:color w:val="auto"/>
                <w:highlight w:val="none"/>
              </w:rPr>
            </w:pPr>
            <w:r>
              <w:rPr>
                <w:rFonts w:hint="eastAsia" w:ascii="宋体" w:hAnsi="宋体" w:cs="宋体"/>
                <w:color w:val="auto"/>
                <w:highlight w:val="none"/>
              </w:rPr>
              <w:t>基本尺寸规格：120*80*40mm（±5mm），材质工艺：木质。功能描述：作为摩擦力主要部件，3种不同摩擦面，与摩擦板接触，进行摩擦力实验。</w:t>
            </w:r>
          </w:p>
          <w:p w14:paraId="50C2D179">
            <w:pPr>
              <w:rPr>
                <w:rFonts w:hint="eastAsia" w:ascii="宋体" w:hAnsi="宋体" w:cs="宋体"/>
                <w:color w:val="auto"/>
                <w:highlight w:val="none"/>
              </w:rPr>
            </w:pPr>
            <w:r>
              <w:rPr>
                <w:rFonts w:hint="eastAsia" w:ascii="宋体" w:hAnsi="宋体" w:cs="宋体"/>
                <w:color w:val="auto"/>
                <w:highlight w:val="none"/>
              </w:rPr>
              <w:t>摩擦力背板：</w:t>
            </w:r>
          </w:p>
          <w:p w14:paraId="5CEAFF6C">
            <w:pPr>
              <w:rPr>
                <w:rFonts w:hint="eastAsia" w:ascii="宋体" w:hAnsi="宋体" w:cs="宋体"/>
                <w:color w:val="auto"/>
                <w:highlight w:val="none"/>
              </w:rPr>
            </w:pPr>
            <w:r>
              <w:rPr>
                <w:rFonts w:hint="eastAsia" w:ascii="宋体" w:hAnsi="宋体" w:cs="宋体"/>
                <w:color w:val="auto"/>
                <w:highlight w:val="none"/>
              </w:rPr>
              <w:t>基本尺寸规格：400*200*5mm（±5mm）；材质工艺：黑色亚克力，雕刻机一体成型；表面处理工艺：双色精密丝印；功能描述：表面印有使用说明，固定测力计支架及定滑轮，以便进行摩擦力实验。</w:t>
            </w:r>
          </w:p>
          <w:p w14:paraId="3E55C4BA">
            <w:pPr>
              <w:rPr>
                <w:rFonts w:hint="eastAsia" w:ascii="宋体" w:hAnsi="宋体" w:cs="宋体"/>
                <w:color w:val="auto"/>
                <w:highlight w:val="none"/>
              </w:rPr>
            </w:pPr>
            <w:r>
              <w:rPr>
                <w:rFonts w:hint="eastAsia" w:ascii="宋体" w:hAnsi="宋体" w:cs="宋体"/>
                <w:color w:val="auto"/>
                <w:highlight w:val="none"/>
              </w:rPr>
              <w:t>能够完成的教学演示：</w:t>
            </w:r>
          </w:p>
          <w:p w14:paraId="7B68DC06">
            <w:pPr>
              <w:rPr>
                <w:rFonts w:hint="eastAsia" w:ascii="宋体" w:hAnsi="宋体" w:cs="宋体"/>
                <w:b/>
                <w:bCs/>
                <w:color w:val="auto"/>
                <w:highlight w:val="none"/>
              </w:rPr>
            </w:pPr>
            <w:r>
              <w:rPr>
                <w:rFonts w:hint="eastAsia" w:ascii="宋体" w:hAnsi="宋体" w:cs="宋体"/>
                <w:color w:val="auto"/>
                <w:highlight w:val="none"/>
              </w:rPr>
              <w:t>摩擦力相关实验等。</w:t>
            </w:r>
          </w:p>
        </w:tc>
        <w:tc>
          <w:tcPr>
            <w:tcW w:w="384" w:type="pct"/>
            <w:vAlign w:val="center"/>
          </w:tcPr>
          <w:p w14:paraId="00CDC4D3">
            <w:pPr>
              <w:jc w:val="center"/>
              <w:rPr>
                <w:color w:val="auto"/>
                <w:highlight w:val="none"/>
              </w:rPr>
            </w:pPr>
            <w:r>
              <w:rPr>
                <w:rFonts w:hint="eastAsia" w:ascii="宋体" w:hAnsi="宋体" w:cs="宋体"/>
                <w:color w:val="auto"/>
                <w:highlight w:val="none"/>
              </w:rPr>
              <w:t>套</w:t>
            </w:r>
          </w:p>
        </w:tc>
        <w:tc>
          <w:tcPr>
            <w:tcW w:w="385" w:type="pct"/>
            <w:vAlign w:val="center"/>
          </w:tcPr>
          <w:p w14:paraId="710482D4">
            <w:pPr>
              <w:jc w:val="center"/>
              <w:rPr>
                <w:color w:val="auto"/>
                <w:highlight w:val="none"/>
              </w:rPr>
            </w:pPr>
            <w:r>
              <w:rPr>
                <w:rFonts w:hint="eastAsia" w:ascii="宋体" w:hAnsi="宋体" w:cs="宋体"/>
                <w:color w:val="auto"/>
                <w:highlight w:val="none"/>
              </w:rPr>
              <w:t>1</w:t>
            </w:r>
          </w:p>
        </w:tc>
      </w:tr>
      <w:tr w14:paraId="0505E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2CED1223">
            <w:pPr>
              <w:jc w:val="center"/>
              <w:rPr>
                <w:rFonts w:hint="eastAsia" w:ascii="宋体" w:hAnsi="宋体" w:cs="宋体"/>
                <w:b/>
                <w:bCs/>
                <w:color w:val="auto"/>
                <w:highlight w:val="none"/>
              </w:rPr>
            </w:pPr>
            <w:r>
              <w:rPr>
                <w:rFonts w:hint="eastAsia" w:ascii="宋体" w:hAnsi="宋体" w:cs="宋体"/>
                <w:color w:val="auto"/>
                <w:highlight w:val="none"/>
              </w:rPr>
              <w:t>31</w:t>
            </w:r>
          </w:p>
        </w:tc>
        <w:tc>
          <w:tcPr>
            <w:tcW w:w="782" w:type="pct"/>
            <w:tcBorders>
              <w:left w:val="single" w:color="auto" w:sz="4" w:space="0"/>
              <w:right w:val="single" w:color="auto" w:sz="4" w:space="0"/>
            </w:tcBorders>
            <w:vAlign w:val="center"/>
          </w:tcPr>
          <w:p w14:paraId="1DDD8569">
            <w:pPr>
              <w:jc w:val="center"/>
              <w:rPr>
                <w:rFonts w:hint="eastAsia" w:ascii="宋体" w:hAnsi="宋体" w:cs="宋体"/>
                <w:b/>
                <w:bCs/>
                <w:color w:val="auto"/>
                <w:highlight w:val="none"/>
              </w:rPr>
            </w:pPr>
            <w:r>
              <w:rPr>
                <w:rFonts w:hint="eastAsia" w:ascii="宋体" w:hAnsi="宋体" w:cs="宋体"/>
                <w:color w:val="auto"/>
                <w:highlight w:val="none"/>
              </w:rPr>
              <w:t>气体做功内能减少演示器</w:t>
            </w:r>
          </w:p>
        </w:tc>
        <w:tc>
          <w:tcPr>
            <w:tcW w:w="3079" w:type="pct"/>
            <w:tcBorders>
              <w:left w:val="single" w:color="auto" w:sz="4" w:space="0"/>
            </w:tcBorders>
            <w:vAlign w:val="center"/>
          </w:tcPr>
          <w:p w14:paraId="5653C591">
            <w:pPr>
              <w:rPr>
                <w:rFonts w:hint="eastAsia" w:ascii="宋体" w:hAnsi="宋体" w:cs="宋体"/>
                <w:b/>
                <w:bCs/>
                <w:color w:val="auto"/>
                <w:highlight w:val="none"/>
              </w:rPr>
            </w:pPr>
            <w:r>
              <w:rPr>
                <w:rFonts w:hint="eastAsia" w:ascii="宋体" w:hAnsi="宋体" w:cs="宋体"/>
                <w:color w:val="auto"/>
                <w:highlight w:val="none"/>
              </w:rPr>
              <w:t>由气体做功部分和温度测量部分组成。</w:t>
            </w:r>
          </w:p>
        </w:tc>
        <w:tc>
          <w:tcPr>
            <w:tcW w:w="384" w:type="pct"/>
            <w:vAlign w:val="center"/>
          </w:tcPr>
          <w:p w14:paraId="66CF1CE5">
            <w:pPr>
              <w:jc w:val="center"/>
              <w:rPr>
                <w:color w:val="auto"/>
                <w:highlight w:val="none"/>
              </w:rPr>
            </w:pPr>
            <w:r>
              <w:rPr>
                <w:rFonts w:hint="eastAsia" w:ascii="宋体" w:hAnsi="宋体" w:cs="宋体"/>
                <w:color w:val="auto"/>
                <w:highlight w:val="none"/>
              </w:rPr>
              <w:t>套</w:t>
            </w:r>
          </w:p>
        </w:tc>
        <w:tc>
          <w:tcPr>
            <w:tcW w:w="385" w:type="pct"/>
            <w:vAlign w:val="center"/>
          </w:tcPr>
          <w:p w14:paraId="32947980">
            <w:pPr>
              <w:jc w:val="center"/>
              <w:rPr>
                <w:color w:val="auto"/>
                <w:highlight w:val="none"/>
              </w:rPr>
            </w:pPr>
            <w:r>
              <w:rPr>
                <w:rFonts w:hint="eastAsia" w:ascii="宋体" w:hAnsi="宋体" w:cs="宋体"/>
                <w:color w:val="auto"/>
                <w:highlight w:val="none"/>
              </w:rPr>
              <w:t>1</w:t>
            </w:r>
          </w:p>
        </w:tc>
      </w:tr>
      <w:tr w14:paraId="5F61A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4E0C0FDC">
            <w:pPr>
              <w:jc w:val="center"/>
              <w:rPr>
                <w:rFonts w:hint="eastAsia" w:ascii="宋体" w:hAnsi="宋体" w:cs="宋体"/>
                <w:b/>
                <w:bCs/>
                <w:color w:val="auto"/>
                <w:highlight w:val="none"/>
              </w:rPr>
            </w:pPr>
            <w:r>
              <w:rPr>
                <w:rFonts w:hint="eastAsia" w:ascii="宋体" w:hAnsi="宋体" w:cs="宋体"/>
                <w:color w:val="auto"/>
                <w:highlight w:val="none"/>
              </w:rPr>
              <w:t>32</w:t>
            </w:r>
          </w:p>
        </w:tc>
        <w:tc>
          <w:tcPr>
            <w:tcW w:w="782" w:type="pct"/>
            <w:tcBorders>
              <w:left w:val="single" w:color="auto" w:sz="4" w:space="0"/>
              <w:right w:val="single" w:color="auto" w:sz="4" w:space="0"/>
            </w:tcBorders>
            <w:vAlign w:val="center"/>
          </w:tcPr>
          <w:p w14:paraId="3FC94C07">
            <w:pPr>
              <w:jc w:val="center"/>
              <w:rPr>
                <w:rFonts w:hint="eastAsia" w:ascii="宋体" w:hAnsi="宋体" w:cs="宋体"/>
                <w:b/>
                <w:bCs/>
                <w:color w:val="auto"/>
                <w:highlight w:val="none"/>
              </w:rPr>
            </w:pPr>
            <w:r>
              <w:rPr>
                <w:rFonts w:hint="eastAsia" w:ascii="宋体" w:hAnsi="宋体" w:cs="宋体"/>
                <w:color w:val="auto"/>
                <w:highlight w:val="none"/>
              </w:rPr>
              <w:t>奥斯特实验演示器</w:t>
            </w:r>
          </w:p>
        </w:tc>
        <w:tc>
          <w:tcPr>
            <w:tcW w:w="3079" w:type="pct"/>
            <w:tcBorders>
              <w:left w:val="single" w:color="auto" w:sz="4" w:space="0"/>
            </w:tcBorders>
            <w:vAlign w:val="center"/>
          </w:tcPr>
          <w:p w14:paraId="287691F8">
            <w:pPr>
              <w:rPr>
                <w:rFonts w:hint="eastAsia" w:ascii="宋体" w:hAnsi="宋体" w:cs="宋体"/>
                <w:color w:val="auto"/>
                <w:highlight w:val="none"/>
              </w:rPr>
            </w:pPr>
            <w:r>
              <w:rPr>
                <w:rFonts w:hint="eastAsia" w:ascii="宋体" w:hAnsi="宋体" w:cs="宋体"/>
                <w:color w:val="auto"/>
                <w:highlight w:val="none"/>
              </w:rPr>
              <w:t>主要配置及特征参数：</w:t>
            </w:r>
          </w:p>
          <w:p w14:paraId="67CAA05F">
            <w:pPr>
              <w:rPr>
                <w:rFonts w:hint="eastAsia" w:ascii="宋体" w:hAnsi="宋体" w:cs="宋体"/>
                <w:color w:val="auto"/>
                <w:highlight w:val="none"/>
              </w:rPr>
            </w:pPr>
            <w:r>
              <w:rPr>
                <w:rFonts w:hint="eastAsia" w:ascii="宋体" w:hAnsi="宋体" w:cs="宋体"/>
                <w:color w:val="auto"/>
                <w:highlight w:val="none"/>
              </w:rPr>
              <w:t>塑料底座、开关、通电杆、翼形磁针组件、接线柱等组成。</w:t>
            </w:r>
          </w:p>
          <w:p w14:paraId="63774F13">
            <w:pPr>
              <w:rPr>
                <w:rFonts w:hint="eastAsia" w:ascii="宋体" w:hAnsi="宋体" w:cs="宋体"/>
                <w:color w:val="auto"/>
                <w:highlight w:val="none"/>
              </w:rPr>
            </w:pPr>
            <w:r>
              <w:rPr>
                <w:rFonts w:hint="eastAsia" w:ascii="宋体" w:hAnsi="宋体" w:cs="宋体"/>
                <w:color w:val="auto"/>
                <w:highlight w:val="none"/>
              </w:rPr>
              <w:t>技术指标：</w:t>
            </w:r>
          </w:p>
          <w:p w14:paraId="732181B0">
            <w:pPr>
              <w:rPr>
                <w:rFonts w:hint="eastAsia" w:ascii="宋体" w:hAnsi="宋体" w:cs="宋体"/>
                <w:color w:val="auto"/>
                <w:highlight w:val="none"/>
              </w:rPr>
            </w:pPr>
            <w:r>
              <w:rPr>
                <w:rFonts w:hint="eastAsia" w:ascii="宋体" w:hAnsi="宋体" w:cs="宋体"/>
                <w:color w:val="auto"/>
                <w:highlight w:val="none"/>
              </w:rPr>
              <w:t>塑料底座：</w:t>
            </w:r>
          </w:p>
          <w:p w14:paraId="67792B74">
            <w:pPr>
              <w:rPr>
                <w:rFonts w:hint="eastAsia" w:ascii="宋体" w:hAnsi="宋体" w:cs="宋体"/>
                <w:color w:val="auto"/>
                <w:highlight w:val="none"/>
              </w:rPr>
            </w:pPr>
            <w:r>
              <w:rPr>
                <w:rFonts w:hint="eastAsia" w:ascii="宋体" w:hAnsi="宋体" w:cs="宋体"/>
                <w:color w:val="auto"/>
                <w:highlight w:val="none"/>
              </w:rPr>
              <w:t>基本尺寸规格：436*274*49mm（±5mm）；材质工艺：ABS塑料精密注塑成型；功能描述：为整个演示器提供牢固稳定的底座，内嵌垫片，使得底座具备防滑耐磨的特点。</w:t>
            </w:r>
          </w:p>
          <w:p w14:paraId="2E84FE59">
            <w:pPr>
              <w:rPr>
                <w:rFonts w:hint="eastAsia" w:ascii="宋体" w:hAnsi="宋体" w:cs="宋体"/>
                <w:color w:val="auto"/>
                <w:highlight w:val="none"/>
              </w:rPr>
            </w:pPr>
            <w:r>
              <w:rPr>
                <w:rFonts w:hint="eastAsia" w:ascii="宋体" w:hAnsi="宋体" w:cs="宋体"/>
                <w:color w:val="auto"/>
                <w:highlight w:val="none"/>
              </w:rPr>
              <w:t>通电杆：</w:t>
            </w:r>
          </w:p>
          <w:p w14:paraId="3F1E63D0">
            <w:pPr>
              <w:rPr>
                <w:rFonts w:hint="eastAsia" w:ascii="宋体" w:hAnsi="宋体" w:cs="宋体"/>
                <w:color w:val="auto"/>
                <w:highlight w:val="none"/>
              </w:rPr>
            </w:pPr>
            <w:r>
              <w:rPr>
                <w:rFonts w:hint="eastAsia" w:ascii="宋体" w:hAnsi="宋体" w:cs="宋体"/>
                <w:color w:val="auto"/>
                <w:highlight w:val="none"/>
              </w:rPr>
              <w:t>基本尺寸规格：338*184*8mm（±5mm），材质工艺：高碳45#钢。表面处理：通体镀装饰铬；功能描述：作为电生磁的主要零件和载体，通电后周围产生磁场。</w:t>
            </w:r>
          </w:p>
          <w:p w14:paraId="0BE80758">
            <w:pPr>
              <w:rPr>
                <w:rFonts w:hint="eastAsia" w:ascii="宋体" w:hAnsi="宋体" w:cs="宋体"/>
                <w:color w:val="auto"/>
                <w:highlight w:val="none"/>
              </w:rPr>
            </w:pPr>
            <w:r>
              <w:rPr>
                <w:rFonts w:hint="eastAsia" w:ascii="宋体" w:hAnsi="宋体" w:cs="宋体"/>
                <w:color w:val="auto"/>
                <w:highlight w:val="none"/>
              </w:rPr>
              <w:t>能够完成的教学演示：</w:t>
            </w:r>
          </w:p>
          <w:p w14:paraId="5F6E7A35">
            <w:pPr>
              <w:rPr>
                <w:rFonts w:hint="eastAsia" w:ascii="宋体" w:hAnsi="宋体" w:cs="宋体"/>
                <w:b/>
                <w:bCs/>
                <w:color w:val="auto"/>
                <w:highlight w:val="none"/>
              </w:rPr>
            </w:pPr>
            <w:r>
              <w:rPr>
                <w:rFonts w:hint="eastAsia" w:ascii="宋体" w:hAnsi="宋体" w:cs="宋体"/>
                <w:color w:val="auto"/>
                <w:highlight w:val="none"/>
              </w:rPr>
              <w:t>奥斯特实验；通电导线周围存在磁场。</w:t>
            </w:r>
          </w:p>
        </w:tc>
        <w:tc>
          <w:tcPr>
            <w:tcW w:w="384" w:type="pct"/>
            <w:vAlign w:val="center"/>
          </w:tcPr>
          <w:p w14:paraId="2C5328C9">
            <w:pPr>
              <w:jc w:val="center"/>
              <w:rPr>
                <w:color w:val="auto"/>
                <w:highlight w:val="none"/>
              </w:rPr>
            </w:pPr>
            <w:r>
              <w:rPr>
                <w:rFonts w:hint="eastAsia" w:ascii="宋体" w:hAnsi="宋体" w:cs="宋体"/>
                <w:color w:val="auto"/>
                <w:highlight w:val="none"/>
              </w:rPr>
              <w:t>套</w:t>
            </w:r>
          </w:p>
        </w:tc>
        <w:tc>
          <w:tcPr>
            <w:tcW w:w="385" w:type="pct"/>
            <w:vAlign w:val="center"/>
          </w:tcPr>
          <w:p w14:paraId="0D505F38">
            <w:pPr>
              <w:jc w:val="center"/>
              <w:rPr>
                <w:color w:val="auto"/>
                <w:highlight w:val="none"/>
              </w:rPr>
            </w:pPr>
            <w:r>
              <w:rPr>
                <w:rFonts w:hint="eastAsia" w:ascii="宋体" w:hAnsi="宋体" w:cs="宋体"/>
                <w:color w:val="auto"/>
                <w:highlight w:val="none"/>
              </w:rPr>
              <w:t>1</w:t>
            </w:r>
          </w:p>
        </w:tc>
      </w:tr>
      <w:tr w14:paraId="4CD33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3FD06CB3">
            <w:pPr>
              <w:jc w:val="center"/>
              <w:rPr>
                <w:rFonts w:hint="eastAsia" w:ascii="宋体" w:hAnsi="宋体" w:cs="宋体"/>
                <w:b/>
                <w:bCs/>
                <w:color w:val="auto"/>
                <w:highlight w:val="none"/>
              </w:rPr>
            </w:pPr>
            <w:r>
              <w:rPr>
                <w:rFonts w:hint="eastAsia" w:ascii="宋体" w:hAnsi="宋体" w:cs="宋体"/>
                <w:color w:val="auto"/>
                <w:highlight w:val="none"/>
              </w:rPr>
              <w:t>33</w:t>
            </w:r>
          </w:p>
        </w:tc>
        <w:tc>
          <w:tcPr>
            <w:tcW w:w="782" w:type="pct"/>
            <w:tcBorders>
              <w:left w:val="single" w:color="auto" w:sz="4" w:space="0"/>
              <w:right w:val="single" w:color="auto" w:sz="4" w:space="0"/>
            </w:tcBorders>
            <w:vAlign w:val="center"/>
          </w:tcPr>
          <w:p w14:paraId="39E6F4DB">
            <w:pPr>
              <w:jc w:val="center"/>
              <w:rPr>
                <w:rFonts w:hint="eastAsia" w:ascii="宋体" w:hAnsi="宋体" w:cs="宋体"/>
                <w:b/>
                <w:bCs/>
                <w:color w:val="auto"/>
                <w:highlight w:val="none"/>
              </w:rPr>
            </w:pPr>
            <w:r>
              <w:rPr>
                <w:rFonts w:hint="eastAsia" w:ascii="宋体" w:hAnsi="宋体" w:cs="宋体"/>
                <w:color w:val="auto"/>
                <w:highlight w:val="none"/>
              </w:rPr>
              <w:t>验电羽</w:t>
            </w:r>
          </w:p>
        </w:tc>
        <w:tc>
          <w:tcPr>
            <w:tcW w:w="3079" w:type="pct"/>
            <w:tcBorders>
              <w:left w:val="single" w:color="auto" w:sz="4" w:space="0"/>
            </w:tcBorders>
            <w:vAlign w:val="center"/>
          </w:tcPr>
          <w:p w14:paraId="6C4C49A0">
            <w:pPr>
              <w:rPr>
                <w:rFonts w:hint="eastAsia" w:ascii="宋体" w:hAnsi="宋体" w:cs="宋体"/>
                <w:b/>
                <w:bCs/>
                <w:color w:val="auto"/>
                <w:highlight w:val="none"/>
              </w:rPr>
            </w:pPr>
            <w:r>
              <w:rPr>
                <w:rFonts w:hint="eastAsia" w:ascii="宋体" w:hAnsi="宋体" w:cs="宋体"/>
                <w:color w:val="auto"/>
                <w:highlight w:val="none"/>
              </w:rPr>
              <w:t>由绝缘支架、金属片、细尼龙绳、螺钉等组成。绝缘支架上装有两片金属片，两金属片间夹有若干长条形细尼龙绳。</w:t>
            </w:r>
          </w:p>
        </w:tc>
        <w:tc>
          <w:tcPr>
            <w:tcW w:w="384" w:type="pct"/>
            <w:vAlign w:val="center"/>
          </w:tcPr>
          <w:p w14:paraId="45B177AF">
            <w:pPr>
              <w:jc w:val="center"/>
              <w:rPr>
                <w:color w:val="auto"/>
                <w:highlight w:val="none"/>
              </w:rPr>
            </w:pPr>
            <w:r>
              <w:rPr>
                <w:rFonts w:hint="eastAsia" w:ascii="宋体" w:hAnsi="宋体" w:cs="宋体"/>
                <w:color w:val="auto"/>
                <w:highlight w:val="none"/>
              </w:rPr>
              <w:t>对</w:t>
            </w:r>
          </w:p>
        </w:tc>
        <w:tc>
          <w:tcPr>
            <w:tcW w:w="385" w:type="pct"/>
            <w:vAlign w:val="center"/>
          </w:tcPr>
          <w:p w14:paraId="44495874">
            <w:pPr>
              <w:jc w:val="center"/>
              <w:rPr>
                <w:color w:val="auto"/>
                <w:highlight w:val="none"/>
              </w:rPr>
            </w:pPr>
            <w:r>
              <w:rPr>
                <w:rFonts w:hint="eastAsia" w:ascii="宋体" w:hAnsi="宋体" w:cs="宋体"/>
                <w:color w:val="auto"/>
                <w:highlight w:val="none"/>
              </w:rPr>
              <w:t>2</w:t>
            </w:r>
          </w:p>
        </w:tc>
      </w:tr>
      <w:tr w14:paraId="4DF3A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5E38CD73">
            <w:pPr>
              <w:jc w:val="center"/>
              <w:rPr>
                <w:rFonts w:hint="eastAsia" w:ascii="宋体" w:hAnsi="宋体" w:cs="宋体"/>
                <w:b/>
                <w:bCs/>
                <w:color w:val="auto"/>
                <w:highlight w:val="none"/>
              </w:rPr>
            </w:pPr>
            <w:r>
              <w:rPr>
                <w:rFonts w:hint="eastAsia" w:ascii="宋体" w:hAnsi="宋体" w:cs="宋体"/>
                <w:color w:val="auto"/>
                <w:highlight w:val="none"/>
              </w:rPr>
              <w:t>34</w:t>
            </w:r>
          </w:p>
        </w:tc>
        <w:tc>
          <w:tcPr>
            <w:tcW w:w="782" w:type="pct"/>
            <w:tcBorders>
              <w:left w:val="single" w:color="auto" w:sz="4" w:space="0"/>
              <w:right w:val="single" w:color="auto" w:sz="4" w:space="0"/>
            </w:tcBorders>
            <w:vAlign w:val="center"/>
          </w:tcPr>
          <w:p w14:paraId="442E8ED7">
            <w:pPr>
              <w:jc w:val="center"/>
              <w:rPr>
                <w:rFonts w:hint="eastAsia" w:ascii="宋体" w:hAnsi="宋体" w:cs="宋体"/>
                <w:b/>
                <w:bCs/>
                <w:color w:val="auto"/>
                <w:highlight w:val="none"/>
              </w:rPr>
            </w:pPr>
            <w:r>
              <w:rPr>
                <w:rFonts w:hint="eastAsia" w:ascii="宋体" w:hAnsi="宋体" w:cs="宋体"/>
                <w:color w:val="auto"/>
                <w:highlight w:val="none"/>
              </w:rPr>
              <w:t>指针验电器</w:t>
            </w:r>
          </w:p>
        </w:tc>
        <w:tc>
          <w:tcPr>
            <w:tcW w:w="3079" w:type="pct"/>
            <w:tcBorders>
              <w:left w:val="single" w:color="auto" w:sz="4" w:space="0"/>
            </w:tcBorders>
            <w:vAlign w:val="center"/>
          </w:tcPr>
          <w:p w14:paraId="492AB4AF">
            <w:pPr>
              <w:rPr>
                <w:rFonts w:hint="eastAsia" w:ascii="宋体" w:hAnsi="宋体" w:cs="宋体"/>
                <w:color w:val="auto"/>
                <w:highlight w:val="none"/>
              </w:rPr>
            </w:pPr>
            <w:r>
              <w:rPr>
                <w:rFonts w:hint="eastAsia" w:ascii="宋体" w:hAnsi="宋体" w:cs="宋体"/>
                <w:color w:val="auto"/>
                <w:highlight w:val="none"/>
              </w:rPr>
              <w:t>主要配置及特征参数：</w:t>
            </w:r>
          </w:p>
          <w:p w14:paraId="06626A9B">
            <w:pPr>
              <w:rPr>
                <w:rFonts w:hint="eastAsia" w:ascii="宋体" w:hAnsi="宋体" w:cs="宋体"/>
                <w:color w:val="auto"/>
                <w:highlight w:val="none"/>
              </w:rPr>
            </w:pPr>
            <w:r>
              <w:rPr>
                <w:rFonts w:hint="eastAsia" w:ascii="宋体" w:hAnsi="宋体" w:cs="宋体"/>
                <w:color w:val="auto"/>
                <w:highlight w:val="none"/>
              </w:rPr>
              <w:t>由外壳、圆盘、导电杆、绝缘子、指针、指针架、接线柱等组成。观察面采用透明材料，可直接观察到指针的变化。</w:t>
            </w:r>
          </w:p>
          <w:p w14:paraId="08A0654C">
            <w:pPr>
              <w:rPr>
                <w:rFonts w:hint="eastAsia" w:ascii="宋体" w:hAnsi="宋体" w:cs="宋体"/>
                <w:color w:val="auto"/>
                <w:highlight w:val="none"/>
              </w:rPr>
            </w:pPr>
            <w:r>
              <w:rPr>
                <w:rFonts w:hint="eastAsia" w:ascii="宋体" w:hAnsi="宋体" w:cs="宋体"/>
                <w:color w:val="auto"/>
                <w:highlight w:val="none"/>
              </w:rPr>
              <w:t>能够完成的教学演示：</w:t>
            </w:r>
          </w:p>
          <w:p w14:paraId="0C5AD5CD">
            <w:pPr>
              <w:rPr>
                <w:rFonts w:hint="eastAsia" w:ascii="宋体" w:hAnsi="宋体" w:cs="宋体"/>
                <w:b/>
                <w:bCs/>
                <w:color w:val="auto"/>
                <w:highlight w:val="none"/>
              </w:rPr>
            </w:pPr>
            <w:r>
              <w:rPr>
                <w:rFonts w:hint="eastAsia" w:ascii="宋体" w:hAnsi="宋体" w:cs="宋体"/>
                <w:color w:val="auto"/>
                <w:highlight w:val="none"/>
              </w:rPr>
              <w:t>检验物体是否带电；检验物体带的电是正或负；检验物体的绝缘性；配合其他仪器进行静电学相应实验等。</w:t>
            </w:r>
          </w:p>
        </w:tc>
        <w:tc>
          <w:tcPr>
            <w:tcW w:w="384" w:type="pct"/>
            <w:vAlign w:val="center"/>
          </w:tcPr>
          <w:p w14:paraId="13C8CE00">
            <w:pPr>
              <w:jc w:val="center"/>
              <w:rPr>
                <w:color w:val="auto"/>
                <w:highlight w:val="none"/>
              </w:rPr>
            </w:pPr>
            <w:r>
              <w:rPr>
                <w:rFonts w:hint="eastAsia" w:ascii="宋体" w:hAnsi="宋体" w:cs="宋体"/>
                <w:color w:val="auto"/>
                <w:highlight w:val="none"/>
              </w:rPr>
              <w:t>对</w:t>
            </w:r>
          </w:p>
        </w:tc>
        <w:tc>
          <w:tcPr>
            <w:tcW w:w="385" w:type="pct"/>
            <w:vAlign w:val="center"/>
          </w:tcPr>
          <w:p w14:paraId="19939624">
            <w:pPr>
              <w:jc w:val="center"/>
              <w:rPr>
                <w:color w:val="auto"/>
                <w:highlight w:val="none"/>
              </w:rPr>
            </w:pPr>
            <w:r>
              <w:rPr>
                <w:rFonts w:hint="eastAsia" w:ascii="宋体" w:hAnsi="宋体" w:cs="宋体"/>
                <w:color w:val="auto"/>
                <w:highlight w:val="none"/>
              </w:rPr>
              <w:t>2</w:t>
            </w:r>
          </w:p>
        </w:tc>
      </w:tr>
      <w:tr w14:paraId="0B41A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17AC7730">
            <w:pPr>
              <w:jc w:val="center"/>
              <w:rPr>
                <w:rFonts w:hint="eastAsia" w:ascii="宋体" w:hAnsi="宋体" w:cs="宋体"/>
                <w:b/>
                <w:bCs/>
                <w:color w:val="auto"/>
                <w:highlight w:val="none"/>
              </w:rPr>
            </w:pPr>
            <w:r>
              <w:rPr>
                <w:rFonts w:hint="eastAsia" w:ascii="宋体" w:hAnsi="宋体" w:cs="宋体"/>
                <w:color w:val="auto"/>
                <w:highlight w:val="none"/>
              </w:rPr>
              <w:t>35</w:t>
            </w:r>
          </w:p>
        </w:tc>
        <w:tc>
          <w:tcPr>
            <w:tcW w:w="782" w:type="pct"/>
            <w:tcBorders>
              <w:left w:val="single" w:color="auto" w:sz="4" w:space="0"/>
              <w:right w:val="single" w:color="auto" w:sz="4" w:space="0"/>
            </w:tcBorders>
            <w:vAlign w:val="center"/>
          </w:tcPr>
          <w:p w14:paraId="4E652D40">
            <w:pPr>
              <w:jc w:val="center"/>
              <w:rPr>
                <w:rFonts w:hint="eastAsia" w:ascii="宋体" w:hAnsi="宋体" w:cs="宋体"/>
                <w:b/>
                <w:bCs/>
                <w:color w:val="auto"/>
                <w:highlight w:val="none"/>
              </w:rPr>
            </w:pPr>
            <w:r>
              <w:rPr>
                <w:rFonts w:hint="eastAsia" w:ascii="宋体" w:hAnsi="宋体" w:cs="宋体"/>
                <w:color w:val="auto"/>
                <w:highlight w:val="none"/>
              </w:rPr>
              <w:t>蹄形磁铁</w:t>
            </w:r>
          </w:p>
        </w:tc>
        <w:tc>
          <w:tcPr>
            <w:tcW w:w="3079" w:type="pct"/>
            <w:tcBorders>
              <w:left w:val="single" w:color="auto" w:sz="4" w:space="0"/>
            </w:tcBorders>
            <w:vAlign w:val="center"/>
          </w:tcPr>
          <w:p w14:paraId="1A85CEAA">
            <w:pPr>
              <w:rPr>
                <w:rFonts w:hint="eastAsia" w:ascii="宋体" w:hAnsi="宋体" w:cs="宋体"/>
                <w:color w:val="auto"/>
                <w:highlight w:val="none"/>
              </w:rPr>
            </w:pPr>
            <w:r>
              <w:rPr>
                <w:rFonts w:hint="eastAsia" w:ascii="宋体" w:hAnsi="宋体" w:cs="宋体"/>
                <w:color w:val="auto"/>
                <w:highlight w:val="none"/>
              </w:rPr>
              <w:t>主要配置及特征参数：</w:t>
            </w:r>
          </w:p>
          <w:p w14:paraId="1A55FE24">
            <w:pPr>
              <w:rPr>
                <w:rFonts w:hint="eastAsia" w:ascii="宋体" w:hAnsi="宋体" w:cs="宋体"/>
                <w:color w:val="auto"/>
                <w:highlight w:val="none"/>
              </w:rPr>
            </w:pPr>
            <w:r>
              <w:rPr>
                <w:rFonts w:hint="eastAsia" w:ascii="宋体" w:hAnsi="宋体" w:cs="宋体"/>
                <w:color w:val="auto"/>
                <w:highlight w:val="none"/>
              </w:rPr>
              <w:t>蹄形磁铁，长度≥100mm，适合教师演示。</w:t>
            </w:r>
          </w:p>
          <w:p w14:paraId="70036F43">
            <w:pPr>
              <w:rPr>
                <w:rFonts w:hint="eastAsia" w:ascii="宋体" w:hAnsi="宋体" w:cs="宋体"/>
                <w:color w:val="auto"/>
                <w:highlight w:val="none"/>
              </w:rPr>
            </w:pPr>
            <w:r>
              <w:rPr>
                <w:rFonts w:hint="eastAsia" w:ascii="宋体" w:hAnsi="宋体" w:cs="宋体"/>
                <w:color w:val="auto"/>
                <w:highlight w:val="none"/>
              </w:rPr>
              <w:t>能够完成的教学演示：</w:t>
            </w:r>
          </w:p>
          <w:p w14:paraId="4ED0426B">
            <w:pPr>
              <w:rPr>
                <w:rFonts w:hint="eastAsia" w:ascii="宋体" w:hAnsi="宋体" w:cs="宋体"/>
                <w:b/>
                <w:bCs/>
                <w:color w:val="auto"/>
                <w:highlight w:val="none"/>
              </w:rPr>
            </w:pPr>
            <w:r>
              <w:rPr>
                <w:rFonts w:hint="eastAsia" w:ascii="宋体" w:hAnsi="宋体" w:cs="宋体"/>
                <w:color w:val="auto"/>
                <w:highlight w:val="none"/>
              </w:rPr>
              <w:t>磁学实验；电磁学实验。</w:t>
            </w:r>
          </w:p>
        </w:tc>
        <w:tc>
          <w:tcPr>
            <w:tcW w:w="384" w:type="pct"/>
            <w:vAlign w:val="center"/>
          </w:tcPr>
          <w:p w14:paraId="2690DE10">
            <w:pPr>
              <w:jc w:val="center"/>
              <w:rPr>
                <w:color w:val="auto"/>
                <w:highlight w:val="none"/>
              </w:rPr>
            </w:pPr>
            <w:r>
              <w:rPr>
                <w:rFonts w:hint="eastAsia" w:ascii="宋体" w:hAnsi="宋体" w:cs="宋体"/>
                <w:color w:val="auto"/>
                <w:highlight w:val="none"/>
              </w:rPr>
              <w:t>个</w:t>
            </w:r>
          </w:p>
        </w:tc>
        <w:tc>
          <w:tcPr>
            <w:tcW w:w="385" w:type="pct"/>
            <w:vAlign w:val="center"/>
          </w:tcPr>
          <w:p w14:paraId="1EA3C177">
            <w:pPr>
              <w:jc w:val="center"/>
              <w:rPr>
                <w:color w:val="auto"/>
                <w:highlight w:val="none"/>
              </w:rPr>
            </w:pPr>
            <w:r>
              <w:rPr>
                <w:rFonts w:hint="eastAsia" w:ascii="宋体" w:hAnsi="宋体" w:cs="宋体"/>
                <w:color w:val="auto"/>
                <w:highlight w:val="none"/>
              </w:rPr>
              <w:t>2</w:t>
            </w:r>
          </w:p>
        </w:tc>
      </w:tr>
      <w:tr w14:paraId="33C88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70CF5ECD">
            <w:pPr>
              <w:jc w:val="center"/>
              <w:rPr>
                <w:rFonts w:hint="eastAsia" w:ascii="宋体" w:hAnsi="宋体" w:cs="宋体"/>
                <w:b/>
                <w:bCs/>
                <w:color w:val="auto"/>
                <w:highlight w:val="none"/>
              </w:rPr>
            </w:pPr>
            <w:r>
              <w:rPr>
                <w:rFonts w:hint="eastAsia" w:ascii="宋体" w:hAnsi="宋体" w:cs="宋体"/>
                <w:color w:val="auto"/>
                <w:highlight w:val="none"/>
              </w:rPr>
              <w:t>36</w:t>
            </w:r>
          </w:p>
        </w:tc>
        <w:tc>
          <w:tcPr>
            <w:tcW w:w="782" w:type="pct"/>
            <w:tcBorders>
              <w:left w:val="single" w:color="auto" w:sz="4" w:space="0"/>
              <w:right w:val="single" w:color="auto" w:sz="4" w:space="0"/>
            </w:tcBorders>
            <w:vAlign w:val="center"/>
          </w:tcPr>
          <w:p w14:paraId="5E74DDED">
            <w:pPr>
              <w:jc w:val="center"/>
              <w:rPr>
                <w:rFonts w:hint="eastAsia" w:ascii="宋体" w:hAnsi="宋体" w:cs="宋体"/>
                <w:b/>
                <w:bCs/>
                <w:color w:val="auto"/>
                <w:highlight w:val="none"/>
              </w:rPr>
            </w:pPr>
            <w:r>
              <w:rPr>
                <w:rFonts w:hint="eastAsia" w:ascii="宋体" w:hAnsi="宋体" w:cs="宋体"/>
                <w:color w:val="auto"/>
                <w:highlight w:val="none"/>
              </w:rPr>
              <w:t>条形磁铁</w:t>
            </w:r>
          </w:p>
        </w:tc>
        <w:tc>
          <w:tcPr>
            <w:tcW w:w="3079" w:type="pct"/>
            <w:tcBorders>
              <w:left w:val="single" w:color="auto" w:sz="4" w:space="0"/>
            </w:tcBorders>
            <w:vAlign w:val="center"/>
          </w:tcPr>
          <w:p w14:paraId="4472A5E3">
            <w:pPr>
              <w:rPr>
                <w:rFonts w:hint="eastAsia" w:ascii="宋体" w:hAnsi="宋体" w:cs="宋体"/>
                <w:color w:val="auto"/>
                <w:highlight w:val="none"/>
              </w:rPr>
            </w:pPr>
            <w:r>
              <w:rPr>
                <w:rFonts w:hint="eastAsia" w:ascii="宋体" w:hAnsi="宋体" w:cs="宋体"/>
                <w:color w:val="auto"/>
                <w:highlight w:val="none"/>
              </w:rPr>
              <w:t>主要配置及特征参数：</w:t>
            </w:r>
          </w:p>
          <w:p w14:paraId="7D52D8AB">
            <w:pPr>
              <w:rPr>
                <w:rFonts w:hint="eastAsia" w:ascii="宋体" w:hAnsi="宋体" w:cs="宋体"/>
                <w:color w:val="auto"/>
                <w:highlight w:val="none"/>
              </w:rPr>
            </w:pPr>
            <w:r>
              <w:rPr>
                <w:rFonts w:hint="eastAsia" w:ascii="宋体" w:hAnsi="宋体" w:cs="宋体"/>
                <w:color w:val="auto"/>
                <w:highlight w:val="none"/>
              </w:rPr>
              <w:t>条形磁铁，长度≥170mm，适合教师演示。</w:t>
            </w:r>
          </w:p>
          <w:p w14:paraId="6E4F04D7">
            <w:pPr>
              <w:rPr>
                <w:rFonts w:hint="eastAsia" w:ascii="宋体" w:hAnsi="宋体" w:cs="宋体"/>
                <w:color w:val="auto"/>
                <w:highlight w:val="none"/>
              </w:rPr>
            </w:pPr>
            <w:r>
              <w:rPr>
                <w:rFonts w:hint="eastAsia" w:ascii="宋体" w:hAnsi="宋体" w:cs="宋体"/>
                <w:color w:val="auto"/>
                <w:highlight w:val="none"/>
              </w:rPr>
              <w:t>能够完成的教学演示：</w:t>
            </w:r>
          </w:p>
          <w:p w14:paraId="68799B86">
            <w:pPr>
              <w:rPr>
                <w:rFonts w:hint="eastAsia" w:ascii="宋体" w:hAnsi="宋体" w:cs="宋体"/>
                <w:b/>
                <w:bCs/>
                <w:color w:val="auto"/>
                <w:highlight w:val="none"/>
              </w:rPr>
            </w:pPr>
            <w:r>
              <w:rPr>
                <w:rFonts w:hint="eastAsia" w:ascii="宋体" w:hAnsi="宋体" w:cs="宋体"/>
                <w:color w:val="auto"/>
                <w:highlight w:val="none"/>
              </w:rPr>
              <w:t>磁学实验；电磁学实验。</w:t>
            </w:r>
          </w:p>
        </w:tc>
        <w:tc>
          <w:tcPr>
            <w:tcW w:w="384" w:type="pct"/>
            <w:vAlign w:val="center"/>
          </w:tcPr>
          <w:p w14:paraId="1C50416B">
            <w:pPr>
              <w:jc w:val="center"/>
              <w:rPr>
                <w:color w:val="auto"/>
                <w:highlight w:val="none"/>
              </w:rPr>
            </w:pPr>
            <w:r>
              <w:rPr>
                <w:rFonts w:hint="eastAsia" w:ascii="宋体" w:hAnsi="宋体" w:cs="宋体"/>
                <w:color w:val="auto"/>
                <w:highlight w:val="none"/>
              </w:rPr>
              <w:t>对</w:t>
            </w:r>
          </w:p>
        </w:tc>
        <w:tc>
          <w:tcPr>
            <w:tcW w:w="385" w:type="pct"/>
            <w:vAlign w:val="center"/>
          </w:tcPr>
          <w:p w14:paraId="4DEA6243">
            <w:pPr>
              <w:jc w:val="center"/>
              <w:rPr>
                <w:color w:val="auto"/>
                <w:highlight w:val="none"/>
              </w:rPr>
            </w:pPr>
            <w:r>
              <w:rPr>
                <w:rFonts w:hint="eastAsia" w:ascii="宋体" w:hAnsi="宋体" w:cs="宋体"/>
                <w:color w:val="auto"/>
                <w:highlight w:val="none"/>
              </w:rPr>
              <w:t>2</w:t>
            </w:r>
          </w:p>
        </w:tc>
      </w:tr>
      <w:tr w14:paraId="61855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2FEDA1BE">
            <w:pPr>
              <w:jc w:val="center"/>
              <w:rPr>
                <w:rFonts w:hint="eastAsia" w:ascii="宋体" w:hAnsi="宋体" w:cs="宋体"/>
                <w:b/>
                <w:bCs/>
                <w:color w:val="auto"/>
                <w:highlight w:val="none"/>
              </w:rPr>
            </w:pPr>
            <w:r>
              <w:rPr>
                <w:rFonts w:hint="eastAsia" w:ascii="宋体" w:hAnsi="宋体" w:cs="宋体"/>
                <w:color w:val="auto"/>
                <w:highlight w:val="none"/>
              </w:rPr>
              <w:t>37</w:t>
            </w:r>
          </w:p>
        </w:tc>
        <w:tc>
          <w:tcPr>
            <w:tcW w:w="782" w:type="pct"/>
            <w:tcBorders>
              <w:left w:val="single" w:color="auto" w:sz="4" w:space="0"/>
              <w:right w:val="single" w:color="auto" w:sz="4" w:space="0"/>
            </w:tcBorders>
            <w:vAlign w:val="center"/>
          </w:tcPr>
          <w:p w14:paraId="4A62CA78">
            <w:pPr>
              <w:jc w:val="center"/>
              <w:rPr>
                <w:rFonts w:hint="eastAsia" w:ascii="宋体" w:hAnsi="宋体" w:cs="宋体"/>
                <w:b/>
                <w:bCs/>
                <w:color w:val="auto"/>
                <w:highlight w:val="none"/>
              </w:rPr>
            </w:pPr>
            <w:r>
              <w:rPr>
                <w:rFonts w:hint="eastAsia" w:ascii="宋体" w:hAnsi="宋体" w:cs="宋体"/>
                <w:color w:val="auto"/>
                <w:highlight w:val="none"/>
              </w:rPr>
              <w:t>演示斜面小车</w:t>
            </w:r>
          </w:p>
        </w:tc>
        <w:tc>
          <w:tcPr>
            <w:tcW w:w="3079" w:type="pct"/>
            <w:tcBorders>
              <w:left w:val="single" w:color="auto" w:sz="4" w:space="0"/>
            </w:tcBorders>
            <w:vAlign w:val="center"/>
          </w:tcPr>
          <w:p w14:paraId="4AFE2C45">
            <w:pPr>
              <w:rPr>
                <w:rFonts w:hint="eastAsia" w:ascii="宋体" w:hAnsi="宋体" w:cs="宋体"/>
                <w:b/>
                <w:bCs/>
                <w:color w:val="auto"/>
                <w:highlight w:val="none"/>
              </w:rPr>
            </w:pPr>
            <w:r>
              <w:rPr>
                <w:rFonts w:hint="eastAsia" w:ascii="宋体" w:hAnsi="宋体" w:cs="宋体"/>
                <w:color w:val="auto"/>
                <w:highlight w:val="none"/>
              </w:rPr>
              <w:t>本仪器由斜面板、底板、小车砝码桶、支撑杆摩擦块和滑轮支架组成，斜面板采用优质木材，经过脱脂干燥处理加工而成，全长1.2米，板面光滑平直，不变形，一端装有支架滑轮。角度调节器供实验时调节倾斜度，做实验时，把斜面板的一端抬起，达到所需角度后，再拧紧紧固螺钉，即可进行实验。</w:t>
            </w:r>
          </w:p>
        </w:tc>
        <w:tc>
          <w:tcPr>
            <w:tcW w:w="384" w:type="pct"/>
            <w:vAlign w:val="center"/>
          </w:tcPr>
          <w:p w14:paraId="13F52245">
            <w:pPr>
              <w:jc w:val="center"/>
              <w:rPr>
                <w:color w:val="auto"/>
                <w:highlight w:val="none"/>
              </w:rPr>
            </w:pPr>
            <w:r>
              <w:rPr>
                <w:rFonts w:hint="eastAsia" w:ascii="宋体" w:hAnsi="宋体" w:cs="宋体"/>
                <w:color w:val="auto"/>
                <w:highlight w:val="none"/>
              </w:rPr>
              <w:t>套</w:t>
            </w:r>
          </w:p>
        </w:tc>
        <w:tc>
          <w:tcPr>
            <w:tcW w:w="385" w:type="pct"/>
            <w:vAlign w:val="center"/>
          </w:tcPr>
          <w:p w14:paraId="3E306451">
            <w:pPr>
              <w:jc w:val="center"/>
              <w:rPr>
                <w:color w:val="auto"/>
                <w:highlight w:val="none"/>
              </w:rPr>
            </w:pPr>
            <w:r>
              <w:rPr>
                <w:rFonts w:hint="eastAsia" w:ascii="宋体" w:hAnsi="宋体" w:cs="宋体"/>
                <w:color w:val="auto"/>
                <w:highlight w:val="none"/>
              </w:rPr>
              <w:t>1</w:t>
            </w:r>
          </w:p>
        </w:tc>
      </w:tr>
      <w:tr w14:paraId="0F417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53EFDF56">
            <w:pPr>
              <w:jc w:val="center"/>
              <w:rPr>
                <w:rFonts w:hint="eastAsia" w:ascii="宋体" w:hAnsi="宋体" w:cs="宋体"/>
                <w:b/>
                <w:bCs/>
                <w:color w:val="auto"/>
                <w:highlight w:val="none"/>
              </w:rPr>
            </w:pPr>
            <w:r>
              <w:rPr>
                <w:rFonts w:hint="eastAsia" w:ascii="宋体" w:hAnsi="宋体" w:cs="宋体"/>
                <w:color w:val="auto"/>
                <w:highlight w:val="none"/>
              </w:rPr>
              <w:t>38</w:t>
            </w:r>
          </w:p>
        </w:tc>
        <w:tc>
          <w:tcPr>
            <w:tcW w:w="782" w:type="pct"/>
            <w:tcBorders>
              <w:left w:val="single" w:color="auto" w:sz="4" w:space="0"/>
              <w:right w:val="single" w:color="auto" w:sz="4" w:space="0"/>
            </w:tcBorders>
            <w:vAlign w:val="center"/>
          </w:tcPr>
          <w:p w14:paraId="3457D9B5">
            <w:pPr>
              <w:jc w:val="center"/>
              <w:rPr>
                <w:rFonts w:hint="eastAsia" w:ascii="宋体" w:hAnsi="宋体" w:cs="宋体"/>
                <w:b/>
                <w:bCs/>
                <w:color w:val="auto"/>
                <w:highlight w:val="none"/>
              </w:rPr>
            </w:pPr>
            <w:r>
              <w:rPr>
                <w:rFonts w:hint="eastAsia" w:ascii="宋体" w:hAnsi="宋体" w:cs="宋体"/>
                <w:color w:val="auto"/>
                <w:highlight w:val="none"/>
              </w:rPr>
              <w:t>轨道小车</w:t>
            </w:r>
          </w:p>
        </w:tc>
        <w:tc>
          <w:tcPr>
            <w:tcW w:w="3079" w:type="pct"/>
            <w:tcBorders>
              <w:left w:val="single" w:color="auto" w:sz="4" w:space="0"/>
            </w:tcBorders>
            <w:vAlign w:val="center"/>
          </w:tcPr>
          <w:p w14:paraId="2947CB13">
            <w:pPr>
              <w:rPr>
                <w:rFonts w:hint="eastAsia" w:ascii="宋体" w:hAnsi="宋体" w:cs="宋体"/>
                <w:color w:val="auto"/>
                <w:highlight w:val="none"/>
              </w:rPr>
            </w:pPr>
            <w:r>
              <w:rPr>
                <w:rFonts w:hint="eastAsia" w:ascii="宋体" w:hAnsi="宋体" w:cs="宋体"/>
                <w:color w:val="auto"/>
                <w:highlight w:val="none"/>
              </w:rPr>
              <w:t>箱体基本规格：450×320×170mm(±5mm)。</w:t>
            </w:r>
          </w:p>
          <w:p w14:paraId="424654F8">
            <w:pPr>
              <w:rPr>
                <w:rFonts w:hint="eastAsia" w:ascii="宋体" w:hAnsi="宋体" w:cs="宋体"/>
                <w:color w:val="auto"/>
                <w:highlight w:val="none"/>
              </w:rPr>
            </w:pPr>
            <w:r>
              <w:rPr>
                <w:rFonts w:hint="eastAsia" w:ascii="宋体" w:hAnsi="宋体" w:cs="宋体"/>
                <w:color w:val="auto"/>
                <w:highlight w:val="none"/>
              </w:rPr>
              <w:t>材质：优质PC材料箱盖，增强型ABS树脂材料箱体，增强型尼龙材料活动卡扣；结构：整体采用加厚增强型扣盖卡扣式设计，箱体为上下面耦合卡槽定位，内置活动式吸塑植绒内衬，嵌入式专槽定位，方便器材取用保管；叠加方式：既可叠加组合摆放，也可放置于仪器柜或货架。</w:t>
            </w:r>
          </w:p>
          <w:p w14:paraId="1F36895C">
            <w:pPr>
              <w:rPr>
                <w:rFonts w:hint="eastAsia" w:ascii="宋体" w:hAnsi="宋体" w:cs="宋体"/>
                <w:color w:val="auto"/>
                <w:highlight w:val="none"/>
              </w:rPr>
            </w:pPr>
            <w:r>
              <w:rPr>
                <w:rFonts w:hint="eastAsia" w:ascii="宋体" w:hAnsi="宋体" w:cs="宋体"/>
                <w:color w:val="auto"/>
                <w:highlight w:val="none"/>
              </w:rPr>
              <w:t>主要配置及特征参数：</w:t>
            </w:r>
          </w:p>
          <w:p w14:paraId="0A404B0B">
            <w:pPr>
              <w:rPr>
                <w:rFonts w:hint="eastAsia" w:ascii="宋体" w:hAnsi="宋体" w:cs="宋体"/>
                <w:color w:val="auto"/>
                <w:highlight w:val="none"/>
              </w:rPr>
            </w:pPr>
            <w:r>
              <w:rPr>
                <w:rFonts w:hint="eastAsia" w:ascii="宋体" w:hAnsi="宋体" w:cs="宋体"/>
                <w:color w:val="auto"/>
                <w:highlight w:val="none"/>
              </w:rPr>
              <w:t>运动学导轨组件、小车、橘色小车、铸铝底座支撑杆组件、导轨升降板、导轨支架、小车释放器组件、打点计时器托板、导轨前挡板组件、滑轮架组件、光电门支架、挡光杆、单片L型挡光板、双片L型挡光板、磁性碰撞片、弹射杆、橡皮筋、T型水平仪、铅封螺丝、S形小钩、尼龙线、小桶、砝码、手紧螺丝M6×10、手紧螺丝M6×25、手紧螺丝M4×30、透明圆头手紧螺丝M4×10、小十字起子等。</w:t>
            </w:r>
          </w:p>
          <w:p w14:paraId="5F8B9672">
            <w:pPr>
              <w:rPr>
                <w:rFonts w:hint="eastAsia" w:ascii="宋体" w:hAnsi="宋体" w:cs="宋体"/>
                <w:color w:val="auto"/>
                <w:highlight w:val="none"/>
              </w:rPr>
            </w:pPr>
            <w:r>
              <w:rPr>
                <w:rFonts w:hint="eastAsia" w:ascii="宋体" w:hAnsi="宋体" w:cs="宋体"/>
                <w:color w:val="auto"/>
                <w:highlight w:val="none"/>
              </w:rPr>
              <w:t>技术指标：</w:t>
            </w:r>
          </w:p>
          <w:p w14:paraId="09178F20">
            <w:pPr>
              <w:rPr>
                <w:rFonts w:hint="eastAsia" w:ascii="宋体" w:hAnsi="宋体" w:cs="宋体"/>
                <w:color w:val="auto"/>
                <w:highlight w:val="none"/>
              </w:rPr>
            </w:pPr>
            <w:r>
              <w:rPr>
                <w:rFonts w:hint="eastAsia" w:ascii="宋体" w:hAnsi="宋体" w:cs="宋体"/>
                <w:color w:val="auto"/>
                <w:highlight w:val="none"/>
              </w:rPr>
              <w:t>小车：</w:t>
            </w:r>
          </w:p>
          <w:p w14:paraId="67DA6DD4">
            <w:pPr>
              <w:rPr>
                <w:rFonts w:hint="eastAsia" w:ascii="宋体" w:hAnsi="宋体" w:cs="宋体"/>
                <w:color w:val="auto"/>
                <w:highlight w:val="none"/>
              </w:rPr>
            </w:pPr>
            <w:r>
              <w:rPr>
                <w:rFonts w:hint="eastAsia" w:ascii="宋体" w:hAnsi="宋体" w:cs="宋体"/>
                <w:color w:val="auto"/>
                <w:highlight w:val="none"/>
              </w:rPr>
              <w:t>▲基本规格：基本尺寸143×75×46mm，车尾自带纸带夹，上部M4固定螺丝孔2个，槽码槽5个，槽码槽扣盖1件，前端M4牵引固定螺丝孔1个，包胶车轮4个；材质：尼龙车身，PC槽码及槽扣盖，尼龙+TPU车轮；工艺：塑料注塑成型，包胶以及精密机加工；</w:t>
            </w:r>
          </w:p>
          <w:p w14:paraId="41B4487D">
            <w:pPr>
              <w:rPr>
                <w:rFonts w:hint="eastAsia" w:ascii="宋体" w:hAnsi="宋体" w:cs="宋体"/>
                <w:color w:val="auto"/>
                <w:highlight w:val="none"/>
              </w:rPr>
            </w:pPr>
            <w:r>
              <w:rPr>
                <w:rFonts w:hint="eastAsia" w:ascii="宋体" w:hAnsi="宋体" w:cs="宋体"/>
                <w:color w:val="auto"/>
                <w:highlight w:val="none"/>
              </w:rPr>
              <w:t>功能描述：①兼容传统打点计时器模式和数字化实验模式；②车尾自带的纸带夹，可夹住纸带前端，通过小车的运动牵动纸带进行运动学实验；③增强型ABS工程塑料材质和优化设计的结构确保小车具有强固的车体；④车体上内置5个横向槽码槽，槽码槽扣盖采用墨色半透明PC材质，扣紧扣盖保护槽码不因意外跌落散乱；⑤小车车轮采用高档TPU材质具有高硬度高弹性的特质，与精加工车轴与精密微型轴承的组装配合，能够使小车整体运行更加平稳安静。</w:t>
            </w:r>
          </w:p>
          <w:p w14:paraId="3C4DC185">
            <w:pPr>
              <w:rPr>
                <w:rFonts w:hint="eastAsia" w:ascii="宋体" w:hAnsi="宋体" w:cs="宋体"/>
                <w:color w:val="auto"/>
                <w:highlight w:val="none"/>
              </w:rPr>
            </w:pPr>
            <w:r>
              <w:rPr>
                <w:rFonts w:hint="eastAsia" w:ascii="宋体" w:hAnsi="宋体" w:cs="宋体"/>
                <w:color w:val="auto"/>
                <w:highlight w:val="none"/>
              </w:rPr>
              <w:t>运动学导轨组件：</w:t>
            </w:r>
          </w:p>
          <w:p w14:paraId="0E05EA8E">
            <w:pPr>
              <w:rPr>
                <w:rFonts w:hint="eastAsia" w:ascii="宋体" w:hAnsi="宋体" w:cs="宋体"/>
                <w:color w:val="auto"/>
                <w:highlight w:val="none"/>
              </w:rPr>
            </w:pPr>
            <w:r>
              <w:rPr>
                <w:rFonts w:hint="eastAsia" w:ascii="宋体" w:hAnsi="宋体" w:cs="宋体"/>
                <w:color w:val="auto"/>
                <w:highlight w:val="none"/>
              </w:rPr>
              <w:t>产品组成：导轨端盖、导轨、M4不锈钢圆头螺丝、T型不锈钢M6螺母。</w:t>
            </w:r>
          </w:p>
          <w:p w14:paraId="1403F7E5">
            <w:pPr>
              <w:rPr>
                <w:rFonts w:hint="eastAsia" w:ascii="宋体" w:hAnsi="宋体" w:cs="宋体"/>
                <w:color w:val="auto"/>
                <w:highlight w:val="none"/>
              </w:rPr>
            </w:pPr>
            <w:r>
              <w:rPr>
                <w:rFonts w:hint="eastAsia" w:ascii="宋体" w:hAnsi="宋体" w:cs="宋体"/>
                <w:color w:val="auto"/>
                <w:highlight w:val="none"/>
              </w:rPr>
              <w:t>▲导轨基本尺寸：1200×80×25mm，左右底部三面滑槽5.5×10.3mm，长度公差≤1mm，端盖80×25.4×5.5mm，滑槽内置专用螺母M6；材质：铝型材导轨，尼龙端盖，不锈钢螺母；工艺：拉模铝型材成型，细喷砂黑色阳极化处理，端盖塑料注塑成型；功能描述：为动力学系统提供运动平台，可完成教学实验中对动力学实验的所有实验需求以及拓展需要！</w:t>
            </w:r>
          </w:p>
          <w:p w14:paraId="7749C968">
            <w:pPr>
              <w:rPr>
                <w:rFonts w:hint="eastAsia" w:ascii="宋体" w:hAnsi="宋体" w:cs="宋体"/>
                <w:color w:val="auto"/>
                <w:highlight w:val="none"/>
              </w:rPr>
            </w:pPr>
            <w:r>
              <w:rPr>
                <w:rFonts w:hint="eastAsia" w:ascii="宋体" w:hAnsi="宋体" w:cs="宋体"/>
                <w:color w:val="auto"/>
                <w:highlight w:val="none"/>
              </w:rPr>
              <w:t>铸铝底座支撑杆组件：</w:t>
            </w:r>
          </w:p>
          <w:p w14:paraId="64C083FB">
            <w:pPr>
              <w:rPr>
                <w:rFonts w:hint="eastAsia" w:ascii="宋体" w:hAnsi="宋体" w:cs="宋体"/>
                <w:color w:val="auto"/>
                <w:highlight w:val="none"/>
              </w:rPr>
            </w:pPr>
            <w:r>
              <w:rPr>
                <w:rFonts w:hint="eastAsia" w:ascii="宋体" w:hAnsi="宋体" w:cs="宋体"/>
                <w:color w:val="auto"/>
                <w:highlight w:val="none"/>
              </w:rPr>
              <w:t>产品组成：支撑杆端盖、铝型材支撑杆、支撑杆滑套、M6 T型螺母、铸铝底座、M6圆头内六角螺丝、M6手紧螺丝。</w:t>
            </w:r>
          </w:p>
          <w:p w14:paraId="48940EEC">
            <w:pPr>
              <w:rPr>
                <w:rFonts w:hint="eastAsia" w:ascii="宋体" w:hAnsi="宋体" w:cs="宋体"/>
                <w:color w:val="auto"/>
                <w:highlight w:val="none"/>
              </w:rPr>
            </w:pPr>
            <w:r>
              <w:rPr>
                <w:rFonts w:hint="eastAsia" w:ascii="宋体" w:hAnsi="宋体" w:cs="宋体"/>
                <w:color w:val="auto"/>
                <w:highlight w:val="none"/>
              </w:rPr>
              <w:t>基本规格：总高228mm，铝型材杆20×20×200mm，支撑杆滑套25×25×40mm，铸铝底座100×80×28mm；材质：铝合金，尼龙等；工艺：塑料注塑成型，精密压铸，电泳发黑处理；功能描述：连接导轨，调节导轨斜面角度。</w:t>
            </w:r>
          </w:p>
          <w:p w14:paraId="730D4C4C">
            <w:pPr>
              <w:rPr>
                <w:rFonts w:hint="eastAsia" w:ascii="宋体" w:hAnsi="宋体" w:cs="宋体"/>
                <w:color w:val="auto"/>
                <w:highlight w:val="none"/>
              </w:rPr>
            </w:pPr>
            <w:r>
              <w:rPr>
                <w:rFonts w:hint="eastAsia" w:ascii="宋体" w:hAnsi="宋体" w:cs="宋体"/>
                <w:color w:val="auto"/>
                <w:highlight w:val="none"/>
              </w:rPr>
              <w:t>铸铝底座：</w:t>
            </w:r>
          </w:p>
          <w:p w14:paraId="6034F445">
            <w:pPr>
              <w:rPr>
                <w:rFonts w:hint="eastAsia" w:ascii="宋体" w:hAnsi="宋体" w:cs="宋体"/>
                <w:color w:val="auto"/>
                <w:highlight w:val="none"/>
              </w:rPr>
            </w:pPr>
            <w:r>
              <w:rPr>
                <w:rFonts w:hint="eastAsia" w:ascii="宋体" w:hAnsi="宋体" w:cs="宋体"/>
                <w:color w:val="auto"/>
                <w:highlight w:val="none"/>
              </w:rPr>
              <w:t>▲基本规格：100×80×28mm；材质：铝合金；工艺：精密压铸，电泳发黑处理；功能描述：可作为独立的支架底座，连接导轨，调节导轨斜面角度，也可卡坐到X型支架的支撑杆上，拓展为实验器底座使用。</w:t>
            </w:r>
          </w:p>
          <w:p w14:paraId="6A8BF439">
            <w:pPr>
              <w:rPr>
                <w:rFonts w:hint="eastAsia" w:ascii="宋体" w:hAnsi="宋体" w:cs="宋体"/>
                <w:color w:val="auto"/>
                <w:highlight w:val="none"/>
              </w:rPr>
            </w:pPr>
            <w:r>
              <w:rPr>
                <w:rFonts w:hint="eastAsia" w:ascii="宋体" w:hAnsi="宋体" w:cs="宋体"/>
                <w:color w:val="auto"/>
                <w:highlight w:val="none"/>
              </w:rPr>
              <w:t>导轨前挡板组件：</w:t>
            </w:r>
          </w:p>
          <w:p w14:paraId="162523E6">
            <w:pPr>
              <w:rPr>
                <w:rFonts w:hint="eastAsia" w:ascii="宋体" w:hAnsi="宋体" w:cs="宋体"/>
                <w:color w:val="auto"/>
                <w:highlight w:val="none"/>
              </w:rPr>
            </w:pPr>
            <w:r>
              <w:rPr>
                <w:rFonts w:hint="eastAsia" w:ascii="宋体" w:hAnsi="宋体" w:cs="宋体"/>
                <w:color w:val="auto"/>
                <w:highlight w:val="none"/>
              </w:rPr>
              <w:t>产品组成：前挡板、缓冲弹片、不锈钢带介子螺丝、橡胶自粘缓冲垫。</w:t>
            </w:r>
          </w:p>
          <w:p w14:paraId="29DEE554">
            <w:pPr>
              <w:rPr>
                <w:rFonts w:hint="eastAsia" w:ascii="宋体" w:hAnsi="宋体" w:cs="宋体"/>
                <w:color w:val="auto"/>
                <w:highlight w:val="none"/>
              </w:rPr>
            </w:pPr>
            <w:r>
              <w:rPr>
                <w:rFonts w:hint="eastAsia" w:ascii="宋体" w:hAnsi="宋体" w:cs="宋体"/>
                <w:color w:val="auto"/>
                <w:highlight w:val="none"/>
              </w:rPr>
              <w:t>基本尺寸：83×47×19mm；材质：尼龙、锰钢、橡胶；工艺：塑料注塑成型，冲压成型、电泳发黑处理；功能描述：安装到导轨前端，用来抱紧小车起缓冲作用，中间凹槽内置扩展螺丝座，背面设计有燕尾式滑轨，方便与滑轮架配合安装。</w:t>
            </w:r>
          </w:p>
          <w:p w14:paraId="671098E3">
            <w:pPr>
              <w:rPr>
                <w:rFonts w:hint="eastAsia" w:ascii="宋体" w:hAnsi="宋体" w:cs="宋体"/>
                <w:color w:val="auto"/>
                <w:highlight w:val="none"/>
              </w:rPr>
            </w:pPr>
            <w:r>
              <w:rPr>
                <w:rFonts w:hint="eastAsia" w:ascii="宋体" w:hAnsi="宋体" w:cs="宋体"/>
                <w:color w:val="auto"/>
                <w:highlight w:val="none"/>
              </w:rPr>
              <w:t>磁性碰撞片：</w:t>
            </w:r>
          </w:p>
          <w:p w14:paraId="02C62059">
            <w:pPr>
              <w:rPr>
                <w:rFonts w:hint="eastAsia" w:ascii="宋体" w:hAnsi="宋体" w:cs="宋体"/>
                <w:color w:val="auto"/>
                <w:highlight w:val="none"/>
              </w:rPr>
            </w:pPr>
            <w:r>
              <w:rPr>
                <w:rFonts w:hint="eastAsia" w:ascii="宋体" w:hAnsi="宋体" w:cs="宋体"/>
                <w:color w:val="auto"/>
                <w:highlight w:val="none"/>
              </w:rPr>
              <w:t>基本尺寸：50×21×6mm；材质：尼龙、钕铁硼；工艺：超声波焊接处理；功能描述：安装到小车前端，用于碰撞实验。</w:t>
            </w:r>
          </w:p>
          <w:p w14:paraId="05D3AEAF">
            <w:pPr>
              <w:rPr>
                <w:rFonts w:hint="eastAsia" w:ascii="宋体" w:hAnsi="宋体" w:cs="宋体"/>
                <w:color w:val="auto"/>
                <w:highlight w:val="none"/>
              </w:rPr>
            </w:pPr>
            <w:r>
              <w:rPr>
                <w:rFonts w:hint="eastAsia" w:ascii="宋体" w:hAnsi="宋体" w:cs="宋体"/>
                <w:color w:val="auto"/>
                <w:highlight w:val="none"/>
              </w:rPr>
              <w:t>挡光板：</w:t>
            </w:r>
          </w:p>
          <w:p w14:paraId="24E11378">
            <w:pPr>
              <w:rPr>
                <w:rFonts w:hint="eastAsia" w:ascii="宋体" w:hAnsi="宋体" w:cs="宋体"/>
                <w:color w:val="auto"/>
                <w:highlight w:val="none"/>
              </w:rPr>
            </w:pPr>
            <w:r>
              <w:rPr>
                <w:rFonts w:hint="eastAsia" w:ascii="宋体" w:hAnsi="宋体" w:cs="宋体"/>
                <w:color w:val="auto"/>
                <w:highlight w:val="none"/>
              </w:rPr>
              <w:t>规格：单片L型挡光板，双片L型挡光板，板厚≥2mm；材质：钢；工艺：钣金折弯、电泳发黑；功能描述：固定到小车上，配合光电门测速。</w:t>
            </w:r>
          </w:p>
          <w:p w14:paraId="69B4AD49">
            <w:pPr>
              <w:rPr>
                <w:rFonts w:hint="eastAsia" w:ascii="宋体" w:hAnsi="宋体" w:cs="宋体"/>
                <w:b/>
                <w:bCs/>
                <w:color w:val="auto"/>
                <w:highlight w:val="none"/>
              </w:rPr>
            </w:pPr>
            <w:r>
              <w:rPr>
                <w:rFonts w:hint="eastAsia" w:ascii="宋体" w:hAnsi="宋体" w:cs="宋体"/>
                <w:b/>
                <w:bCs/>
                <w:color w:val="auto"/>
                <w:highlight w:val="none"/>
              </w:rPr>
              <w:t>提供第三方检测机构出具的产品检测报告的扫描件。</w:t>
            </w:r>
          </w:p>
          <w:p w14:paraId="5368BE25">
            <w:pPr>
              <w:rPr>
                <w:rFonts w:hint="eastAsia" w:ascii="宋体" w:hAnsi="宋体" w:cs="宋体"/>
                <w:color w:val="auto"/>
                <w:highlight w:val="none"/>
              </w:rPr>
            </w:pPr>
            <w:r>
              <w:rPr>
                <w:rFonts w:hint="eastAsia" w:ascii="宋体" w:hAnsi="宋体" w:cs="宋体"/>
                <w:color w:val="auto"/>
                <w:highlight w:val="none"/>
              </w:rPr>
              <w:t>能够完成的探究活动或实验课题：</w:t>
            </w:r>
          </w:p>
          <w:p w14:paraId="745373E5">
            <w:pPr>
              <w:rPr>
                <w:rFonts w:hint="eastAsia" w:ascii="宋体" w:hAnsi="宋体" w:cs="宋体"/>
                <w:b/>
                <w:bCs/>
                <w:color w:val="auto"/>
                <w:highlight w:val="none"/>
              </w:rPr>
            </w:pPr>
            <w:r>
              <w:rPr>
                <w:rFonts w:hint="eastAsia" w:ascii="宋体" w:hAnsi="宋体" w:cs="宋体"/>
                <w:color w:val="auto"/>
                <w:highlight w:val="none"/>
              </w:rPr>
              <w:t>运动学专属器材箱，需搭配运动与力实验箱来完成运动学对应实验。</w:t>
            </w:r>
          </w:p>
        </w:tc>
        <w:tc>
          <w:tcPr>
            <w:tcW w:w="384" w:type="pct"/>
            <w:vAlign w:val="center"/>
          </w:tcPr>
          <w:p w14:paraId="40920BF5">
            <w:pPr>
              <w:jc w:val="center"/>
              <w:rPr>
                <w:color w:val="auto"/>
                <w:highlight w:val="none"/>
              </w:rPr>
            </w:pPr>
            <w:r>
              <w:rPr>
                <w:rFonts w:hint="eastAsia" w:ascii="宋体" w:hAnsi="宋体" w:cs="宋体"/>
                <w:color w:val="auto"/>
                <w:highlight w:val="none"/>
              </w:rPr>
              <w:t>套</w:t>
            </w:r>
          </w:p>
        </w:tc>
        <w:tc>
          <w:tcPr>
            <w:tcW w:w="385" w:type="pct"/>
            <w:vAlign w:val="center"/>
          </w:tcPr>
          <w:p w14:paraId="3DE181E8">
            <w:pPr>
              <w:jc w:val="center"/>
              <w:rPr>
                <w:color w:val="auto"/>
                <w:highlight w:val="none"/>
              </w:rPr>
            </w:pPr>
            <w:r>
              <w:rPr>
                <w:rFonts w:hint="eastAsia" w:ascii="宋体" w:hAnsi="宋体" w:cs="宋体"/>
                <w:color w:val="auto"/>
                <w:highlight w:val="none"/>
              </w:rPr>
              <w:t>1</w:t>
            </w:r>
          </w:p>
        </w:tc>
      </w:tr>
      <w:tr w14:paraId="0370F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370" w:type="pct"/>
            <w:tcBorders>
              <w:right w:val="single" w:color="auto" w:sz="4" w:space="0"/>
            </w:tcBorders>
            <w:vAlign w:val="center"/>
          </w:tcPr>
          <w:p w14:paraId="5E2005CD">
            <w:pPr>
              <w:jc w:val="center"/>
              <w:rPr>
                <w:rFonts w:hint="eastAsia" w:ascii="宋体" w:hAnsi="宋体" w:cs="宋体"/>
                <w:color w:val="auto"/>
                <w:highlight w:val="none"/>
              </w:rPr>
            </w:pPr>
          </w:p>
        </w:tc>
        <w:tc>
          <w:tcPr>
            <w:tcW w:w="782" w:type="pct"/>
            <w:tcBorders>
              <w:left w:val="single" w:color="auto" w:sz="4" w:space="0"/>
              <w:right w:val="single" w:color="auto" w:sz="4" w:space="0"/>
            </w:tcBorders>
            <w:vAlign w:val="center"/>
          </w:tcPr>
          <w:p w14:paraId="0D8B851C">
            <w:pPr>
              <w:jc w:val="center"/>
              <w:rPr>
                <w:rFonts w:hint="eastAsia" w:ascii="宋体" w:hAnsi="宋体" w:cs="宋体"/>
                <w:color w:val="auto"/>
                <w:highlight w:val="none"/>
              </w:rPr>
            </w:pPr>
          </w:p>
        </w:tc>
        <w:tc>
          <w:tcPr>
            <w:tcW w:w="3079" w:type="pct"/>
            <w:tcBorders>
              <w:left w:val="single" w:color="auto" w:sz="4" w:space="0"/>
            </w:tcBorders>
            <w:vAlign w:val="center"/>
          </w:tcPr>
          <w:p w14:paraId="3C7E2B69">
            <w:pPr>
              <w:jc w:val="center"/>
              <w:rPr>
                <w:rFonts w:hint="eastAsia" w:ascii="宋体" w:hAnsi="宋体" w:cs="宋体"/>
                <w:color w:val="auto"/>
                <w:highlight w:val="none"/>
              </w:rPr>
            </w:pPr>
            <w:r>
              <w:rPr>
                <w:rFonts w:hint="eastAsia" w:ascii="宋体" w:hAnsi="宋体" w:cs="宋体"/>
                <w:b/>
                <w:bCs/>
                <w:color w:val="auto"/>
                <w:highlight w:val="none"/>
              </w:rPr>
              <w:t>高中化学新课标实验仪器</w:t>
            </w:r>
          </w:p>
        </w:tc>
        <w:tc>
          <w:tcPr>
            <w:tcW w:w="384" w:type="pct"/>
            <w:vAlign w:val="center"/>
          </w:tcPr>
          <w:p w14:paraId="4F542360">
            <w:pPr>
              <w:jc w:val="center"/>
              <w:rPr>
                <w:rFonts w:hint="eastAsia" w:ascii="宋体" w:hAnsi="宋体" w:cs="宋体"/>
                <w:color w:val="auto"/>
                <w:highlight w:val="none"/>
              </w:rPr>
            </w:pPr>
          </w:p>
        </w:tc>
        <w:tc>
          <w:tcPr>
            <w:tcW w:w="385" w:type="pct"/>
            <w:vAlign w:val="center"/>
          </w:tcPr>
          <w:p w14:paraId="69DDF79C">
            <w:pPr>
              <w:jc w:val="center"/>
              <w:rPr>
                <w:rFonts w:hint="eastAsia" w:ascii="宋体" w:hAnsi="宋体" w:cs="宋体"/>
                <w:color w:val="auto"/>
                <w:highlight w:val="none"/>
              </w:rPr>
            </w:pPr>
          </w:p>
        </w:tc>
      </w:tr>
      <w:tr w14:paraId="5F502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70" w:type="pct"/>
            <w:tcBorders>
              <w:right w:val="single" w:color="auto" w:sz="4" w:space="0"/>
            </w:tcBorders>
            <w:vAlign w:val="center"/>
          </w:tcPr>
          <w:p w14:paraId="20DD84E0">
            <w:pPr>
              <w:jc w:val="center"/>
              <w:rPr>
                <w:rFonts w:hint="eastAsia" w:ascii="宋体" w:hAnsi="宋体" w:cs="宋体"/>
                <w:b/>
                <w:bCs/>
                <w:color w:val="auto"/>
                <w:highlight w:val="none"/>
              </w:rPr>
            </w:pPr>
            <w:r>
              <w:rPr>
                <w:rFonts w:hint="eastAsia" w:ascii="宋体" w:hAnsi="宋体" w:cs="宋体"/>
                <w:b/>
                <w:bCs/>
                <w:color w:val="auto"/>
                <w:highlight w:val="none"/>
              </w:rPr>
              <w:t>序号</w:t>
            </w:r>
          </w:p>
        </w:tc>
        <w:tc>
          <w:tcPr>
            <w:tcW w:w="782" w:type="pct"/>
            <w:tcBorders>
              <w:left w:val="single" w:color="auto" w:sz="4" w:space="0"/>
              <w:right w:val="single" w:color="auto" w:sz="4" w:space="0"/>
            </w:tcBorders>
            <w:vAlign w:val="center"/>
          </w:tcPr>
          <w:p w14:paraId="6D3F40B7">
            <w:pPr>
              <w:jc w:val="center"/>
              <w:rPr>
                <w:rFonts w:hint="eastAsia" w:ascii="宋体" w:hAnsi="宋体" w:cs="宋体"/>
                <w:b/>
                <w:bCs/>
                <w:color w:val="auto"/>
                <w:highlight w:val="none"/>
              </w:rPr>
            </w:pPr>
            <w:r>
              <w:rPr>
                <w:rFonts w:hint="eastAsia" w:ascii="宋体" w:hAnsi="宋体" w:cs="宋体"/>
                <w:b/>
                <w:bCs/>
                <w:color w:val="auto"/>
                <w:highlight w:val="none"/>
              </w:rPr>
              <w:t>名称</w:t>
            </w:r>
          </w:p>
        </w:tc>
        <w:tc>
          <w:tcPr>
            <w:tcW w:w="3079" w:type="pct"/>
            <w:tcBorders>
              <w:left w:val="single" w:color="auto" w:sz="4" w:space="0"/>
            </w:tcBorders>
            <w:vAlign w:val="center"/>
          </w:tcPr>
          <w:p w14:paraId="2EA2A74A">
            <w:pPr>
              <w:jc w:val="center"/>
              <w:rPr>
                <w:rFonts w:hint="eastAsia" w:ascii="宋体" w:hAnsi="宋体" w:cs="宋体"/>
                <w:b/>
                <w:bCs/>
                <w:color w:val="auto"/>
                <w:highlight w:val="none"/>
              </w:rPr>
            </w:pPr>
            <w:r>
              <w:rPr>
                <w:rFonts w:hint="eastAsia" w:ascii="宋体" w:hAnsi="宋体" w:cs="宋体"/>
                <w:b/>
                <w:bCs/>
                <w:color w:val="auto"/>
                <w:highlight w:val="none"/>
              </w:rPr>
              <w:t>一般性能及技术参数要求</w:t>
            </w:r>
          </w:p>
        </w:tc>
        <w:tc>
          <w:tcPr>
            <w:tcW w:w="384" w:type="pct"/>
            <w:vAlign w:val="center"/>
          </w:tcPr>
          <w:p w14:paraId="30F890A2">
            <w:pPr>
              <w:jc w:val="center"/>
              <w:rPr>
                <w:color w:val="auto"/>
                <w:highlight w:val="none"/>
              </w:rPr>
            </w:pPr>
            <w:r>
              <w:rPr>
                <w:rFonts w:hint="eastAsia" w:ascii="宋体" w:hAnsi="宋体" w:cs="宋体"/>
                <w:b/>
                <w:bCs/>
                <w:color w:val="auto"/>
                <w:highlight w:val="none"/>
              </w:rPr>
              <w:t>单位</w:t>
            </w:r>
          </w:p>
        </w:tc>
        <w:tc>
          <w:tcPr>
            <w:tcW w:w="385" w:type="pct"/>
            <w:vAlign w:val="center"/>
          </w:tcPr>
          <w:p w14:paraId="4AD16D05">
            <w:pPr>
              <w:jc w:val="center"/>
              <w:rPr>
                <w:color w:val="auto"/>
                <w:highlight w:val="none"/>
              </w:rPr>
            </w:pPr>
            <w:r>
              <w:rPr>
                <w:rFonts w:hint="eastAsia" w:ascii="宋体" w:hAnsi="宋体" w:cs="宋体"/>
                <w:b/>
                <w:bCs/>
                <w:color w:val="auto"/>
                <w:highlight w:val="none"/>
              </w:rPr>
              <w:t>数量</w:t>
            </w:r>
          </w:p>
        </w:tc>
      </w:tr>
      <w:tr w14:paraId="06D5F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220D7035">
            <w:pPr>
              <w:jc w:val="center"/>
              <w:rPr>
                <w:rFonts w:hint="eastAsia" w:ascii="宋体" w:hAnsi="宋体" w:cs="宋体"/>
                <w:b/>
                <w:bCs/>
                <w:color w:val="auto"/>
                <w:highlight w:val="none"/>
              </w:rPr>
            </w:pPr>
            <w:r>
              <w:rPr>
                <w:rFonts w:hint="eastAsia" w:ascii="宋体" w:hAnsi="宋体" w:cs="宋体"/>
                <w:color w:val="auto"/>
                <w:highlight w:val="none"/>
              </w:rPr>
              <w:t>1</w:t>
            </w:r>
          </w:p>
        </w:tc>
        <w:tc>
          <w:tcPr>
            <w:tcW w:w="782" w:type="pct"/>
            <w:tcBorders>
              <w:left w:val="single" w:color="auto" w:sz="4" w:space="0"/>
              <w:right w:val="single" w:color="auto" w:sz="4" w:space="0"/>
            </w:tcBorders>
            <w:vAlign w:val="center"/>
          </w:tcPr>
          <w:p w14:paraId="78965D1E">
            <w:pPr>
              <w:jc w:val="center"/>
              <w:rPr>
                <w:rFonts w:hint="eastAsia" w:ascii="宋体" w:hAnsi="宋体" w:cs="宋体"/>
                <w:b/>
                <w:bCs/>
                <w:color w:val="auto"/>
                <w:highlight w:val="none"/>
              </w:rPr>
            </w:pPr>
            <w:r>
              <w:rPr>
                <w:rFonts w:hint="eastAsia" w:ascii="宋体" w:hAnsi="宋体" w:cs="宋体"/>
                <w:color w:val="auto"/>
                <w:highlight w:val="none"/>
              </w:rPr>
              <w:t>全钢通风橱</w:t>
            </w:r>
          </w:p>
        </w:tc>
        <w:tc>
          <w:tcPr>
            <w:tcW w:w="3079" w:type="pct"/>
            <w:tcBorders>
              <w:left w:val="single" w:color="auto" w:sz="4" w:space="0"/>
            </w:tcBorders>
            <w:vAlign w:val="center"/>
          </w:tcPr>
          <w:p w14:paraId="3B7F4D1F">
            <w:pPr>
              <w:rPr>
                <w:rFonts w:hint="eastAsia" w:ascii="宋体" w:hAnsi="宋体" w:cs="宋体"/>
                <w:color w:val="auto"/>
                <w:highlight w:val="none"/>
              </w:rPr>
            </w:pPr>
            <w:r>
              <w:rPr>
                <w:rFonts w:hint="eastAsia" w:ascii="宋体" w:hAnsi="宋体" w:cs="宋体"/>
                <w:color w:val="auto"/>
                <w:highlight w:val="none"/>
              </w:rPr>
              <w:t>基本规格尺寸：≥D1500×W800×H2350mm</w:t>
            </w:r>
          </w:p>
          <w:p w14:paraId="1DBE769B">
            <w:pPr>
              <w:rPr>
                <w:rFonts w:hint="eastAsia" w:ascii="宋体" w:hAnsi="宋体" w:cs="宋体"/>
                <w:color w:val="auto"/>
                <w:highlight w:val="none"/>
              </w:rPr>
            </w:pPr>
            <w:r>
              <w:rPr>
                <w:rFonts w:hint="eastAsia" w:ascii="宋体" w:hAnsi="宋体" w:cs="宋体"/>
                <w:color w:val="auto"/>
                <w:highlight w:val="none"/>
              </w:rPr>
              <w:t>电压：AC 220±20V，50HZ ；功率：≤1000W(包括插座提供的800W) ；</w:t>
            </w:r>
          </w:p>
          <w:p w14:paraId="2ED8D1B4">
            <w:pPr>
              <w:rPr>
                <w:rFonts w:hint="eastAsia" w:ascii="宋体" w:hAnsi="宋体" w:cs="宋体"/>
                <w:b/>
                <w:bCs/>
                <w:color w:val="auto"/>
                <w:highlight w:val="none"/>
              </w:rPr>
            </w:pPr>
            <w:r>
              <w:rPr>
                <w:rFonts w:hint="eastAsia" w:ascii="宋体" w:hAnsi="宋体" w:cs="宋体"/>
                <w:color w:val="auto"/>
                <w:highlight w:val="none"/>
              </w:rPr>
              <w:t xml:space="preserve">吸入口风速：≥0.50 m/s ；排风量：1400m3 /h通风柜外壳：≥1.2mm冷轧钢板经防锈处理，静电喷涂；通风柜操作区：操作区抗倍特板，具有较高防酸碱性；台面板黑色理化板能够拆卸便于清理。通风柜视窗：≥5mm厚钢化玻璃视窗。控制面板采用触摸式开关，使机器外形美观，易于操作。电控系统：具有防过载、防触电等功能。性能稳定，使用寿命长。插座：采用实验室专用安全产品，材料为PC材料防火阻燃。配件：照明灯具T8 21W×1，内置镇流器，紫外灯，外置整流器 ，五孔插座2个，RVV电源线，单联化验水咀（1个），PP小水槽（1个），黑色实心理化板材料的台面板。 </w:t>
            </w:r>
          </w:p>
        </w:tc>
        <w:tc>
          <w:tcPr>
            <w:tcW w:w="384" w:type="pct"/>
            <w:vAlign w:val="center"/>
          </w:tcPr>
          <w:p w14:paraId="4EF1C579">
            <w:pPr>
              <w:jc w:val="center"/>
              <w:rPr>
                <w:color w:val="auto"/>
                <w:highlight w:val="none"/>
              </w:rPr>
            </w:pPr>
            <w:r>
              <w:rPr>
                <w:rFonts w:hint="eastAsia" w:ascii="宋体" w:hAnsi="宋体" w:cs="宋体"/>
                <w:color w:val="auto"/>
                <w:highlight w:val="none"/>
              </w:rPr>
              <w:t>个</w:t>
            </w:r>
          </w:p>
        </w:tc>
        <w:tc>
          <w:tcPr>
            <w:tcW w:w="385" w:type="pct"/>
            <w:vAlign w:val="center"/>
          </w:tcPr>
          <w:p w14:paraId="2C31A00E">
            <w:pPr>
              <w:jc w:val="center"/>
              <w:rPr>
                <w:color w:val="auto"/>
                <w:highlight w:val="none"/>
              </w:rPr>
            </w:pPr>
            <w:r>
              <w:rPr>
                <w:rFonts w:hint="eastAsia" w:ascii="宋体" w:hAnsi="宋体" w:cs="宋体"/>
                <w:color w:val="auto"/>
                <w:highlight w:val="none"/>
              </w:rPr>
              <w:t>1</w:t>
            </w:r>
          </w:p>
        </w:tc>
      </w:tr>
      <w:tr w14:paraId="430D8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5A9302F2">
            <w:pPr>
              <w:jc w:val="center"/>
              <w:rPr>
                <w:rFonts w:hint="eastAsia" w:ascii="宋体" w:hAnsi="宋体" w:cs="宋体"/>
                <w:b/>
                <w:bCs/>
                <w:color w:val="auto"/>
                <w:highlight w:val="none"/>
              </w:rPr>
            </w:pPr>
            <w:r>
              <w:rPr>
                <w:rFonts w:hint="eastAsia" w:ascii="宋体" w:hAnsi="宋体" w:cs="宋体"/>
                <w:color w:val="auto"/>
                <w:highlight w:val="none"/>
              </w:rPr>
              <w:t>2</w:t>
            </w:r>
          </w:p>
        </w:tc>
        <w:tc>
          <w:tcPr>
            <w:tcW w:w="782" w:type="pct"/>
            <w:tcBorders>
              <w:left w:val="single" w:color="auto" w:sz="4" w:space="0"/>
              <w:right w:val="single" w:color="auto" w:sz="4" w:space="0"/>
            </w:tcBorders>
            <w:vAlign w:val="center"/>
          </w:tcPr>
          <w:p w14:paraId="54E4DFB2">
            <w:pPr>
              <w:jc w:val="center"/>
              <w:rPr>
                <w:rFonts w:hint="eastAsia" w:ascii="宋体" w:hAnsi="宋体" w:cs="宋体"/>
                <w:b/>
                <w:bCs/>
                <w:color w:val="auto"/>
                <w:highlight w:val="none"/>
              </w:rPr>
            </w:pPr>
            <w:r>
              <w:rPr>
                <w:rFonts w:hint="eastAsia" w:ascii="宋体" w:hAnsi="宋体" w:cs="宋体"/>
                <w:color w:val="auto"/>
                <w:highlight w:val="none"/>
              </w:rPr>
              <w:t>毒害品储存柜</w:t>
            </w:r>
          </w:p>
        </w:tc>
        <w:tc>
          <w:tcPr>
            <w:tcW w:w="3079" w:type="pct"/>
            <w:tcBorders>
              <w:left w:val="single" w:color="auto" w:sz="4" w:space="0"/>
            </w:tcBorders>
            <w:vAlign w:val="center"/>
          </w:tcPr>
          <w:p w14:paraId="6B668B13">
            <w:pPr>
              <w:rPr>
                <w:rFonts w:hint="eastAsia" w:ascii="宋体" w:hAnsi="宋体" w:cs="宋体"/>
                <w:color w:val="auto"/>
                <w:highlight w:val="none"/>
              </w:rPr>
            </w:pPr>
            <w:r>
              <w:rPr>
                <w:rFonts w:hint="eastAsia" w:ascii="宋体" w:hAnsi="宋体" w:cs="宋体"/>
                <w:color w:val="auto"/>
                <w:highlight w:val="none"/>
              </w:rPr>
              <w:t>1.基本规格尺寸：≥1800 mm*880 mm *500 mm；门类型：双开门。</w:t>
            </w:r>
          </w:p>
          <w:p w14:paraId="57F248D1">
            <w:pPr>
              <w:rPr>
                <w:rFonts w:hint="eastAsia" w:ascii="宋体" w:hAnsi="宋体" w:cs="宋体"/>
                <w:color w:val="auto"/>
                <w:highlight w:val="none"/>
              </w:rPr>
            </w:pPr>
            <w:r>
              <w:rPr>
                <w:rFonts w:hint="eastAsia" w:ascii="宋体" w:hAnsi="宋体" w:cs="宋体"/>
                <w:color w:val="auto"/>
                <w:highlight w:val="none"/>
              </w:rPr>
              <w:t>2.外壳体全部采用优质的冷轧钢板，柜体底座采用同质加厚冷轧钢板以加强柜体整体结构承载力及稳定性，内外表面经酸洗磷化环氧树脂粉末喷涂，烘热固化处理。</w:t>
            </w:r>
          </w:p>
          <w:p w14:paraId="04E06FF1">
            <w:pPr>
              <w:rPr>
                <w:rFonts w:hint="eastAsia" w:ascii="宋体" w:hAnsi="宋体" w:cs="宋体"/>
                <w:color w:val="auto"/>
                <w:highlight w:val="none"/>
              </w:rPr>
            </w:pPr>
            <w:r>
              <w:rPr>
                <w:rFonts w:hint="eastAsia" w:ascii="宋体" w:hAnsi="宋体" w:cs="宋体"/>
                <w:color w:val="auto"/>
                <w:highlight w:val="none"/>
              </w:rPr>
              <w:t>▲3.内胆均采用≥4mmPP聚丙烯板（钢板及PP板具有抗盐雾腐蚀的能力，）；柜体右侧下部设置进风口，内部有一体化PP聚丙烯可调风阀，可根据需求调整进风量大小；柜体的底板中部有漏液孔，上覆不锈钢漏液网；柜体底部设黄沙防倒挡板，可用作黄沙填埋腔，用于埋放金属钠、黄磷、白磷等固体易燃物。</w:t>
            </w:r>
          </w:p>
          <w:p w14:paraId="31332740">
            <w:pPr>
              <w:rPr>
                <w:rFonts w:hint="eastAsia" w:ascii="宋体" w:hAnsi="宋体" w:cs="宋体"/>
                <w:color w:val="auto"/>
                <w:highlight w:val="none"/>
              </w:rPr>
            </w:pPr>
            <w:r>
              <w:rPr>
                <w:rFonts w:hint="eastAsia" w:ascii="宋体" w:hAnsi="宋体" w:cs="宋体"/>
                <w:color w:val="auto"/>
                <w:highlight w:val="none"/>
              </w:rPr>
              <w:t>4.柜底装有四个静音防静电滚轮，便于易燃品毒害品储存柜移动；设4个调节螺母，既可用于储存柜定位，也可作调整脚使用。</w:t>
            </w:r>
          </w:p>
          <w:p w14:paraId="12758CA8">
            <w:pPr>
              <w:rPr>
                <w:rFonts w:hint="eastAsia" w:ascii="宋体" w:hAnsi="宋体" w:cs="宋体"/>
                <w:color w:val="auto"/>
                <w:highlight w:val="none"/>
              </w:rPr>
            </w:pPr>
            <w:r>
              <w:rPr>
                <w:rFonts w:hint="eastAsia" w:ascii="宋体" w:hAnsi="宋体" w:cs="宋体"/>
                <w:color w:val="auto"/>
                <w:highlight w:val="none"/>
              </w:rPr>
              <w:t>5.柜内配不少于3个一次成型聚丙烯阶梯层板，层板四周边缘厚度平均值不小于4.0mm；每层阶梯板外延边有积液槽，积液槽高度平均值不小于3mm，背面网格加强筋设计，加强承重性；每个层板靠背板处设有PP螺丝限位，留出约5mm气体流动空间，便于顶部风机抽风。</w:t>
            </w:r>
          </w:p>
          <w:p w14:paraId="42A1CAAB">
            <w:pPr>
              <w:rPr>
                <w:rFonts w:hint="eastAsia" w:ascii="宋体" w:hAnsi="宋体" w:cs="宋体"/>
                <w:color w:val="auto"/>
                <w:highlight w:val="none"/>
              </w:rPr>
            </w:pPr>
            <w:r>
              <w:rPr>
                <w:rFonts w:hint="eastAsia" w:ascii="宋体" w:hAnsi="宋体" w:cs="宋体"/>
                <w:color w:val="auto"/>
                <w:highlight w:val="none"/>
              </w:rPr>
              <w:t>▲6.柜顶部中间开有不低于φ160mm蜂窝口，柜内出风口处采用PP聚丙烯一体式网状结构，有效避免异物进入柜内，配备耐腐蚀一次成型PP法兰圈，方便耐用。柜顶风口内置风机（风机经第三方测试机构测试，外壳防护等级不低于IP68，防盐雾测试保护等级不低于10级），无火花静电，当风机开机前要把进风口转至打开状态。</w:t>
            </w:r>
          </w:p>
          <w:p w14:paraId="53E8E074">
            <w:pPr>
              <w:rPr>
                <w:rFonts w:hint="eastAsia" w:ascii="宋体" w:hAnsi="宋体" w:cs="宋体"/>
                <w:color w:val="auto"/>
                <w:highlight w:val="none"/>
              </w:rPr>
            </w:pPr>
            <w:r>
              <w:rPr>
                <w:rFonts w:hint="eastAsia" w:ascii="宋体" w:hAnsi="宋体" w:cs="宋体"/>
                <w:color w:val="auto"/>
                <w:highlight w:val="none"/>
              </w:rPr>
              <w:t>7.密封件：柜体门与柜体之间安装防火膨胀密封件，膨胀比例为1：5，以保证储存药品的安全性。</w:t>
            </w:r>
          </w:p>
          <w:p w14:paraId="27F7B648">
            <w:pPr>
              <w:rPr>
                <w:rFonts w:hint="eastAsia" w:ascii="宋体" w:hAnsi="宋体" w:cs="宋体"/>
                <w:color w:val="auto"/>
                <w:highlight w:val="none"/>
              </w:rPr>
            </w:pPr>
            <w:r>
              <w:rPr>
                <w:rFonts w:hint="eastAsia" w:ascii="宋体" w:hAnsi="宋体" w:cs="宋体"/>
                <w:color w:val="auto"/>
                <w:highlight w:val="none"/>
              </w:rPr>
              <w:t>8.铰链：铰链应为钢琴式铰链，确保门能开180度。</w:t>
            </w:r>
          </w:p>
          <w:p w14:paraId="6518B076">
            <w:pPr>
              <w:rPr>
                <w:rFonts w:hint="eastAsia" w:ascii="宋体" w:hAnsi="宋体" w:cs="宋体"/>
                <w:color w:val="auto"/>
                <w:highlight w:val="none"/>
              </w:rPr>
            </w:pPr>
            <w:r>
              <w:rPr>
                <w:rFonts w:hint="eastAsia" w:ascii="宋体" w:hAnsi="宋体" w:cs="宋体"/>
                <w:color w:val="auto"/>
                <w:highlight w:val="none"/>
              </w:rPr>
              <w:t>9.锁具：双人双锁管理，配备电子密码锁和二代防盗机械锁，机械锁符合公安部GA/T 73标准，机械锁防破坏及防技术开启标准达B级以上；密码锁具有开锁记录查询及隐码功能。锁舌选用坚韧且有弹性的高分子合成塑料制成，耐磨且抗腐蚀性能极强。</w:t>
            </w:r>
          </w:p>
          <w:p w14:paraId="7F368391">
            <w:pPr>
              <w:rPr>
                <w:rFonts w:hint="eastAsia" w:ascii="宋体" w:hAnsi="宋体" w:cs="宋体"/>
                <w:color w:val="auto"/>
                <w:highlight w:val="none"/>
              </w:rPr>
            </w:pPr>
            <w:r>
              <w:rPr>
                <w:rFonts w:hint="eastAsia" w:ascii="宋体" w:hAnsi="宋体" w:cs="宋体"/>
                <w:color w:val="auto"/>
                <w:highlight w:val="none"/>
              </w:rPr>
              <w:t>10.配备接地装置实现完全接地。</w:t>
            </w:r>
          </w:p>
          <w:p w14:paraId="696256AC">
            <w:pPr>
              <w:rPr>
                <w:rFonts w:hint="eastAsia" w:ascii="宋体" w:hAnsi="宋体" w:cs="宋体"/>
                <w:color w:val="auto"/>
                <w:highlight w:val="none"/>
              </w:rPr>
            </w:pPr>
            <w:r>
              <w:rPr>
                <w:rFonts w:hint="eastAsia" w:ascii="宋体" w:hAnsi="宋体" w:cs="宋体"/>
                <w:color w:val="auto"/>
                <w:highlight w:val="none"/>
              </w:rPr>
              <w:t>11.通风管道口径不低于Φ160mm，通风管应耐高温、阻燃、耐腐蚀。配备时控开关及温湿度报警器一体式触摸显示屏，时控开关用于调节风机运行模式及自动启停的时间段。温湿度报警器对柜内相对温湿度实时监控，操作屏可自行设定测量值，柜内的温湿度如超过设定的测量值即时报警提示，同时风机启动，直至低于设定值，风机停止运行或低速运行。</w:t>
            </w:r>
          </w:p>
          <w:p w14:paraId="7CA3EE34">
            <w:pPr>
              <w:rPr>
                <w:rFonts w:hint="eastAsia" w:ascii="宋体" w:hAnsi="宋体" w:cs="宋体"/>
                <w:color w:val="auto"/>
                <w:highlight w:val="none"/>
              </w:rPr>
            </w:pPr>
            <w:r>
              <w:rPr>
                <w:rFonts w:hint="eastAsia" w:ascii="宋体" w:hAnsi="宋体" w:cs="宋体"/>
                <w:color w:val="auto"/>
                <w:highlight w:val="none"/>
              </w:rPr>
              <w:t>12.装箱时柜内外的说明标识：</w:t>
            </w:r>
          </w:p>
          <w:p w14:paraId="37F64C68">
            <w:pPr>
              <w:rPr>
                <w:rFonts w:hint="eastAsia" w:ascii="宋体" w:hAnsi="宋体" w:cs="宋体"/>
                <w:color w:val="auto"/>
                <w:highlight w:val="none"/>
              </w:rPr>
            </w:pPr>
            <w:r>
              <w:rPr>
                <w:rFonts w:hint="eastAsia" w:ascii="宋体" w:hAnsi="宋体" w:cs="宋体"/>
                <w:color w:val="auto"/>
                <w:highlight w:val="none"/>
              </w:rPr>
              <w:t>《易燃品毒害品储存柜使用说明书》，《合格证》，《安全储存说明书》，柜门上贴有反光警示标签。</w:t>
            </w:r>
          </w:p>
          <w:p w14:paraId="7EDE1402">
            <w:pPr>
              <w:rPr>
                <w:rFonts w:hint="eastAsia" w:ascii="宋体" w:hAnsi="宋体" w:cs="宋体"/>
                <w:b/>
                <w:bCs/>
                <w:color w:val="auto"/>
                <w:highlight w:val="none"/>
              </w:rPr>
            </w:pPr>
            <w:r>
              <w:rPr>
                <w:rFonts w:hint="eastAsia" w:ascii="宋体" w:hAnsi="宋体" w:cs="宋体"/>
                <w:color w:val="auto"/>
                <w:highlight w:val="none"/>
              </w:rPr>
              <w:t>▲13.</w:t>
            </w:r>
            <w:r>
              <w:rPr>
                <w:rFonts w:hint="eastAsia" w:ascii="宋体" w:hAnsi="宋体" w:cs="宋体"/>
                <w:b/>
                <w:bCs/>
                <w:color w:val="auto"/>
                <w:highlight w:val="none"/>
              </w:rPr>
              <w:t>经第三方权威机构检测，通过耐火和防爆测试（提供检测报告）。提供整柜环保及柜体耐腐蚀测试，环保测试元素不少于13项；耐腐蚀测试元素不少于5项（需提供带有CMA和CNAS标识的检测报告的扫描件）。</w:t>
            </w:r>
          </w:p>
        </w:tc>
        <w:tc>
          <w:tcPr>
            <w:tcW w:w="384" w:type="pct"/>
            <w:vAlign w:val="center"/>
          </w:tcPr>
          <w:p w14:paraId="28B295F3">
            <w:pPr>
              <w:jc w:val="center"/>
              <w:rPr>
                <w:color w:val="auto"/>
                <w:highlight w:val="none"/>
              </w:rPr>
            </w:pPr>
            <w:r>
              <w:rPr>
                <w:rFonts w:hint="eastAsia" w:ascii="宋体" w:hAnsi="宋体" w:cs="宋体"/>
                <w:color w:val="auto"/>
                <w:highlight w:val="none"/>
              </w:rPr>
              <w:t>台</w:t>
            </w:r>
          </w:p>
        </w:tc>
        <w:tc>
          <w:tcPr>
            <w:tcW w:w="385" w:type="pct"/>
            <w:vAlign w:val="center"/>
          </w:tcPr>
          <w:p w14:paraId="662F639E">
            <w:pPr>
              <w:jc w:val="center"/>
              <w:rPr>
                <w:color w:val="auto"/>
                <w:highlight w:val="none"/>
              </w:rPr>
            </w:pPr>
            <w:r>
              <w:rPr>
                <w:rFonts w:hint="eastAsia" w:ascii="宋体" w:hAnsi="宋体" w:cs="宋体"/>
                <w:color w:val="auto"/>
                <w:highlight w:val="none"/>
              </w:rPr>
              <w:t>1</w:t>
            </w:r>
          </w:p>
        </w:tc>
      </w:tr>
      <w:tr w14:paraId="16072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7893D19D">
            <w:pPr>
              <w:jc w:val="center"/>
              <w:rPr>
                <w:rFonts w:hint="eastAsia" w:ascii="宋体" w:hAnsi="宋体" w:cs="宋体"/>
                <w:b/>
                <w:bCs/>
                <w:color w:val="auto"/>
                <w:highlight w:val="none"/>
              </w:rPr>
            </w:pPr>
            <w:r>
              <w:rPr>
                <w:rFonts w:hint="eastAsia" w:ascii="宋体" w:hAnsi="宋体" w:cs="宋体"/>
                <w:color w:val="auto"/>
                <w:highlight w:val="none"/>
              </w:rPr>
              <w:t>3</w:t>
            </w:r>
          </w:p>
        </w:tc>
        <w:tc>
          <w:tcPr>
            <w:tcW w:w="782" w:type="pct"/>
            <w:tcBorders>
              <w:left w:val="single" w:color="auto" w:sz="4" w:space="0"/>
              <w:right w:val="single" w:color="auto" w:sz="4" w:space="0"/>
            </w:tcBorders>
            <w:vAlign w:val="center"/>
          </w:tcPr>
          <w:p w14:paraId="59DD6121">
            <w:pPr>
              <w:jc w:val="center"/>
              <w:rPr>
                <w:rFonts w:hint="eastAsia" w:ascii="宋体" w:hAnsi="宋体" w:cs="宋体"/>
                <w:b/>
                <w:bCs/>
                <w:color w:val="auto"/>
                <w:highlight w:val="none"/>
              </w:rPr>
            </w:pPr>
            <w:r>
              <w:rPr>
                <w:rFonts w:hint="eastAsia" w:ascii="宋体" w:hAnsi="宋体" w:cs="宋体"/>
                <w:color w:val="auto"/>
                <w:highlight w:val="none"/>
              </w:rPr>
              <w:t>酸碱柜</w:t>
            </w:r>
          </w:p>
        </w:tc>
        <w:tc>
          <w:tcPr>
            <w:tcW w:w="3079" w:type="pct"/>
            <w:tcBorders>
              <w:left w:val="single" w:color="auto" w:sz="4" w:space="0"/>
            </w:tcBorders>
            <w:vAlign w:val="center"/>
          </w:tcPr>
          <w:p w14:paraId="1CE41AD0">
            <w:pPr>
              <w:rPr>
                <w:rFonts w:hint="eastAsia" w:ascii="宋体" w:hAnsi="宋体" w:cs="宋体"/>
                <w:color w:val="auto"/>
                <w:highlight w:val="none"/>
              </w:rPr>
            </w:pPr>
            <w:r>
              <w:rPr>
                <w:rFonts w:hint="eastAsia" w:ascii="宋体" w:hAnsi="宋体" w:cs="宋体"/>
                <w:color w:val="auto"/>
                <w:highlight w:val="none"/>
              </w:rPr>
              <w:t>1.基本规格尺寸：≥1800 mm*900 mm*450 mm；门类型：四开门。</w:t>
            </w:r>
          </w:p>
          <w:p w14:paraId="75E55FA5">
            <w:pPr>
              <w:rPr>
                <w:rFonts w:hint="eastAsia" w:ascii="宋体" w:hAnsi="宋体" w:cs="宋体"/>
                <w:color w:val="auto"/>
                <w:highlight w:val="none"/>
              </w:rPr>
            </w:pPr>
            <w:r>
              <w:rPr>
                <w:rFonts w:hint="eastAsia" w:ascii="宋体" w:hAnsi="宋体" w:cs="宋体"/>
                <w:color w:val="auto"/>
                <w:highlight w:val="none"/>
              </w:rPr>
              <w:t>2.采用手动四开门设计，门缝不大于3mm，且门缝上下大小一致，左右门的高度一致。</w:t>
            </w:r>
          </w:p>
          <w:p w14:paraId="7B934515">
            <w:pPr>
              <w:rPr>
                <w:rFonts w:hint="eastAsia" w:ascii="宋体" w:hAnsi="宋体" w:cs="宋体"/>
                <w:color w:val="auto"/>
                <w:highlight w:val="none"/>
              </w:rPr>
            </w:pPr>
            <w:r>
              <w:rPr>
                <w:rFonts w:hint="eastAsia" w:ascii="宋体" w:hAnsi="宋体" w:cs="宋体"/>
                <w:color w:val="auto"/>
                <w:highlight w:val="none"/>
              </w:rPr>
              <w:t>3.材质：≥8mm厚PP聚丙烯树脂板，具有耐强酸、强碱与抗腐蚀的特性，经同色焊条无缝焊接处理，保证柜体之坚固及密封性。</w:t>
            </w:r>
          </w:p>
          <w:p w14:paraId="5BCE387A">
            <w:pPr>
              <w:rPr>
                <w:rFonts w:hint="eastAsia" w:ascii="宋体" w:hAnsi="宋体" w:cs="宋体"/>
                <w:color w:val="auto"/>
                <w:highlight w:val="none"/>
              </w:rPr>
            </w:pPr>
            <w:r>
              <w:rPr>
                <w:rFonts w:hint="eastAsia" w:ascii="宋体" w:hAnsi="宋体" w:cs="宋体"/>
                <w:color w:val="auto"/>
                <w:highlight w:val="none"/>
              </w:rPr>
              <w:t>4.层板：采用瓷白色PP（聚丙烯）板材，一次注塑成型，四边有不小于20mm立边，可有效盛接漏液，底部波纹状设计，避免泄漏时瓶底粘结层板，从而减少存取的安全隐患和造成二次污染的可能性，层板底部包钢处理（预留查验小口），承重能力强，整体设计为活动式，可随意抽取放在合适的位置。</w:t>
            </w:r>
          </w:p>
          <w:p w14:paraId="11599849">
            <w:pPr>
              <w:rPr>
                <w:rFonts w:hint="eastAsia" w:ascii="宋体" w:hAnsi="宋体" w:cs="宋体"/>
                <w:color w:val="auto"/>
                <w:highlight w:val="none"/>
              </w:rPr>
            </w:pPr>
            <w:r>
              <w:rPr>
                <w:rFonts w:hint="eastAsia" w:ascii="宋体" w:hAnsi="宋体" w:cs="宋体"/>
                <w:color w:val="auto"/>
                <w:highlight w:val="none"/>
              </w:rPr>
              <w:t>5.门板：采用同质PP材料制作，门厚≥20mm，视窗采用5mm钢化玻璃，防腐蚀，可视性强。</w:t>
            </w:r>
          </w:p>
          <w:p w14:paraId="3533D494">
            <w:pPr>
              <w:rPr>
                <w:rFonts w:hint="eastAsia" w:ascii="宋体" w:hAnsi="宋体" w:cs="宋体"/>
                <w:color w:val="auto"/>
                <w:highlight w:val="none"/>
              </w:rPr>
            </w:pPr>
            <w:r>
              <w:rPr>
                <w:rFonts w:hint="eastAsia" w:ascii="宋体" w:hAnsi="宋体" w:cs="宋体"/>
                <w:color w:val="auto"/>
                <w:highlight w:val="none"/>
              </w:rPr>
              <w:t>6.绞链：塑胶射出一体成型，抗腐蚀性佳。</w:t>
            </w:r>
          </w:p>
          <w:p w14:paraId="206F041D">
            <w:pPr>
              <w:jc w:val="left"/>
              <w:rPr>
                <w:rFonts w:hint="eastAsia" w:ascii="宋体" w:hAnsi="宋体" w:cs="宋体"/>
                <w:color w:val="auto"/>
                <w:highlight w:val="none"/>
              </w:rPr>
            </w:pPr>
            <w:r>
              <w:rPr>
                <w:rFonts w:hint="eastAsia" w:ascii="宋体" w:hAnsi="宋体" w:cs="宋体"/>
                <w:color w:val="auto"/>
                <w:highlight w:val="none"/>
              </w:rPr>
              <w:t>7.把手：塑胶射出一体成型，抗腐蚀性佳，备有安全双门锁，加强管制。                                                                                                                                                                                              8.螺丝：不锈钢材质，防止因腐蚀而引起螺丝断裂，造成柜体垮塌。</w:t>
            </w:r>
          </w:p>
          <w:p w14:paraId="5DFD97E9">
            <w:pPr>
              <w:rPr>
                <w:rFonts w:hint="eastAsia" w:ascii="宋体" w:hAnsi="宋体" w:cs="宋体"/>
                <w:color w:val="auto"/>
                <w:highlight w:val="none"/>
              </w:rPr>
            </w:pPr>
            <w:r>
              <w:rPr>
                <w:rFonts w:hint="eastAsia" w:ascii="宋体" w:hAnsi="宋体" w:cs="宋体"/>
                <w:color w:val="auto"/>
                <w:highlight w:val="none"/>
              </w:rPr>
              <w:t>9.锁具：双锁设计，双人双锁管理，配有PP材质一体成型（易更换）的锁扣。</w:t>
            </w:r>
          </w:p>
          <w:p w14:paraId="64B9BB81">
            <w:pPr>
              <w:rPr>
                <w:rFonts w:hint="eastAsia" w:ascii="宋体" w:hAnsi="宋体" w:cs="宋体"/>
                <w:color w:val="auto"/>
                <w:highlight w:val="none"/>
              </w:rPr>
            </w:pPr>
            <w:r>
              <w:rPr>
                <w:rFonts w:hint="eastAsia" w:ascii="宋体" w:hAnsi="宋体" w:cs="宋体"/>
                <w:color w:val="auto"/>
                <w:highlight w:val="none"/>
              </w:rPr>
              <w:t>10.多语言反光警告标签。</w:t>
            </w:r>
          </w:p>
          <w:p w14:paraId="445B395A">
            <w:pPr>
              <w:rPr>
                <w:rFonts w:hint="eastAsia" w:ascii="宋体" w:hAnsi="宋体" w:cs="宋体"/>
                <w:b/>
                <w:bCs/>
                <w:color w:val="auto"/>
                <w:highlight w:val="none"/>
              </w:rPr>
            </w:pPr>
            <w:r>
              <w:rPr>
                <w:rFonts w:hint="eastAsia" w:ascii="宋体" w:hAnsi="宋体" w:cs="宋体"/>
                <w:color w:val="auto"/>
                <w:highlight w:val="none"/>
              </w:rPr>
              <w:t>▲11.PP层板（非柜体所用板材）需符合UL 94-2017要求,垂直燃烧等级达到V-0级，</w:t>
            </w:r>
            <w:r>
              <w:rPr>
                <w:rFonts w:hint="eastAsia" w:ascii="宋体" w:hAnsi="宋体" w:cs="宋体"/>
                <w:b/>
                <w:bCs/>
                <w:color w:val="auto"/>
                <w:highlight w:val="none"/>
              </w:rPr>
              <w:t>需提供带有CMA和CNAS标识的检测报告的扫描件，检测报告需带二维码以辨真伪。</w:t>
            </w:r>
          </w:p>
          <w:p w14:paraId="7AB40457">
            <w:pPr>
              <w:rPr>
                <w:rFonts w:hint="eastAsia" w:ascii="宋体" w:hAnsi="宋体" w:cs="宋体"/>
                <w:b/>
                <w:bCs/>
                <w:color w:val="auto"/>
                <w:highlight w:val="none"/>
              </w:rPr>
            </w:pPr>
            <w:r>
              <w:rPr>
                <w:rFonts w:hint="eastAsia" w:ascii="宋体" w:hAnsi="宋体" w:cs="宋体"/>
                <w:color w:val="auto"/>
                <w:highlight w:val="none"/>
              </w:rPr>
              <w:t>▲12.为保证产品质量，</w:t>
            </w:r>
            <w:r>
              <w:rPr>
                <w:rFonts w:hint="eastAsia" w:ascii="宋体" w:hAnsi="宋体" w:cs="宋体"/>
                <w:b/>
                <w:bCs/>
                <w:color w:val="auto"/>
                <w:highlight w:val="none"/>
              </w:rPr>
              <w:t>提供第三方检测报告</w:t>
            </w:r>
            <w:r>
              <w:rPr>
                <w:rFonts w:hint="eastAsia" w:ascii="宋体" w:hAnsi="宋体" w:cs="宋体"/>
                <w:color w:val="auto"/>
                <w:highlight w:val="none"/>
              </w:rPr>
              <w:t>，包含但不限于对形状位置公差、外观、稳定性、耐久性等检测，其中耐腐蚀性检测，结果至少通过5项化学试剂测试。1.盐酸（37%）；2.甲醛（37%）；3.硫酸（98%）；4.氢氧化钠（40%）；5.硝酸（65%），检验结果合格，</w:t>
            </w:r>
            <w:r>
              <w:rPr>
                <w:rFonts w:hint="eastAsia" w:ascii="宋体" w:hAnsi="宋体" w:cs="宋体"/>
                <w:b/>
                <w:bCs/>
                <w:color w:val="auto"/>
                <w:highlight w:val="none"/>
              </w:rPr>
              <w:t>需提供带有CMA和CNAS标识的检测报告的扫描件。</w:t>
            </w:r>
          </w:p>
        </w:tc>
        <w:tc>
          <w:tcPr>
            <w:tcW w:w="384" w:type="pct"/>
            <w:vAlign w:val="center"/>
          </w:tcPr>
          <w:p w14:paraId="671764DB">
            <w:pPr>
              <w:jc w:val="center"/>
              <w:rPr>
                <w:color w:val="auto"/>
                <w:highlight w:val="none"/>
              </w:rPr>
            </w:pPr>
            <w:r>
              <w:rPr>
                <w:rFonts w:hint="eastAsia" w:ascii="宋体" w:hAnsi="宋体" w:cs="宋体"/>
                <w:color w:val="auto"/>
                <w:highlight w:val="none"/>
              </w:rPr>
              <w:t>台</w:t>
            </w:r>
          </w:p>
        </w:tc>
        <w:tc>
          <w:tcPr>
            <w:tcW w:w="385" w:type="pct"/>
            <w:vAlign w:val="center"/>
          </w:tcPr>
          <w:p w14:paraId="07850B17">
            <w:pPr>
              <w:jc w:val="center"/>
              <w:rPr>
                <w:color w:val="auto"/>
                <w:highlight w:val="none"/>
              </w:rPr>
            </w:pPr>
            <w:r>
              <w:rPr>
                <w:rFonts w:hint="eastAsia" w:ascii="宋体" w:hAnsi="宋体" w:cs="宋体"/>
                <w:color w:val="auto"/>
                <w:highlight w:val="none"/>
              </w:rPr>
              <w:t>1</w:t>
            </w:r>
          </w:p>
        </w:tc>
      </w:tr>
      <w:tr w14:paraId="49370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2BD1E8E8">
            <w:pPr>
              <w:jc w:val="center"/>
              <w:rPr>
                <w:rFonts w:hint="eastAsia" w:ascii="宋体" w:hAnsi="宋体" w:cs="宋体"/>
                <w:b/>
                <w:bCs/>
                <w:color w:val="auto"/>
                <w:highlight w:val="none"/>
              </w:rPr>
            </w:pPr>
            <w:r>
              <w:rPr>
                <w:rFonts w:hint="eastAsia" w:ascii="宋体" w:hAnsi="宋体" w:cs="宋体"/>
                <w:color w:val="auto"/>
                <w:highlight w:val="none"/>
              </w:rPr>
              <w:t>4</w:t>
            </w:r>
          </w:p>
        </w:tc>
        <w:tc>
          <w:tcPr>
            <w:tcW w:w="782" w:type="pct"/>
            <w:tcBorders>
              <w:left w:val="single" w:color="auto" w:sz="4" w:space="0"/>
              <w:right w:val="single" w:color="auto" w:sz="4" w:space="0"/>
            </w:tcBorders>
            <w:vAlign w:val="center"/>
          </w:tcPr>
          <w:p w14:paraId="2EE0C83A">
            <w:pPr>
              <w:jc w:val="center"/>
              <w:rPr>
                <w:rFonts w:hint="eastAsia" w:ascii="宋体" w:hAnsi="宋体" w:cs="宋体"/>
                <w:b/>
                <w:bCs/>
                <w:color w:val="auto"/>
                <w:highlight w:val="none"/>
              </w:rPr>
            </w:pPr>
            <w:r>
              <w:rPr>
                <w:rFonts w:hint="eastAsia" w:ascii="宋体" w:hAnsi="宋体" w:cs="宋体"/>
                <w:color w:val="auto"/>
                <w:highlight w:val="none"/>
              </w:rPr>
              <w:t xml:space="preserve">23#单孔硅胶塞 </w:t>
            </w:r>
          </w:p>
        </w:tc>
        <w:tc>
          <w:tcPr>
            <w:tcW w:w="3079" w:type="pct"/>
            <w:tcBorders>
              <w:left w:val="single" w:color="auto" w:sz="4" w:space="0"/>
            </w:tcBorders>
            <w:vAlign w:val="center"/>
          </w:tcPr>
          <w:p w14:paraId="006E188A">
            <w:pPr>
              <w:rPr>
                <w:rFonts w:hint="eastAsia" w:ascii="宋体" w:hAnsi="宋体" w:cs="宋体"/>
                <w:b/>
                <w:bCs/>
                <w:color w:val="auto"/>
                <w:highlight w:val="none"/>
              </w:rPr>
            </w:pPr>
            <w:r>
              <w:rPr>
                <w:rFonts w:hint="eastAsia" w:ascii="宋体" w:hAnsi="宋体" w:cs="宋体"/>
                <w:color w:val="auto"/>
                <w:highlight w:val="none"/>
              </w:rPr>
              <w:t>基本规格：20.9×16×27mm（±5mm），单孔孔径Φ7mm（±5mm）；材质：优质硅胶；工艺：采用先进精密硅胶注塑技术一次成型无毛边、无合缝线，硬度适中、易插拔不阻涩；功能描述：用于实验中玻璃仪器的密封或与玻璃导管、温度计等配合使用，满足多种不同实验的密封及导气需求。耐高温、耐酸碱。</w:t>
            </w:r>
          </w:p>
        </w:tc>
        <w:tc>
          <w:tcPr>
            <w:tcW w:w="384" w:type="pct"/>
            <w:vAlign w:val="center"/>
          </w:tcPr>
          <w:p w14:paraId="1AB013D7">
            <w:pPr>
              <w:jc w:val="center"/>
              <w:rPr>
                <w:color w:val="auto"/>
                <w:highlight w:val="none"/>
              </w:rPr>
            </w:pPr>
            <w:r>
              <w:rPr>
                <w:rFonts w:hint="eastAsia" w:ascii="宋体" w:hAnsi="宋体" w:cs="宋体"/>
                <w:color w:val="auto"/>
                <w:highlight w:val="none"/>
              </w:rPr>
              <w:t>个</w:t>
            </w:r>
          </w:p>
        </w:tc>
        <w:tc>
          <w:tcPr>
            <w:tcW w:w="385" w:type="pct"/>
            <w:vAlign w:val="center"/>
          </w:tcPr>
          <w:p w14:paraId="6FF5F14D">
            <w:pPr>
              <w:jc w:val="center"/>
              <w:rPr>
                <w:color w:val="auto"/>
                <w:highlight w:val="none"/>
              </w:rPr>
            </w:pPr>
            <w:r>
              <w:rPr>
                <w:rFonts w:hint="eastAsia" w:ascii="宋体" w:hAnsi="宋体" w:cs="宋体"/>
                <w:color w:val="auto"/>
                <w:highlight w:val="none"/>
              </w:rPr>
              <w:t>30</w:t>
            </w:r>
          </w:p>
        </w:tc>
      </w:tr>
      <w:tr w14:paraId="34D5B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5EF8B838">
            <w:pPr>
              <w:jc w:val="center"/>
              <w:rPr>
                <w:rFonts w:hint="eastAsia" w:ascii="宋体" w:hAnsi="宋体" w:cs="宋体"/>
                <w:b/>
                <w:bCs/>
                <w:color w:val="auto"/>
                <w:highlight w:val="none"/>
              </w:rPr>
            </w:pPr>
            <w:r>
              <w:rPr>
                <w:rFonts w:hint="eastAsia" w:ascii="宋体" w:hAnsi="宋体" w:cs="宋体"/>
                <w:color w:val="auto"/>
                <w:highlight w:val="none"/>
              </w:rPr>
              <w:t>5</w:t>
            </w:r>
          </w:p>
        </w:tc>
        <w:tc>
          <w:tcPr>
            <w:tcW w:w="782" w:type="pct"/>
            <w:tcBorders>
              <w:left w:val="single" w:color="auto" w:sz="4" w:space="0"/>
              <w:right w:val="single" w:color="auto" w:sz="4" w:space="0"/>
            </w:tcBorders>
            <w:vAlign w:val="center"/>
          </w:tcPr>
          <w:p w14:paraId="06C021CD">
            <w:pPr>
              <w:jc w:val="center"/>
              <w:rPr>
                <w:rFonts w:hint="eastAsia" w:ascii="宋体" w:hAnsi="宋体" w:cs="宋体"/>
                <w:b/>
                <w:bCs/>
                <w:color w:val="auto"/>
                <w:highlight w:val="none"/>
              </w:rPr>
            </w:pPr>
            <w:r>
              <w:rPr>
                <w:rFonts w:hint="eastAsia" w:ascii="宋体" w:hAnsi="宋体" w:cs="宋体"/>
                <w:color w:val="auto"/>
                <w:highlight w:val="none"/>
              </w:rPr>
              <w:t xml:space="preserve">30#单孔硅胶塞 </w:t>
            </w:r>
          </w:p>
        </w:tc>
        <w:tc>
          <w:tcPr>
            <w:tcW w:w="3079" w:type="pct"/>
            <w:tcBorders>
              <w:left w:val="single" w:color="auto" w:sz="4" w:space="0"/>
            </w:tcBorders>
            <w:vAlign w:val="center"/>
          </w:tcPr>
          <w:p w14:paraId="13DD66B4">
            <w:pPr>
              <w:rPr>
                <w:rFonts w:hint="eastAsia" w:ascii="宋体" w:hAnsi="宋体" w:cs="宋体"/>
                <w:b/>
                <w:bCs/>
                <w:color w:val="auto"/>
                <w:highlight w:val="none"/>
              </w:rPr>
            </w:pPr>
            <w:r>
              <w:rPr>
                <w:rFonts w:hint="eastAsia" w:ascii="宋体" w:hAnsi="宋体" w:cs="宋体"/>
                <w:color w:val="auto"/>
                <w:highlight w:val="none"/>
              </w:rPr>
              <w:t>基本规格：30×22×30mm（±5mm），单孔孔径Φ7mm；材质：优质硅胶；工艺：采用先进精密硅胶注塑技术一次成型无毛边、无合缝线，硬度适中、易插拔不阻涩；功能描述：用于实验中玻璃仪器的密封或与玻璃导管、温度计等配合使用，满足多种不同实验的密封及导气需求。耐高温、耐酸碱。</w:t>
            </w:r>
          </w:p>
        </w:tc>
        <w:tc>
          <w:tcPr>
            <w:tcW w:w="384" w:type="pct"/>
            <w:vAlign w:val="center"/>
          </w:tcPr>
          <w:p w14:paraId="2FB9C7D5">
            <w:pPr>
              <w:jc w:val="center"/>
              <w:rPr>
                <w:color w:val="auto"/>
                <w:highlight w:val="none"/>
              </w:rPr>
            </w:pPr>
            <w:r>
              <w:rPr>
                <w:rFonts w:hint="eastAsia" w:ascii="宋体" w:hAnsi="宋体" w:cs="宋体"/>
                <w:color w:val="auto"/>
                <w:highlight w:val="none"/>
              </w:rPr>
              <w:t>个</w:t>
            </w:r>
          </w:p>
        </w:tc>
        <w:tc>
          <w:tcPr>
            <w:tcW w:w="385" w:type="pct"/>
            <w:vAlign w:val="center"/>
          </w:tcPr>
          <w:p w14:paraId="0533F1F3">
            <w:pPr>
              <w:jc w:val="center"/>
              <w:rPr>
                <w:color w:val="auto"/>
                <w:highlight w:val="none"/>
              </w:rPr>
            </w:pPr>
            <w:r>
              <w:rPr>
                <w:rFonts w:hint="eastAsia" w:ascii="宋体" w:hAnsi="宋体" w:cs="宋体"/>
                <w:color w:val="auto"/>
                <w:highlight w:val="none"/>
              </w:rPr>
              <w:t>30</w:t>
            </w:r>
          </w:p>
        </w:tc>
      </w:tr>
      <w:tr w14:paraId="7779E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06578505">
            <w:pPr>
              <w:jc w:val="center"/>
              <w:rPr>
                <w:rFonts w:hint="eastAsia" w:ascii="宋体" w:hAnsi="宋体" w:cs="宋体"/>
                <w:b/>
                <w:bCs/>
                <w:color w:val="auto"/>
                <w:highlight w:val="none"/>
              </w:rPr>
            </w:pPr>
            <w:r>
              <w:rPr>
                <w:rFonts w:hint="eastAsia" w:ascii="宋体" w:hAnsi="宋体" w:cs="宋体"/>
                <w:color w:val="auto"/>
                <w:highlight w:val="none"/>
              </w:rPr>
              <w:t>6</w:t>
            </w:r>
          </w:p>
        </w:tc>
        <w:tc>
          <w:tcPr>
            <w:tcW w:w="782" w:type="pct"/>
            <w:tcBorders>
              <w:left w:val="single" w:color="auto" w:sz="4" w:space="0"/>
              <w:right w:val="single" w:color="auto" w:sz="4" w:space="0"/>
            </w:tcBorders>
            <w:vAlign w:val="center"/>
          </w:tcPr>
          <w:p w14:paraId="6696BAC6">
            <w:pPr>
              <w:jc w:val="center"/>
              <w:rPr>
                <w:rFonts w:hint="eastAsia" w:ascii="宋体" w:hAnsi="宋体" w:cs="宋体"/>
                <w:b/>
                <w:bCs/>
                <w:color w:val="auto"/>
                <w:highlight w:val="none"/>
              </w:rPr>
            </w:pPr>
            <w:r>
              <w:rPr>
                <w:rFonts w:hint="eastAsia" w:ascii="宋体" w:hAnsi="宋体" w:cs="宋体"/>
                <w:color w:val="auto"/>
                <w:highlight w:val="none"/>
              </w:rPr>
              <w:t xml:space="preserve">30#双孔硅胶塞 </w:t>
            </w:r>
          </w:p>
        </w:tc>
        <w:tc>
          <w:tcPr>
            <w:tcW w:w="3079" w:type="pct"/>
            <w:tcBorders>
              <w:left w:val="single" w:color="auto" w:sz="4" w:space="0"/>
            </w:tcBorders>
            <w:vAlign w:val="center"/>
          </w:tcPr>
          <w:p w14:paraId="3F883358">
            <w:pPr>
              <w:rPr>
                <w:rFonts w:hint="eastAsia" w:ascii="宋体" w:hAnsi="宋体" w:cs="宋体"/>
                <w:b/>
                <w:bCs/>
                <w:color w:val="auto"/>
                <w:highlight w:val="none"/>
              </w:rPr>
            </w:pPr>
            <w:r>
              <w:rPr>
                <w:rFonts w:hint="eastAsia" w:ascii="宋体" w:hAnsi="宋体" w:cs="宋体"/>
                <w:color w:val="auto"/>
                <w:highlight w:val="none"/>
              </w:rPr>
              <w:t>基本规格：30×22×30mm（±5mm），双孔孔径Φ7mm；材质：优质硅胶；工艺：采用先进精密硅胶注塑技术一次成型无毛边、无合缝线，硬度适中、易插拔不阻涩；功能描述：用于实验中玻璃仪器的密封或与玻璃导管、温度计等配合使用，满足多种不同实验的密封及导气需求。耐高温、耐酸碱。</w:t>
            </w:r>
          </w:p>
        </w:tc>
        <w:tc>
          <w:tcPr>
            <w:tcW w:w="384" w:type="pct"/>
            <w:vAlign w:val="center"/>
          </w:tcPr>
          <w:p w14:paraId="672682A5">
            <w:pPr>
              <w:jc w:val="center"/>
              <w:rPr>
                <w:color w:val="auto"/>
                <w:highlight w:val="none"/>
              </w:rPr>
            </w:pPr>
            <w:r>
              <w:rPr>
                <w:rFonts w:hint="eastAsia" w:ascii="宋体" w:hAnsi="宋体" w:cs="宋体"/>
                <w:color w:val="auto"/>
                <w:highlight w:val="none"/>
              </w:rPr>
              <w:t>个</w:t>
            </w:r>
          </w:p>
        </w:tc>
        <w:tc>
          <w:tcPr>
            <w:tcW w:w="385" w:type="pct"/>
            <w:vAlign w:val="center"/>
          </w:tcPr>
          <w:p w14:paraId="4B6EDF50">
            <w:pPr>
              <w:jc w:val="center"/>
              <w:rPr>
                <w:color w:val="auto"/>
                <w:highlight w:val="none"/>
              </w:rPr>
            </w:pPr>
            <w:r>
              <w:rPr>
                <w:rFonts w:hint="eastAsia" w:ascii="宋体" w:hAnsi="宋体" w:cs="宋体"/>
                <w:color w:val="auto"/>
                <w:highlight w:val="none"/>
              </w:rPr>
              <w:t>30</w:t>
            </w:r>
          </w:p>
        </w:tc>
      </w:tr>
      <w:tr w14:paraId="4A7CA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1A559153">
            <w:pPr>
              <w:jc w:val="center"/>
              <w:rPr>
                <w:rFonts w:hint="eastAsia" w:ascii="宋体" w:hAnsi="宋体" w:cs="宋体"/>
                <w:b/>
                <w:bCs/>
                <w:color w:val="auto"/>
                <w:highlight w:val="none"/>
              </w:rPr>
            </w:pPr>
            <w:r>
              <w:rPr>
                <w:rFonts w:hint="eastAsia" w:ascii="宋体" w:hAnsi="宋体" w:cs="宋体"/>
                <w:color w:val="auto"/>
                <w:highlight w:val="none"/>
              </w:rPr>
              <w:t>7</w:t>
            </w:r>
          </w:p>
        </w:tc>
        <w:tc>
          <w:tcPr>
            <w:tcW w:w="782" w:type="pct"/>
            <w:tcBorders>
              <w:left w:val="single" w:color="auto" w:sz="4" w:space="0"/>
              <w:right w:val="single" w:color="auto" w:sz="4" w:space="0"/>
            </w:tcBorders>
            <w:vAlign w:val="center"/>
          </w:tcPr>
          <w:p w14:paraId="5FB4D007">
            <w:pPr>
              <w:jc w:val="center"/>
              <w:rPr>
                <w:rFonts w:hint="eastAsia" w:ascii="宋体" w:hAnsi="宋体" w:cs="宋体"/>
                <w:b/>
                <w:bCs/>
                <w:color w:val="auto"/>
                <w:highlight w:val="none"/>
              </w:rPr>
            </w:pPr>
            <w:r>
              <w:rPr>
                <w:rFonts w:hint="eastAsia" w:ascii="宋体" w:hAnsi="宋体" w:cs="宋体"/>
                <w:color w:val="auto"/>
                <w:highlight w:val="none"/>
              </w:rPr>
              <w:t>30#双孔硅胶塞 （大小孔）</w:t>
            </w:r>
          </w:p>
        </w:tc>
        <w:tc>
          <w:tcPr>
            <w:tcW w:w="3079" w:type="pct"/>
            <w:tcBorders>
              <w:left w:val="single" w:color="auto" w:sz="4" w:space="0"/>
            </w:tcBorders>
            <w:vAlign w:val="center"/>
          </w:tcPr>
          <w:p w14:paraId="369D8332">
            <w:pPr>
              <w:rPr>
                <w:rFonts w:hint="eastAsia" w:ascii="宋体" w:hAnsi="宋体" w:cs="宋体"/>
                <w:b/>
                <w:bCs/>
                <w:color w:val="auto"/>
                <w:highlight w:val="none"/>
              </w:rPr>
            </w:pPr>
            <w:r>
              <w:rPr>
                <w:rFonts w:hint="eastAsia" w:ascii="宋体" w:hAnsi="宋体" w:cs="宋体"/>
                <w:color w:val="auto"/>
                <w:highlight w:val="none"/>
              </w:rPr>
              <w:t>基本规格：30×22×30mm（±5mm），双孔孔径Φ5mm+Φ7.5；材质：优质硅胶；工艺：采用先进精密硅胶注塑技术一次成型无毛边、无合缝线，硬度适中、易插拔不阻涩；功能描述：用于实验中玻璃仪器的密封或与玻璃导管、温度计等配合使用，满足多种不同实验的密封及导气需求。耐高温、耐酸碱。</w:t>
            </w:r>
          </w:p>
        </w:tc>
        <w:tc>
          <w:tcPr>
            <w:tcW w:w="384" w:type="pct"/>
            <w:vAlign w:val="center"/>
          </w:tcPr>
          <w:p w14:paraId="53BEE928">
            <w:pPr>
              <w:jc w:val="center"/>
              <w:rPr>
                <w:color w:val="auto"/>
                <w:highlight w:val="none"/>
              </w:rPr>
            </w:pPr>
            <w:r>
              <w:rPr>
                <w:rFonts w:hint="eastAsia" w:ascii="宋体" w:hAnsi="宋体" w:cs="宋体"/>
                <w:color w:val="auto"/>
                <w:highlight w:val="none"/>
              </w:rPr>
              <w:t>个</w:t>
            </w:r>
          </w:p>
        </w:tc>
        <w:tc>
          <w:tcPr>
            <w:tcW w:w="385" w:type="pct"/>
            <w:vAlign w:val="center"/>
          </w:tcPr>
          <w:p w14:paraId="5E03951F">
            <w:pPr>
              <w:jc w:val="center"/>
              <w:rPr>
                <w:color w:val="auto"/>
                <w:highlight w:val="none"/>
              </w:rPr>
            </w:pPr>
            <w:r>
              <w:rPr>
                <w:rFonts w:hint="eastAsia" w:ascii="宋体" w:hAnsi="宋体" w:cs="宋体"/>
                <w:color w:val="auto"/>
                <w:highlight w:val="none"/>
              </w:rPr>
              <w:t>30</w:t>
            </w:r>
          </w:p>
        </w:tc>
      </w:tr>
      <w:tr w14:paraId="7CD2E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2C333ECE">
            <w:pPr>
              <w:jc w:val="center"/>
              <w:rPr>
                <w:rFonts w:hint="eastAsia" w:ascii="宋体" w:hAnsi="宋体" w:cs="宋体"/>
                <w:b/>
                <w:bCs/>
                <w:color w:val="auto"/>
                <w:highlight w:val="none"/>
              </w:rPr>
            </w:pPr>
            <w:r>
              <w:rPr>
                <w:rFonts w:hint="eastAsia" w:ascii="宋体" w:hAnsi="宋体" w:cs="宋体"/>
                <w:color w:val="auto"/>
                <w:highlight w:val="none"/>
              </w:rPr>
              <w:t>8</w:t>
            </w:r>
          </w:p>
        </w:tc>
        <w:tc>
          <w:tcPr>
            <w:tcW w:w="782" w:type="pct"/>
            <w:tcBorders>
              <w:left w:val="single" w:color="auto" w:sz="4" w:space="0"/>
              <w:right w:val="single" w:color="auto" w:sz="4" w:space="0"/>
            </w:tcBorders>
            <w:vAlign w:val="center"/>
          </w:tcPr>
          <w:p w14:paraId="44FD36BC">
            <w:pPr>
              <w:jc w:val="center"/>
              <w:rPr>
                <w:rFonts w:hint="eastAsia" w:ascii="宋体" w:hAnsi="宋体" w:cs="宋体"/>
                <w:b/>
                <w:bCs/>
                <w:color w:val="auto"/>
                <w:highlight w:val="none"/>
              </w:rPr>
            </w:pPr>
            <w:r>
              <w:rPr>
                <w:rFonts w:hint="eastAsia" w:ascii="宋体" w:hAnsi="宋体" w:cs="宋体"/>
                <w:color w:val="auto"/>
                <w:highlight w:val="none"/>
              </w:rPr>
              <w:t xml:space="preserve">37#双孔硅胶塞 </w:t>
            </w:r>
          </w:p>
        </w:tc>
        <w:tc>
          <w:tcPr>
            <w:tcW w:w="3079" w:type="pct"/>
            <w:tcBorders>
              <w:left w:val="single" w:color="auto" w:sz="4" w:space="0"/>
            </w:tcBorders>
            <w:vAlign w:val="center"/>
          </w:tcPr>
          <w:p w14:paraId="4129923A">
            <w:pPr>
              <w:rPr>
                <w:rFonts w:hint="eastAsia" w:ascii="宋体" w:hAnsi="宋体" w:cs="宋体"/>
                <w:b/>
                <w:bCs/>
                <w:color w:val="auto"/>
                <w:highlight w:val="none"/>
              </w:rPr>
            </w:pPr>
            <w:r>
              <w:rPr>
                <w:rFonts w:hint="eastAsia" w:ascii="宋体" w:hAnsi="宋体" w:cs="宋体"/>
                <w:color w:val="auto"/>
                <w:highlight w:val="none"/>
              </w:rPr>
              <w:t>基本规格：37×29×30mm（±5mm），双孔孔径Φ7mm；材质：优质硅胶；工艺：采用先进精密硅胶注塑技术一次成型无毛边、无合缝线，硬度适中、易插拔不阻涩；功能描述：用于实验中玻璃仪器的密封或与玻璃导管、温度计等配合使用，满足多种不同实验的密封及导气需求。耐高温、耐酸碱。</w:t>
            </w:r>
          </w:p>
        </w:tc>
        <w:tc>
          <w:tcPr>
            <w:tcW w:w="384" w:type="pct"/>
            <w:vAlign w:val="center"/>
          </w:tcPr>
          <w:p w14:paraId="72DBA34B">
            <w:pPr>
              <w:jc w:val="center"/>
              <w:rPr>
                <w:color w:val="auto"/>
                <w:highlight w:val="none"/>
              </w:rPr>
            </w:pPr>
            <w:r>
              <w:rPr>
                <w:rFonts w:hint="eastAsia" w:ascii="宋体" w:hAnsi="宋体" w:cs="宋体"/>
                <w:color w:val="auto"/>
                <w:highlight w:val="none"/>
              </w:rPr>
              <w:t>个</w:t>
            </w:r>
          </w:p>
        </w:tc>
        <w:tc>
          <w:tcPr>
            <w:tcW w:w="385" w:type="pct"/>
            <w:vAlign w:val="center"/>
          </w:tcPr>
          <w:p w14:paraId="6F14677C">
            <w:pPr>
              <w:jc w:val="center"/>
              <w:rPr>
                <w:color w:val="auto"/>
                <w:highlight w:val="none"/>
              </w:rPr>
            </w:pPr>
            <w:r>
              <w:rPr>
                <w:rFonts w:hint="eastAsia" w:ascii="宋体" w:hAnsi="宋体" w:cs="宋体"/>
                <w:color w:val="auto"/>
                <w:highlight w:val="none"/>
              </w:rPr>
              <w:t>30</w:t>
            </w:r>
          </w:p>
        </w:tc>
      </w:tr>
      <w:tr w14:paraId="5332C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421A12E6">
            <w:pPr>
              <w:jc w:val="center"/>
              <w:rPr>
                <w:rFonts w:hint="eastAsia" w:ascii="宋体" w:hAnsi="宋体" w:cs="宋体"/>
                <w:b/>
                <w:bCs/>
                <w:color w:val="auto"/>
                <w:highlight w:val="none"/>
              </w:rPr>
            </w:pPr>
            <w:r>
              <w:rPr>
                <w:rFonts w:hint="eastAsia" w:ascii="宋体" w:hAnsi="宋体" w:cs="宋体"/>
                <w:color w:val="auto"/>
                <w:highlight w:val="none"/>
              </w:rPr>
              <w:t>9</w:t>
            </w:r>
          </w:p>
        </w:tc>
        <w:tc>
          <w:tcPr>
            <w:tcW w:w="782" w:type="pct"/>
            <w:tcBorders>
              <w:left w:val="single" w:color="auto" w:sz="4" w:space="0"/>
              <w:right w:val="single" w:color="auto" w:sz="4" w:space="0"/>
            </w:tcBorders>
            <w:vAlign w:val="center"/>
          </w:tcPr>
          <w:p w14:paraId="7D53DA7E">
            <w:pPr>
              <w:jc w:val="center"/>
              <w:rPr>
                <w:rFonts w:hint="eastAsia" w:ascii="宋体" w:hAnsi="宋体" w:cs="宋体"/>
                <w:b/>
                <w:bCs/>
                <w:color w:val="auto"/>
                <w:highlight w:val="none"/>
              </w:rPr>
            </w:pPr>
            <w:r>
              <w:rPr>
                <w:rFonts w:hint="eastAsia" w:ascii="宋体" w:hAnsi="宋体" w:cs="宋体"/>
                <w:color w:val="auto"/>
                <w:highlight w:val="none"/>
              </w:rPr>
              <w:t>打孔器</w:t>
            </w:r>
          </w:p>
        </w:tc>
        <w:tc>
          <w:tcPr>
            <w:tcW w:w="3079" w:type="pct"/>
            <w:tcBorders>
              <w:left w:val="single" w:color="auto" w:sz="4" w:space="0"/>
            </w:tcBorders>
            <w:vAlign w:val="center"/>
          </w:tcPr>
          <w:p w14:paraId="14F204EB">
            <w:pPr>
              <w:rPr>
                <w:rFonts w:hint="eastAsia" w:ascii="宋体" w:hAnsi="宋体" w:cs="宋体"/>
                <w:b/>
                <w:bCs/>
                <w:color w:val="auto"/>
                <w:highlight w:val="none"/>
              </w:rPr>
            </w:pPr>
            <w:r>
              <w:rPr>
                <w:rFonts w:hint="eastAsia" w:ascii="宋体" w:hAnsi="宋体" w:cs="宋体"/>
                <w:color w:val="auto"/>
                <w:highlight w:val="none"/>
              </w:rPr>
              <w:t>采用优质钢材，镀铬处理。1.管长90mm。2.穿孔管用外径为6mm、8mm、10mm、12mm，壁厚≥1mm的冷拔无缝钢管。3.手柄用2mm厚低碳钢板。4.通用条Ф3mm、长90mm碳素钢制成。5.四件为一套。6.可穿4mm、6mm、8mm、10mm的圆孔。 7.其它符合JY0001－2003《教学仪器设备产品一般质量要求》的有关规定。</w:t>
            </w:r>
          </w:p>
        </w:tc>
        <w:tc>
          <w:tcPr>
            <w:tcW w:w="384" w:type="pct"/>
            <w:vAlign w:val="center"/>
          </w:tcPr>
          <w:p w14:paraId="23B369A3">
            <w:pPr>
              <w:jc w:val="center"/>
              <w:rPr>
                <w:color w:val="auto"/>
                <w:highlight w:val="none"/>
              </w:rPr>
            </w:pPr>
            <w:r>
              <w:rPr>
                <w:rFonts w:hint="eastAsia" w:ascii="宋体" w:hAnsi="宋体" w:cs="宋体"/>
                <w:color w:val="auto"/>
                <w:highlight w:val="none"/>
              </w:rPr>
              <w:t>套</w:t>
            </w:r>
          </w:p>
        </w:tc>
        <w:tc>
          <w:tcPr>
            <w:tcW w:w="385" w:type="pct"/>
            <w:vAlign w:val="center"/>
          </w:tcPr>
          <w:p w14:paraId="34E869E2">
            <w:pPr>
              <w:jc w:val="center"/>
              <w:rPr>
                <w:color w:val="auto"/>
                <w:highlight w:val="none"/>
              </w:rPr>
            </w:pPr>
            <w:r>
              <w:rPr>
                <w:rFonts w:hint="eastAsia" w:ascii="宋体" w:hAnsi="宋体" w:cs="宋体"/>
                <w:color w:val="auto"/>
                <w:highlight w:val="none"/>
              </w:rPr>
              <w:t>1</w:t>
            </w:r>
          </w:p>
        </w:tc>
      </w:tr>
      <w:tr w14:paraId="2E95A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5E8FBB09">
            <w:pPr>
              <w:jc w:val="center"/>
              <w:rPr>
                <w:rFonts w:hint="eastAsia" w:ascii="宋体" w:hAnsi="宋体" w:cs="宋体"/>
                <w:b/>
                <w:bCs/>
                <w:color w:val="auto"/>
                <w:highlight w:val="none"/>
              </w:rPr>
            </w:pPr>
            <w:r>
              <w:rPr>
                <w:rFonts w:hint="eastAsia" w:ascii="宋体" w:hAnsi="宋体" w:cs="宋体"/>
                <w:color w:val="auto"/>
                <w:highlight w:val="none"/>
              </w:rPr>
              <w:t>10</w:t>
            </w:r>
          </w:p>
        </w:tc>
        <w:tc>
          <w:tcPr>
            <w:tcW w:w="782" w:type="pct"/>
            <w:tcBorders>
              <w:left w:val="single" w:color="auto" w:sz="4" w:space="0"/>
              <w:right w:val="single" w:color="auto" w:sz="4" w:space="0"/>
            </w:tcBorders>
            <w:vAlign w:val="center"/>
          </w:tcPr>
          <w:p w14:paraId="4B0731FE">
            <w:pPr>
              <w:jc w:val="center"/>
              <w:rPr>
                <w:rFonts w:hint="eastAsia" w:ascii="宋体" w:hAnsi="宋体" w:cs="宋体"/>
                <w:b/>
                <w:bCs/>
                <w:color w:val="auto"/>
                <w:highlight w:val="none"/>
              </w:rPr>
            </w:pPr>
            <w:r>
              <w:rPr>
                <w:rFonts w:hint="eastAsia" w:ascii="宋体" w:hAnsi="宋体" w:cs="宋体"/>
                <w:color w:val="auto"/>
                <w:highlight w:val="none"/>
              </w:rPr>
              <w:t>教学支架</w:t>
            </w:r>
          </w:p>
        </w:tc>
        <w:tc>
          <w:tcPr>
            <w:tcW w:w="3079" w:type="pct"/>
            <w:tcBorders>
              <w:left w:val="single" w:color="auto" w:sz="4" w:space="0"/>
            </w:tcBorders>
            <w:vAlign w:val="center"/>
          </w:tcPr>
          <w:p w14:paraId="6E15C26D">
            <w:pPr>
              <w:rPr>
                <w:rFonts w:hint="eastAsia" w:ascii="宋体" w:hAnsi="宋体" w:cs="宋体"/>
                <w:b/>
                <w:bCs/>
                <w:color w:val="auto"/>
                <w:highlight w:val="none"/>
              </w:rPr>
            </w:pPr>
            <w:r>
              <w:rPr>
                <w:rFonts w:hint="eastAsia" w:ascii="宋体" w:hAnsi="宋体" w:cs="宋体"/>
                <w:color w:val="auto"/>
                <w:highlight w:val="none"/>
              </w:rPr>
              <w:t>包括方形座，立杆，平行夹，垂直夹两个，烧瓶夹，大铁环，小铁环，吊杆。重心稳定不晃动，烧瓶夹内侧应有缓压层。</w:t>
            </w:r>
          </w:p>
        </w:tc>
        <w:tc>
          <w:tcPr>
            <w:tcW w:w="384" w:type="pct"/>
            <w:vAlign w:val="center"/>
          </w:tcPr>
          <w:p w14:paraId="53D0B1AE">
            <w:pPr>
              <w:jc w:val="center"/>
              <w:rPr>
                <w:color w:val="auto"/>
                <w:highlight w:val="none"/>
              </w:rPr>
            </w:pPr>
            <w:r>
              <w:rPr>
                <w:rFonts w:hint="eastAsia" w:ascii="宋体" w:hAnsi="宋体" w:cs="宋体"/>
                <w:color w:val="auto"/>
                <w:highlight w:val="none"/>
              </w:rPr>
              <w:t>套</w:t>
            </w:r>
          </w:p>
        </w:tc>
        <w:tc>
          <w:tcPr>
            <w:tcW w:w="385" w:type="pct"/>
            <w:vAlign w:val="center"/>
          </w:tcPr>
          <w:p w14:paraId="083D3136">
            <w:pPr>
              <w:jc w:val="center"/>
              <w:rPr>
                <w:color w:val="auto"/>
                <w:highlight w:val="none"/>
              </w:rPr>
            </w:pPr>
            <w:r>
              <w:rPr>
                <w:rFonts w:hint="eastAsia" w:ascii="宋体" w:hAnsi="宋体" w:cs="宋体"/>
                <w:color w:val="auto"/>
                <w:highlight w:val="none"/>
              </w:rPr>
              <w:t>30</w:t>
            </w:r>
          </w:p>
        </w:tc>
      </w:tr>
      <w:tr w14:paraId="1059E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3E00EAFC">
            <w:pPr>
              <w:jc w:val="center"/>
              <w:rPr>
                <w:rFonts w:hint="eastAsia" w:ascii="宋体" w:hAnsi="宋体" w:cs="宋体"/>
                <w:b/>
                <w:bCs/>
                <w:color w:val="auto"/>
                <w:highlight w:val="none"/>
              </w:rPr>
            </w:pPr>
            <w:r>
              <w:rPr>
                <w:rFonts w:hint="eastAsia" w:ascii="宋体" w:hAnsi="宋体" w:cs="宋体"/>
                <w:color w:val="auto"/>
                <w:highlight w:val="none"/>
              </w:rPr>
              <w:t>11</w:t>
            </w:r>
          </w:p>
        </w:tc>
        <w:tc>
          <w:tcPr>
            <w:tcW w:w="782" w:type="pct"/>
            <w:tcBorders>
              <w:left w:val="single" w:color="auto" w:sz="4" w:space="0"/>
              <w:right w:val="single" w:color="auto" w:sz="4" w:space="0"/>
            </w:tcBorders>
            <w:vAlign w:val="center"/>
          </w:tcPr>
          <w:p w14:paraId="44438DED">
            <w:pPr>
              <w:jc w:val="center"/>
              <w:rPr>
                <w:rFonts w:hint="eastAsia" w:ascii="宋体" w:hAnsi="宋体" w:cs="宋体"/>
                <w:b/>
                <w:bCs/>
                <w:color w:val="auto"/>
                <w:highlight w:val="none"/>
              </w:rPr>
            </w:pPr>
            <w:r>
              <w:rPr>
                <w:rFonts w:hint="eastAsia" w:ascii="宋体" w:hAnsi="宋体" w:cs="宋体"/>
                <w:color w:val="auto"/>
                <w:highlight w:val="none"/>
              </w:rPr>
              <w:t>试剂瓶托盘</w:t>
            </w:r>
          </w:p>
        </w:tc>
        <w:tc>
          <w:tcPr>
            <w:tcW w:w="3079" w:type="pct"/>
            <w:tcBorders>
              <w:left w:val="single" w:color="auto" w:sz="4" w:space="0"/>
            </w:tcBorders>
            <w:vAlign w:val="center"/>
          </w:tcPr>
          <w:p w14:paraId="6EA8A8C4">
            <w:pPr>
              <w:rPr>
                <w:rFonts w:hint="eastAsia" w:ascii="宋体" w:hAnsi="宋体" w:cs="宋体"/>
                <w:color w:val="auto"/>
                <w:highlight w:val="none"/>
              </w:rPr>
            </w:pPr>
            <w:r>
              <w:rPr>
                <w:rFonts w:hint="eastAsia" w:ascii="宋体" w:hAnsi="宋体" w:cs="宋体"/>
                <w:color w:val="auto"/>
                <w:highlight w:val="none"/>
              </w:rPr>
              <w:t>1.本盘平时放于药品柜中，基本尺寸≥400 mm×290 mm×50 mm，四边有护边，一盘内可同时放小试剂瓶30个以内。</w:t>
            </w:r>
          </w:p>
          <w:p w14:paraId="575F6814">
            <w:pPr>
              <w:rPr>
                <w:rFonts w:hint="eastAsia" w:ascii="宋体" w:hAnsi="宋体" w:cs="宋体"/>
                <w:color w:val="auto"/>
                <w:highlight w:val="none"/>
              </w:rPr>
            </w:pPr>
            <w:r>
              <w:rPr>
                <w:rFonts w:hint="eastAsia" w:ascii="宋体" w:hAnsi="宋体" w:cs="宋体"/>
                <w:color w:val="auto"/>
                <w:highlight w:val="none"/>
              </w:rPr>
              <w:t>2.材质为耐酸碱塑料注塑成型，化学稳定性好，防止化学药品的腐蚀；托盘应能在高度1m处自由下落于水泥地面不碎裂。</w:t>
            </w:r>
          </w:p>
          <w:p w14:paraId="0228B14B">
            <w:pPr>
              <w:rPr>
                <w:rFonts w:hint="eastAsia" w:ascii="宋体" w:hAnsi="宋体" w:cs="宋体"/>
                <w:color w:val="auto"/>
                <w:highlight w:val="none"/>
              </w:rPr>
            </w:pPr>
            <w:r>
              <w:rPr>
                <w:rFonts w:hint="eastAsia" w:ascii="宋体" w:hAnsi="宋体" w:cs="宋体"/>
                <w:color w:val="auto"/>
                <w:highlight w:val="none"/>
              </w:rPr>
              <w:t>3.托盘质量应保证不易老化，变脆和开裂等；托盘底板厚度应满足承重要求。</w:t>
            </w:r>
          </w:p>
          <w:p w14:paraId="6E263E8B">
            <w:pPr>
              <w:rPr>
                <w:rFonts w:hint="eastAsia" w:ascii="宋体" w:hAnsi="宋体" w:cs="宋体"/>
                <w:b/>
                <w:bCs/>
                <w:color w:val="auto"/>
                <w:highlight w:val="none"/>
              </w:rPr>
            </w:pPr>
            <w:r>
              <w:rPr>
                <w:rFonts w:hint="eastAsia" w:ascii="宋体" w:hAnsi="宋体" w:cs="宋体"/>
                <w:color w:val="auto"/>
                <w:highlight w:val="none"/>
              </w:rPr>
              <w:t>4.其他：符合教育部标准JY0001-2003《教学仪器设备一般质量要求》的有关要求。</w:t>
            </w:r>
          </w:p>
        </w:tc>
        <w:tc>
          <w:tcPr>
            <w:tcW w:w="384" w:type="pct"/>
            <w:vAlign w:val="center"/>
          </w:tcPr>
          <w:p w14:paraId="4C3A5275">
            <w:pPr>
              <w:jc w:val="center"/>
              <w:rPr>
                <w:color w:val="auto"/>
                <w:highlight w:val="none"/>
              </w:rPr>
            </w:pPr>
            <w:r>
              <w:rPr>
                <w:rFonts w:hint="eastAsia" w:ascii="宋体" w:hAnsi="宋体" w:cs="宋体"/>
                <w:color w:val="auto"/>
                <w:highlight w:val="none"/>
              </w:rPr>
              <w:t>个</w:t>
            </w:r>
          </w:p>
        </w:tc>
        <w:tc>
          <w:tcPr>
            <w:tcW w:w="385" w:type="pct"/>
            <w:vAlign w:val="center"/>
          </w:tcPr>
          <w:p w14:paraId="747A3BED">
            <w:pPr>
              <w:jc w:val="center"/>
              <w:rPr>
                <w:color w:val="auto"/>
                <w:highlight w:val="none"/>
              </w:rPr>
            </w:pPr>
            <w:r>
              <w:rPr>
                <w:rFonts w:hint="eastAsia" w:ascii="宋体" w:hAnsi="宋体" w:cs="宋体"/>
                <w:color w:val="auto"/>
                <w:highlight w:val="none"/>
              </w:rPr>
              <w:t>30</w:t>
            </w:r>
          </w:p>
        </w:tc>
      </w:tr>
      <w:tr w14:paraId="6D2DF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635C5F60">
            <w:pPr>
              <w:jc w:val="center"/>
              <w:rPr>
                <w:rFonts w:hint="eastAsia" w:ascii="宋体" w:hAnsi="宋体" w:cs="宋体"/>
                <w:b/>
                <w:bCs/>
                <w:color w:val="auto"/>
                <w:highlight w:val="none"/>
              </w:rPr>
            </w:pPr>
            <w:r>
              <w:rPr>
                <w:rFonts w:hint="eastAsia" w:ascii="宋体" w:hAnsi="宋体" w:cs="宋体"/>
                <w:color w:val="auto"/>
                <w:highlight w:val="none"/>
              </w:rPr>
              <w:t>12</w:t>
            </w:r>
          </w:p>
        </w:tc>
        <w:tc>
          <w:tcPr>
            <w:tcW w:w="782" w:type="pct"/>
            <w:tcBorders>
              <w:left w:val="single" w:color="auto" w:sz="4" w:space="0"/>
              <w:right w:val="single" w:color="auto" w:sz="4" w:space="0"/>
            </w:tcBorders>
            <w:vAlign w:val="center"/>
          </w:tcPr>
          <w:p w14:paraId="69C3C33C">
            <w:pPr>
              <w:jc w:val="center"/>
              <w:rPr>
                <w:rFonts w:hint="eastAsia" w:ascii="宋体" w:hAnsi="宋体" w:cs="宋体"/>
                <w:b/>
                <w:bCs/>
                <w:color w:val="auto"/>
                <w:highlight w:val="none"/>
              </w:rPr>
            </w:pPr>
            <w:r>
              <w:rPr>
                <w:rFonts w:hint="eastAsia" w:ascii="宋体" w:hAnsi="宋体" w:cs="宋体"/>
                <w:color w:val="auto"/>
                <w:highlight w:val="none"/>
              </w:rPr>
              <w:t>X型支座</w:t>
            </w:r>
          </w:p>
        </w:tc>
        <w:tc>
          <w:tcPr>
            <w:tcW w:w="3079" w:type="pct"/>
            <w:tcBorders>
              <w:left w:val="single" w:color="auto" w:sz="4" w:space="0"/>
            </w:tcBorders>
            <w:vAlign w:val="center"/>
          </w:tcPr>
          <w:p w14:paraId="1625BB14">
            <w:pPr>
              <w:rPr>
                <w:rFonts w:hint="eastAsia" w:ascii="宋体" w:hAnsi="宋体" w:cs="宋体"/>
                <w:b/>
                <w:bCs/>
                <w:color w:val="auto"/>
                <w:highlight w:val="none"/>
              </w:rPr>
            </w:pPr>
            <w:r>
              <w:rPr>
                <w:rFonts w:hint="eastAsia" w:ascii="宋体" w:hAnsi="宋体" w:cs="宋体"/>
                <w:color w:val="auto"/>
                <w:highlight w:val="none"/>
              </w:rPr>
              <w:t>材质：黑色增强尼龙、镀锌圆钢，确保强度且耐酸耐碱；工艺：塑料注塑成型、表面镀锌、超声波焊接处理；产品结构：90度角双臂，半轴长165.5mm，底座高度24mm，顶部带φ10扩展孔，匍氏耦合对接挂钩、φ10凹凸式双轨插孔，自锁紧双下压扣，多功能杆插孔、斜顶式M6螺丝锁紧孔,底部自粘橡胶地脚阻滑增强支架整体的稳定度！功能描述：Half-Half对偶插接式构造能够进行多种结构拓展：1.两件对插呈X型可作为常规铁架台底座；2.可对接不同长度的支撑杆组成不同种类的支撑座；3.可作为光学实验导轨；4.拓展为其他产品的轨道座；5.级联底座作为配重等。</w:t>
            </w:r>
          </w:p>
        </w:tc>
        <w:tc>
          <w:tcPr>
            <w:tcW w:w="384" w:type="pct"/>
            <w:vAlign w:val="center"/>
          </w:tcPr>
          <w:p w14:paraId="40869F6B">
            <w:pPr>
              <w:jc w:val="center"/>
              <w:rPr>
                <w:color w:val="auto"/>
                <w:highlight w:val="none"/>
              </w:rPr>
            </w:pPr>
            <w:r>
              <w:rPr>
                <w:rFonts w:hint="eastAsia" w:ascii="宋体" w:hAnsi="宋体" w:cs="宋体"/>
                <w:color w:val="auto"/>
                <w:highlight w:val="none"/>
              </w:rPr>
              <w:t>套</w:t>
            </w:r>
          </w:p>
        </w:tc>
        <w:tc>
          <w:tcPr>
            <w:tcW w:w="385" w:type="pct"/>
            <w:vAlign w:val="center"/>
          </w:tcPr>
          <w:p w14:paraId="079EABB5">
            <w:pPr>
              <w:jc w:val="center"/>
              <w:rPr>
                <w:color w:val="auto"/>
                <w:highlight w:val="none"/>
              </w:rPr>
            </w:pPr>
            <w:r>
              <w:rPr>
                <w:rFonts w:hint="eastAsia" w:ascii="宋体" w:hAnsi="宋体" w:cs="宋体"/>
                <w:color w:val="auto"/>
                <w:highlight w:val="none"/>
              </w:rPr>
              <w:t>30</w:t>
            </w:r>
          </w:p>
        </w:tc>
      </w:tr>
      <w:tr w14:paraId="6B9DD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18871E07">
            <w:pPr>
              <w:jc w:val="center"/>
              <w:rPr>
                <w:rFonts w:hint="eastAsia" w:ascii="宋体" w:hAnsi="宋体" w:cs="宋体"/>
                <w:b/>
                <w:bCs/>
                <w:color w:val="auto"/>
                <w:highlight w:val="none"/>
              </w:rPr>
            </w:pPr>
            <w:r>
              <w:rPr>
                <w:rFonts w:hint="eastAsia" w:ascii="宋体" w:hAnsi="宋体" w:cs="宋体"/>
                <w:color w:val="auto"/>
                <w:highlight w:val="none"/>
              </w:rPr>
              <w:t>13</w:t>
            </w:r>
          </w:p>
        </w:tc>
        <w:tc>
          <w:tcPr>
            <w:tcW w:w="782" w:type="pct"/>
            <w:tcBorders>
              <w:left w:val="single" w:color="auto" w:sz="4" w:space="0"/>
              <w:right w:val="single" w:color="auto" w:sz="4" w:space="0"/>
            </w:tcBorders>
            <w:vAlign w:val="center"/>
          </w:tcPr>
          <w:p w14:paraId="1297B874">
            <w:pPr>
              <w:jc w:val="center"/>
              <w:rPr>
                <w:rFonts w:hint="eastAsia" w:ascii="宋体" w:hAnsi="宋体" w:cs="宋体"/>
                <w:b/>
                <w:bCs/>
                <w:color w:val="auto"/>
                <w:highlight w:val="none"/>
              </w:rPr>
            </w:pPr>
            <w:r>
              <w:rPr>
                <w:rFonts w:hint="eastAsia" w:ascii="宋体" w:hAnsi="宋体" w:cs="宋体"/>
                <w:color w:val="auto"/>
                <w:highlight w:val="none"/>
              </w:rPr>
              <w:t>双向转接头</w:t>
            </w:r>
          </w:p>
        </w:tc>
        <w:tc>
          <w:tcPr>
            <w:tcW w:w="3079" w:type="pct"/>
            <w:tcBorders>
              <w:left w:val="single" w:color="auto" w:sz="4" w:space="0"/>
            </w:tcBorders>
            <w:vAlign w:val="center"/>
          </w:tcPr>
          <w:p w14:paraId="618BFFAC">
            <w:pPr>
              <w:rPr>
                <w:rFonts w:hint="eastAsia" w:ascii="宋体" w:hAnsi="宋体" w:cs="宋体"/>
                <w:b/>
                <w:bCs/>
                <w:color w:val="auto"/>
                <w:highlight w:val="none"/>
              </w:rPr>
            </w:pPr>
            <w:r>
              <w:rPr>
                <w:rFonts w:hint="eastAsia" w:ascii="宋体" w:hAnsi="宋体" w:cs="宋体"/>
                <w:color w:val="auto"/>
                <w:highlight w:val="none"/>
              </w:rPr>
              <w:t>铝合金，30×30×65mm，搭配2个M6*25mm不锈钢螺丝。</w:t>
            </w:r>
          </w:p>
        </w:tc>
        <w:tc>
          <w:tcPr>
            <w:tcW w:w="384" w:type="pct"/>
            <w:vAlign w:val="center"/>
          </w:tcPr>
          <w:p w14:paraId="52DC58E7">
            <w:pPr>
              <w:jc w:val="center"/>
              <w:rPr>
                <w:color w:val="auto"/>
                <w:highlight w:val="none"/>
              </w:rPr>
            </w:pPr>
            <w:r>
              <w:rPr>
                <w:rFonts w:hint="eastAsia" w:ascii="宋体" w:hAnsi="宋体" w:cs="宋体"/>
                <w:color w:val="auto"/>
                <w:highlight w:val="none"/>
              </w:rPr>
              <w:t>套</w:t>
            </w:r>
          </w:p>
        </w:tc>
        <w:tc>
          <w:tcPr>
            <w:tcW w:w="385" w:type="pct"/>
            <w:vAlign w:val="center"/>
          </w:tcPr>
          <w:p w14:paraId="6A4B7393">
            <w:pPr>
              <w:jc w:val="center"/>
              <w:rPr>
                <w:color w:val="auto"/>
                <w:highlight w:val="none"/>
              </w:rPr>
            </w:pPr>
            <w:r>
              <w:rPr>
                <w:rFonts w:hint="eastAsia" w:ascii="宋体" w:hAnsi="宋体" w:cs="宋体"/>
                <w:color w:val="auto"/>
                <w:highlight w:val="none"/>
              </w:rPr>
              <w:t>60</w:t>
            </w:r>
          </w:p>
        </w:tc>
      </w:tr>
      <w:tr w14:paraId="40BCA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20569E9F">
            <w:pPr>
              <w:jc w:val="center"/>
              <w:rPr>
                <w:rFonts w:hint="eastAsia" w:ascii="宋体" w:hAnsi="宋体" w:cs="宋体"/>
                <w:b/>
                <w:bCs/>
                <w:color w:val="auto"/>
                <w:highlight w:val="none"/>
              </w:rPr>
            </w:pPr>
            <w:r>
              <w:rPr>
                <w:rFonts w:hint="eastAsia" w:ascii="宋体" w:hAnsi="宋体" w:cs="宋体"/>
                <w:color w:val="auto"/>
                <w:highlight w:val="none"/>
              </w:rPr>
              <w:t>14</w:t>
            </w:r>
          </w:p>
        </w:tc>
        <w:tc>
          <w:tcPr>
            <w:tcW w:w="782" w:type="pct"/>
            <w:tcBorders>
              <w:left w:val="single" w:color="auto" w:sz="4" w:space="0"/>
              <w:right w:val="single" w:color="auto" w:sz="4" w:space="0"/>
            </w:tcBorders>
            <w:vAlign w:val="center"/>
          </w:tcPr>
          <w:p w14:paraId="360FF4BB">
            <w:pPr>
              <w:jc w:val="center"/>
              <w:rPr>
                <w:rFonts w:hint="eastAsia" w:ascii="宋体" w:hAnsi="宋体" w:cs="宋体"/>
                <w:b/>
                <w:bCs/>
                <w:color w:val="auto"/>
                <w:highlight w:val="none"/>
              </w:rPr>
            </w:pPr>
            <w:r>
              <w:rPr>
                <w:rFonts w:hint="eastAsia" w:ascii="宋体" w:hAnsi="宋体" w:cs="宋体"/>
                <w:color w:val="auto"/>
                <w:highlight w:val="none"/>
              </w:rPr>
              <w:t>250mm不锈钢支撑杆</w:t>
            </w:r>
          </w:p>
        </w:tc>
        <w:tc>
          <w:tcPr>
            <w:tcW w:w="3079" w:type="pct"/>
            <w:tcBorders>
              <w:left w:val="single" w:color="auto" w:sz="4" w:space="0"/>
            </w:tcBorders>
            <w:vAlign w:val="center"/>
          </w:tcPr>
          <w:p w14:paraId="1D2C81E7">
            <w:pPr>
              <w:rPr>
                <w:rFonts w:hint="eastAsia" w:ascii="宋体" w:hAnsi="宋体" w:cs="宋体"/>
                <w:b/>
                <w:bCs/>
                <w:color w:val="auto"/>
                <w:highlight w:val="none"/>
              </w:rPr>
            </w:pPr>
            <w:r>
              <w:rPr>
                <w:rFonts w:hint="eastAsia" w:ascii="宋体" w:hAnsi="宋体" w:cs="宋体"/>
                <w:color w:val="auto"/>
                <w:highlight w:val="none"/>
              </w:rPr>
              <w:t>不锈钢250mm。</w:t>
            </w:r>
          </w:p>
        </w:tc>
        <w:tc>
          <w:tcPr>
            <w:tcW w:w="384" w:type="pct"/>
            <w:vAlign w:val="center"/>
          </w:tcPr>
          <w:p w14:paraId="4F8037D6">
            <w:pPr>
              <w:jc w:val="center"/>
              <w:rPr>
                <w:color w:val="auto"/>
                <w:highlight w:val="none"/>
              </w:rPr>
            </w:pPr>
            <w:r>
              <w:rPr>
                <w:rFonts w:hint="eastAsia" w:ascii="宋体" w:hAnsi="宋体" w:cs="宋体"/>
                <w:color w:val="auto"/>
                <w:highlight w:val="none"/>
              </w:rPr>
              <w:t>根</w:t>
            </w:r>
          </w:p>
        </w:tc>
        <w:tc>
          <w:tcPr>
            <w:tcW w:w="385" w:type="pct"/>
            <w:vAlign w:val="center"/>
          </w:tcPr>
          <w:p w14:paraId="04EADA12">
            <w:pPr>
              <w:jc w:val="center"/>
              <w:rPr>
                <w:color w:val="auto"/>
                <w:highlight w:val="none"/>
              </w:rPr>
            </w:pPr>
            <w:r>
              <w:rPr>
                <w:rFonts w:hint="eastAsia" w:ascii="宋体" w:hAnsi="宋体" w:cs="宋体"/>
                <w:color w:val="auto"/>
                <w:highlight w:val="none"/>
              </w:rPr>
              <w:t>30</w:t>
            </w:r>
          </w:p>
        </w:tc>
      </w:tr>
      <w:tr w14:paraId="6EA34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20BB8520">
            <w:pPr>
              <w:jc w:val="center"/>
              <w:rPr>
                <w:rFonts w:hint="eastAsia" w:ascii="宋体" w:hAnsi="宋体" w:cs="宋体"/>
                <w:b/>
                <w:bCs/>
                <w:color w:val="auto"/>
                <w:highlight w:val="none"/>
              </w:rPr>
            </w:pPr>
            <w:r>
              <w:rPr>
                <w:rFonts w:hint="eastAsia" w:ascii="宋体" w:hAnsi="宋体" w:cs="宋体"/>
                <w:color w:val="auto"/>
                <w:highlight w:val="none"/>
              </w:rPr>
              <w:t>15</w:t>
            </w:r>
          </w:p>
        </w:tc>
        <w:tc>
          <w:tcPr>
            <w:tcW w:w="782" w:type="pct"/>
            <w:tcBorders>
              <w:left w:val="single" w:color="auto" w:sz="4" w:space="0"/>
              <w:right w:val="single" w:color="auto" w:sz="4" w:space="0"/>
            </w:tcBorders>
            <w:vAlign w:val="center"/>
          </w:tcPr>
          <w:p w14:paraId="54EED2A6">
            <w:pPr>
              <w:jc w:val="center"/>
              <w:rPr>
                <w:rFonts w:hint="eastAsia" w:ascii="宋体" w:hAnsi="宋体" w:cs="宋体"/>
                <w:b/>
                <w:bCs/>
                <w:color w:val="auto"/>
                <w:highlight w:val="none"/>
              </w:rPr>
            </w:pPr>
            <w:r>
              <w:rPr>
                <w:rFonts w:hint="eastAsia" w:ascii="宋体" w:hAnsi="宋体" w:cs="宋体"/>
                <w:color w:val="auto"/>
                <w:highlight w:val="none"/>
              </w:rPr>
              <w:t>600mm不锈钢支撑杆</w:t>
            </w:r>
          </w:p>
        </w:tc>
        <w:tc>
          <w:tcPr>
            <w:tcW w:w="3079" w:type="pct"/>
            <w:tcBorders>
              <w:left w:val="single" w:color="auto" w:sz="4" w:space="0"/>
            </w:tcBorders>
            <w:vAlign w:val="center"/>
          </w:tcPr>
          <w:p w14:paraId="691402B8">
            <w:pPr>
              <w:rPr>
                <w:rFonts w:hint="eastAsia" w:ascii="宋体" w:hAnsi="宋体" w:cs="宋体"/>
                <w:b/>
                <w:bCs/>
                <w:color w:val="auto"/>
                <w:highlight w:val="none"/>
              </w:rPr>
            </w:pPr>
            <w:r>
              <w:rPr>
                <w:rFonts w:hint="eastAsia" w:ascii="宋体" w:hAnsi="宋体" w:cs="宋体"/>
                <w:color w:val="auto"/>
                <w:highlight w:val="none"/>
              </w:rPr>
              <w:t>2根/套，单根杆长 300mm，杆与杆可以螺纹对接。</w:t>
            </w:r>
          </w:p>
        </w:tc>
        <w:tc>
          <w:tcPr>
            <w:tcW w:w="384" w:type="pct"/>
            <w:vAlign w:val="center"/>
          </w:tcPr>
          <w:p w14:paraId="3FB93392">
            <w:pPr>
              <w:jc w:val="center"/>
              <w:rPr>
                <w:color w:val="auto"/>
                <w:highlight w:val="none"/>
              </w:rPr>
            </w:pPr>
            <w:r>
              <w:rPr>
                <w:rFonts w:hint="eastAsia" w:ascii="宋体" w:hAnsi="宋体" w:cs="宋体"/>
                <w:color w:val="auto"/>
                <w:highlight w:val="none"/>
              </w:rPr>
              <w:t>根</w:t>
            </w:r>
          </w:p>
        </w:tc>
        <w:tc>
          <w:tcPr>
            <w:tcW w:w="385" w:type="pct"/>
            <w:vAlign w:val="center"/>
          </w:tcPr>
          <w:p w14:paraId="3EFC4301">
            <w:pPr>
              <w:jc w:val="center"/>
              <w:rPr>
                <w:color w:val="auto"/>
                <w:highlight w:val="none"/>
              </w:rPr>
            </w:pPr>
            <w:r>
              <w:rPr>
                <w:rFonts w:hint="eastAsia" w:ascii="宋体" w:hAnsi="宋体" w:cs="宋体"/>
                <w:color w:val="auto"/>
                <w:highlight w:val="none"/>
              </w:rPr>
              <w:t>30</w:t>
            </w:r>
          </w:p>
        </w:tc>
      </w:tr>
      <w:tr w14:paraId="3C612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088697E6">
            <w:pPr>
              <w:jc w:val="center"/>
              <w:rPr>
                <w:rFonts w:hint="eastAsia" w:ascii="宋体" w:hAnsi="宋体" w:cs="宋体"/>
                <w:b/>
                <w:bCs/>
                <w:color w:val="auto"/>
                <w:highlight w:val="none"/>
              </w:rPr>
            </w:pPr>
            <w:r>
              <w:rPr>
                <w:rFonts w:hint="eastAsia" w:ascii="宋体" w:hAnsi="宋体" w:cs="宋体"/>
                <w:color w:val="auto"/>
                <w:highlight w:val="none"/>
              </w:rPr>
              <w:t>16</w:t>
            </w:r>
          </w:p>
        </w:tc>
        <w:tc>
          <w:tcPr>
            <w:tcW w:w="782" w:type="pct"/>
            <w:tcBorders>
              <w:left w:val="single" w:color="auto" w:sz="4" w:space="0"/>
              <w:right w:val="single" w:color="auto" w:sz="4" w:space="0"/>
            </w:tcBorders>
            <w:vAlign w:val="center"/>
          </w:tcPr>
          <w:p w14:paraId="2E7E000A">
            <w:pPr>
              <w:jc w:val="center"/>
              <w:rPr>
                <w:rFonts w:hint="eastAsia" w:ascii="宋体" w:hAnsi="宋体" w:cs="宋体"/>
                <w:b/>
                <w:bCs/>
                <w:color w:val="auto"/>
                <w:highlight w:val="none"/>
              </w:rPr>
            </w:pPr>
            <w:r>
              <w:rPr>
                <w:rFonts w:hint="eastAsia" w:ascii="宋体" w:hAnsi="宋体" w:cs="宋体"/>
                <w:color w:val="auto"/>
                <w:highlight w:val="none"/>
              </w:rPr>
              <w:t>多功能温度计管夹</w:t>
            </w:r>
          </w:p>
        </w:tc>
        <w:tc>
          <w:tcPr>
            <w:tcW w:w="3079" w:type="pct"/>
            <w:tcBorders>
              <w:left w:val="single" w:color="auto" w:sz="4" w:space="0"/>
            </w:tcBorders>
            <w:vAlign w:val="center"/>
          </w:tcPr>
          <w:p w14:paraId="32D43CED">
            <w:pPr>
              <w:rPr>
                <w:rFonts w:hint="eastAsia" w:ascii="宋体" w:hAnsi="宋体" w:cs="宋体"/>
                <w:b/>
                <w:bCs/>
                <w:color w:val="auto"/>
                <w:highlight w:val="none"/>
              </w:rPr>
            </w:pPr>
            <w:r>
              <w:rPr>
                <w:rFonts w:hint="eastAsia" w:ascii="宋体" w:hAnsi="宋体" w:cs="宋体"/>
                <w:color w:val="auto"/>
                <w:highlight w:val="none"/>
              </w:rPr>
              <w:t>基本尺寸规格：长宽高70*35*25mm（±5mm）；材质工艺：橘黄色ABS，精密注塑成型；功能描述：在多个方向上夹持温度计或者固定在铁架台组件上。</w:t>
            </w:r>
          </w:p>
        </w:tc>
        <w:tc>
          <w:tcPr>
            <w:tcW w:w="384" w:type="pct"/>
            <w:vAlign w:val="center"/>
          </w:tcPr>
          <w:p w14:paraId="133219E8">
            <w:pPr>
              <w:jc w:val="center"/>
              <w:rPr>
                <w:color w:val="auto"/>
                <w:highlight w:val="none"/>
              </w:rPr>
            </w:pPr>
            <w:r>
              <w:rPr>
                <w:rFonts w:hint="eastAsia" w:ascii="宋体" w:hAnsi="宋体" w:cs="宋体"/>
                <w:color w:val="auto"/>
                <w:highlight w:val="none"/>
              </w:rPr>
              <w:t>个</w:t>
            </w:r>
          </w:p>
        </w:tc>
        <w:tc>
          <w:tcPr>
            <w:tcW w:w="385" w:type="pct"/>
            <w:vAlign w:val="center"/>
          </w:tcPr>
          <w:p w14:paraId="0418898A">
            <w:pPr>
              <w:jc w:val="center"/>
              <w:rPr>
                <w:color w:val="auto"/>
                <w:highlight w:val="none"/>
              </w:rPr>
            </w:pPr>
            <w:r>
              <w:rPr>
                <w:rFonts w:hint="eastAsia" w:ascii="宋体" w:hAnsi="宋体" w:cs="宋体"/>
                <w:color w:val="auto"/>
                <w:highlight w:val="none"/>
              </w:rPr>
              <w:t>30</w:t>
            </w:r>
          </w:p>
        </w:tc>
      </w:tr>
      <w:tr w14:paraId="1E0DD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75F081E5">
            <w:pPr>
              <w:jc w:val="center"/>
              <w:rPr>
                <w:rFonts w:hint="eastAsia" w:ascii="宋体" w:hAnsi="宋体" w:cs="宋体"/>
                <w:b/>
                <w:bCs/>
                <w:color w:val="auto"/>
                <w:highlight w:val="none"/>
              </w:rPr>
            </w:pPr>
            <w:r>
              <w:rPr>
                <w:rFonts w:hint="eastAsia" w:ascii="宋体" w:hAnsi="宋体" w:cs="宋体"/>
                <w:color w:val="auto"/>
                <w:highlight w:val="none"/>
              </w:rPr>
              <w:t>17</w:t>
            </w:r>
          </w:p>
        </w:tc>
        <w:tc>
          <w:tcPr>
            <w:tcW w:w="782" w:type="pct"/>
            <w:tcBorders>
              <w:left w:val="single" w:color="auto" w:sz="4" w:space="0"/>
              <w:right w:val="single" w:color="auto" w:sz="4" w:space="0"/>
            </w:tcBorders>
            <w:vAlign w:val="center"/>
          </w:tcPr>
          <w:p w14:paraId="26B412AC">
            <w:pPr>
              <w:jc w:val="center"/>
              <w:rPr>
                <w:rFonts w:hint="eastAsia" w:ascii="宋体" w:hAnsi="宋体" w:cs="宋体"/>
                <w:b/>
                <w:bCs/>
                <w:color w:val="auto"/>
                <w:highlight w:val="none"/>
              </w:rPr>
            </w:pPr>
            <w:r>
              <w:rPr>
                <w:rFonts w:hint="eastAsia" w:ascii="宋体" w:hAnsi="宋体" w:cs="宋体"/>
                <w:color w:val="auto"/>
                <w:highlight w:val="none"/>
              </w:rPr>
              <w:t>万向夹</w:t>
            </w:r>
          </w:p>
        </w:tc>
        <w:tc>
          <w:tcPr>
            <w:tcW w:w="3079" w:type="pct"/>
            <w:tcBorders>
              <w:left w:val="single" w:color="auto" w:sz="4" w:space="0"/>
            </w:tcBorders>
            <w:vAlign w:val="center"/>
          </w:tcPr>
          <w:p w14:paraId="653D1A49">
            <w:pPr>
              <w:rPr>
                <w:rFonts w:hint="eastAsia" w:ascii="宋体" w:hAnsi="宋体" w:cs="宋体"/>
                <w:b/>
                <w:bCs/>
                <w:color w:val="auto"/>
                <w:highlight w:val="none"/>
              </w:rPr>
            </w:pPr>
            <w:r>
              <w:rPr>
                <w:rFonts w:hint="eastAsia" w:ascii="宋体" w:hAnsi="宋体" w:cs="宋体"/>
                <w:color w:val="auto"/>
                <w:highlight w:val="none"/>
              </w:rPr>
              <w:t>金属，黑色。</w:t>
            </w:r>
          </w:p>
        </w:tc>
        <w:tc>
          <w:tcPr>
            <w:tcW w:w="384" w:type="pct"/>
            <w:vAlign w:val="center"/>
          </w:tcPr>
          <w:p w14:paraId="74265F7F">
            <w:pPr>
              <w:jc w:val="center"/>
              <w:rPr>
                <w:color w:val="auto"/>
                <w:highlight w:val="none"/>
              </w:rPr>
            </w:pPr>
            <w:r>
              <w:rPr>
                <w:rFonts w:hint="eastAsia" w:ascii="宋体" w:hAnsi="宋体" w:cs="宋体"/>
                <w:color w:val="auto"/>
                <w:highlight w:val="none"/>
              </w:rPr>
              <w:t>个</w:t>
            </w:r>
          </w:p>
        </w:tc>
        <w:tc>
          <w:tcPr>
            <w:tcW w:w="385" w:type="pct"/>
            <w:vAlign w:val="center"/>
          </w:tcPr>
          <w:p w14:paraId="7F2A8A70">
            <w:pPr>
              <w:jc w:val="center"/>
              <w:rPr>
                <w:color w:val="auto"/>
                <w:highlight w:val="none"/>
              </w:rPr>
            </w:pPr>
            <w:r>
              <w:rPr>
                <w:rFonts w:hint="eastAsia" w:ascii="宋体" w:hAnsi="宋体" w:cs="宋体"/>
                <w:color w:val="auto"/>
                <w:highlight w:val="none"/>
              </w:rPr>
              <w:t>30</w:t>
            </w:r>
          </w:p>
        </w:tc>
      </w:tr>
      <w:tr w14:paraId="42AC5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14BA1871">
            <w:pPr>
              <w:jc w:val="center"/>
              <w:rPr>
                <w:rFonts w:hint="eastAsia" w:ascii="宋体" w:hAnsi="宋体" w:cs="宋体"/>
                <w:b/>
                <w:bCs/>
                <w:color w:val="auto"/>
                <w:highlight w:val="none"/>
              </w:rPr>
            </w:pPr>
            <w:r>
              <w:rPr>
                <w:rFonts w:hint="eastAsia" w:ascii="宋体" w:hAnsi="宋体" w:cs="宋体"/>
                <w:color w:val="auto"/>
                <w:highlight w:val="none"/>
              </w:rPr>
              <w:t>18</w:t>
            </w:r>
          </w:p>
        </w:tc>
        <w:tc>
          <w:tcPr>
            <w:tcW w:w="782" w:type="pct"/>
            <w:tcBorders>
              <w:left w:val="single" w:color="auto" w:sz="4" w:space="0"/>
              <w:right w:val="single" w:color="auto" w:sz="4" w:space="0"/>
            </w:tcBorders>
            <w:vAlign w:val="center"/>
          </w:tcPr>
          <w:p w14:paraId="424873A1">
            <w:pPr>
              <w:jc w:val="center"/>
              <w:rPr>
                <w:rFonts w:hint="eastAsia" w:ascii="宋体" w:hAnsi="宋体" w:cs="宋体"/>
                <w:b/>
                <w:bCs/>
                <w:color w:val="auto"/>
                <w:highlight w:val="none"/>
              </w:rPr>
            </w:pPr>
            <w:r>
              <w:rPr>
                <w:rFonts w:hint="eastAsia" w:ascii="宋体" w:hAnsi="宋体" w:cs="宋体"/>
                <w:color w:val="auto"/>
                <w:highlight w:val="none"/>
              </w:rPr>
              <w:t>铁三环</w:t>
            </w:r>
          </w:p>
        </w:tc>
        <w:tc>
          <w:tcPr>
            <w:tcW w:w="3079" w:type="pct"/>
            <w:tcBorders>
              <w:left w:val="single" w:color="auto" w:sz="4" w:space="0"/>
            </w:tcBorders>
            <w:vAlign w:val="center"/>
          </w:tcPr>
          <w:p w14:paraId="7088B363">
            <w:pPr>
              <w:rPr>
                <w:rFonts w:hint="eastAsia" w:ascii="宋体" w:hAnsi="宋体" w:cs="宋体"/>
                <w:b/>
                <w:bCs/>
                <w:color w:val="auto"/>
                <w:highlight w:val="none"/>
              </w:rPr>
            </w:pPr>
            <w:r>
              <w:rPr>
                <w:rFonts w:hint="eastAsia" w:ascii="宋体" w:hAnsi="宋体" w:cs="宋体"/>
                <w:color w:val="auto"/>
                <w:highlight w:val="none"/>
              </w:rPr>
              <w:t>金属，黑色搭配M6螺丝。</w:t>
            </w:r>
          </w:p>
        </w:tc>
        <w:tc>
          <w:tcPr>
            <w:tcW w:w="384" w:type="pct"/>
            <w:vAlign w:val="center"/>
          </w:tcPr>
          <w:p w14:paraId="4756DD3E">
            <w:pPr>
              <w:jc w:val="center"/>
              <w:rPr>
                <w:color w:val="auto"/>
                <w:highlight w:val="none"/>
              </w:rPr>
            </w:pPr>
            <w:r>
              <w:rPr>
                <w:rFonts w:hint="eastAsia" w:ascii="宋体" w:hAnsi="宋体" w:cs="宋体"/>
                <w:color w:val="auto"/>
                <w:highlight w:val="none"/>
              </w:rPr>
              <w:t>个</w:t>
            </w:r>
          </w:p>
        </w:tc>
        <w:tc>
          <w:tcPr>
            <w:tcW w:w="385" w:type="pct"/>
            <w:vAlign w:val="center"/>
          </w:tcPr>
          <w:p w14:paraId="6A726C29">
            <w:pPr>
              <w:jc w:val="center"/>
              <w:rPr>
                <w:color w:val="auto"/>
                <w:highlight w:val="none"/>
              </w:rPr>
            </w:pPr>
            <w:r>
              <w:rPr>
                <w:rFonts w:hint="eastAsia" w:ascii="宋体" w:hAnsi="宋体" w:cs="宋体"/>
                <w:color w:val="auto"/>
                <w:highlight w:val="none"/>
              </w:rPr>
              <w:t>30</w:t>
            </w:r>
          </w:p>
        </w:tc>
      </w:tr>
      <w:tr w14:paraId="47980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696675A4">
            <w:pPr>
              <w:jc w:val="center"/>
              <w:rPr>
                <w:rFonts w:hint="eastAsia" w:ascii="宋体" w:hAnsi="宋体" w:cs="宋体"/>
                <w:b/>
                <w:bCs/>
                <w:color w:val="auto"/>
                <w:highlight w:val="none"/>
              </w:rPr>
            </w:pPr>
            <w:r>
              <w:rPr>
                <w:rFonts w:hint="eastAsia" w:ascii="宋体" w:hAnsi="宋体" w:cs="宋体"/>
                <w:color w:val="auto"/>
                <w:highlight w:val="none"/>
              </w:rPr>
              <w:t>19</w:t>
            </w:r>
          </w:p>
        </w:tc>
        <w:tc>
          <w:tcPr>
            <w:tcW w:w="782" w:type="pct"/>
            <w:tcBorders>
              <w:left w:val="single" w:color="auto" w:sz="4" w:space="0"/>
              <w:right w:val="single" w:color="auto" w:sz="4" w:space="0"/>
            </w:tcBorders>
            <w:vAlign w:val="center"/>
          </w:tcPr>
          <w:p w14:paraId="1ABC032D">
            <w:pPr>
              <w:jc w:val="center"/>
              <w:rPr>
                <w:rFonts w:hint="eastAsia" w:ascii="宋体" w:hAnsi="宋体" w:cs="宋体"/>
                <w:b/>
                <w:bCs/>
                <w:color w:val="auto"/>
                <w:highlight w:val="none"/>
              </w:rPr>
            </w:pPr>
            <w:r>
              <w:rPr>
                <w:rFonts w:hint="eastAsia" w:ascii="宋体" w:hAnsi="宋体" w:cs="宋体"/>
                <w:color w:val="auto"/>
                <w:highlight w:val="none"/>
              </w:rPr>
              <w:t>试管架</w:t>
            </w:r>
          </w:p>
        </w:tc>
        <w:tc>
          <w:tcPr>
            <w:tcW w:w="3079" w:type="pct"/>
            <w:tcBorders>
              <w:left w:val="single" w:color="auto" w:sz="4" w:space="0"/>
            </w:tcBorders>
            <w:vAlign w:val="center"/>
          </w:tcPr>
          <w:p w14:paraId="39D28CB8">
            <w:pPr>
              <w:rPr>
                <w:rFonts w:hint="eastAsia" w:ascii="宋体" w:hAnsi="宋体" w:cs="宋体"/>
                <w:b/>
                <w:bCs/>
                <w:color w:val="auto"/>
                <w:highlight w:val="none"/>
              </w:rPr>
            </w:pPr>
            <w:r>
              <w:rPr>
                <w:rFonts w:hint="eastAsia" w:ascii="宋体" w:hAnsi="宋体" w:cs="宋体"/>
                <w:color w:val="auto"/>
                <w:highlight w:val="none"/>
              </w:rPr>
              <w:t>木制，8 孔，孔径 21 mm，立柱粘结牢固。</w:t>
            </w:r>
          </w:p>
        </w:tc>
        <w:tc>
          <w:tcPr>
            <w:tcW w:w="384" w:type="pct"/>
            <w:vAlign w:val="center"/>
          </w:tcPr>
          <w:p w14:paraId="5D6D5199">
            <w:pPr>
              <w:jc w:val="center"/>
              <w:rPr>
                <w:color w:val="auto"/>
                <w:highlight w:val="none"/>
              </w:rPr>
            </w:pPr>
            <w:r>
              <w:rPr>
                <w:rFonts w:hint="eastAsia" w:ascii="宋体" w:hAnsi="宋体" w:cs="宋体"/>
                <w:color w:val="auto"/>
                <w:highlight w:val="none"/>
              </w:rPr>
              <w:t>个</w:t>
            </w:r>
          </w:p>
        </w:tc>
        <w:tc>
          <w:tcPr>
            <w:tcW w:w="385" w:type="pct"/>
            <w:vAlign w:val="center"/>
          </w:tcPr>
          <w:p w14:paraId="45E043DB">
            <w:pPr>
              <w:jc w:val="center"/>
              <w:rPr>
                <w:color w:val="auto"/>
                <w:highlight w:val="none"/>
              </w:rPr>
            </w:pPr>
            <w:r>
              <w:rPr>
                <w:rFonts w:hint="eastAsia" w:ascii="宋体" w:hAnsi="宋体" w:cs="宋体"/>
                <w:color w:val="auto"/>
                <w:highlight w:val="none"/>
              </w:rPr>
              <w:t>30</w:t>
            </w:r>
          </w:p>
        </w:tc>
      </w:tr>
      <w:tr w14:paraId="2E1EF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2ECEA726">
            <w:pPr>
              <w:jc w:val="center"/>
              <w:rPr>
                <w:rFonts w:hint="eastAsia" w:ascii="宋体" w:hAnsi="宋体" w:cs="宋体"/>
                <w:b/>
                <w:bCs/>
                <w:color w:val="auto"/>
                <w:highlight w:val="none"/>
              </w:rPr>
            </w:pPr>
            <w:r>
              <w:rPr>
                <w:rFonts w:hint="eastAsia" w:ascii="宋体" w:hAnsi="宋体" w:cs="宋体"/>
                <w:color w:val="auto"/>
                <w:highlight w:val="none"/>
              </w:rPr>
              <w:t>20</w:t>
            </w:r>
          </w:p>
        </w:tc>
        <w:tc>
          <w:tcPr>
            <w:tcW w:w="782" w:type="pct"/>
            <w:tcBorders>
              <w:left w:val="single" w:color="auto" w:sz="4" w:space="0"/>
              <w:right w:val="single" w:color="auto" w:sz="4" w:space="0"/>
            </w:tcBorders>
            <w:vAlign w:val="center"/>
          </w:tcPr>
          <w:p w14:paraId="48EF2B7B">
            <w:pPr>
              <w:jc w:val="center"/>
              <w:rPr>
                <w:rFonts w:hint="eastAsia" w:ascii="宋体" w:hAnsi="宋体" w:cs="宋体"/>
                <w:b/>
                <w:bCs/>
                <w:color w:val="auto"/>
                <w:highlight w:val="none"/>
              </w:rPr>
            </w:pPr>
            <w:r>
              <w:rPr>
                <w:rFonts w:hint="eastAsia" w:ascii="宋体" w:hAnsi="宋体" w:cs="宋体"/>
                <w:color w:val="auto"/>
                <w:highlight w:val="none"/>
              </w:rPr>
              <w:t>试管</w:t>
            </w:r>
          </w:p>
        </w:tc>
        <w:tc>
          <w:tcPr>
            <w:tcW w:w="3079" w:type="pct"/>
            <w:tcBorders>
              <w:left w:val="single" w:color="auto" w:sz="4" w:space="0"/>
            </w:tcBorders>
            <w:vAlign w:val="center"/>
          </w:tcPr>
          <w:p w14:paraId="1A63DCE3">
            <w:pPr>
              <w:rPr>
                <w:rFonts w:hint="eastAsia" w:ascii="宋体" w:hAnsi="宋体" w:cs="宋体"/>
                <w:b/>
                <w:bCs/>
                <w:color w:val="auto"/>
                <w:highlight w:val="none"/>
              </w:rPr>
            </w:pPr>
            <w:r>
              <w:rPr>
                <w:rFonts w:hint="eastAsia" w:ascii="宋体" w:hAnsi="宋体" w:cs="宋体"/>
                <w:color w:val="auto"/>
                <w:highlight w:val="none"/>
              </w:rPr>
              <w:t>外形基本尺寸：Φ15×150 mm（±5mm）；材质：优质高硼硅BORO3.3；工艺：精工烧结，依据实验和设计要求定制，无毛刺锐角；功能描述：管体具有低膨胀率、耐高温、高强度、高硬度、高透光率和高化学稳定性的优良特性，既可用作少量试剂的化学反应容器，也可在常温或加热时使用。</w:t>
            </w:r>
          </w:p>
        </w:tc>
        <w:tc>
          <w:tcPr>
            <w:tcW w:w="384" w:type="pct"/>
            <w:vAlign w:val="center"/>
          </w:tcPr>
          <w:p w14:paraId="041DA3B8">
            <w:pPr>
              <w:jc w:val="center"/>
              <w:rPr>
                <w:color w:val="auto"/>
                <w:highlight w:val="none"/>
              </w:rPr>
            </w:pPr>
            <w:r>
              <w:rPr>
                <w:rFonts w:hint="eastAsia" w:ascii="宋体" w:hAnsi="宋体" w:cs="宋体"/>
                <w:color w:val="auto"/>
                <w:highlight w:val="none"/>
              </w:rPr>
              <w:t>个</w:t>
            </w:r>
          </w:p>
        </w:tc>
        <w:tc>
          <w:tcPr>
            <w:tcW w:w="385" w:type="pct"/>
            <w:vAlign w:val="center"/>
          </w:tcPr>
          <w:p w14:paraId="001E869D">
            <w:pPr>
              <w:jc w:val="center"/>
              <w:rPr>
                <w:color w:val="auto"/>
                <w:highlight w:val="none"/>
              </w:rPr>
            </w:pPr>
            <w:r>
              <w:rPr>
                <w:rFonts w:hint="eastAsia" w:ascii="宋体" w:hAnsi="宋体" w:cs="宋体"/>
                <w:color w:val="auto"/>
                <w:highlight w:val="none"/>
              </w:rPr>
              <w:t>120</w:t>
            </w:r>
          </w:p>
        </w:tc>
      </w:tr>
      <w:tr w14:paraId="64560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7493C6B3">
            <w:pPr>
              <w:jc w:val="center"/>
              <w:rPr>
                <w:rFonts w:hint="eastAsia" w:ascii="宋体" w:hAnsi="宋体" w:cs="宋体"/>
                <w:b/>
                <w:bCs/>
                <w:color w:val="auto"/>
                <w:highlight w:val="none"/>
              </w:rPr>
            </w:pPr>
            <w:r>
              <w:rPr>
                <w:rFonts w:hint="eastAsia" w:ascii="宋体" w:hAnsi="宋体" w:cs="宋体"/>
                <w:color w:val="auto"/>
                <w:highlight w:val="none"/>
              </w:rPr>
              <w:t>21</w:t>
            </w:r>
          </w:p>
        </w:tc>
        <w:tc>
          <w:tcPr>
            <w:tcW w:w="782" w:type="pct"/>
            <w:tcBorders>
              <w:left w:val="single" w:color="auto" w:sz="4" w:space="0"/>
              <w:right w:val="single" w:color="auto" w:sz="4" w:space="0"/>
            </w:tcBorders>
            <w:vAlign w:val="center"/>
          </w:tcPr>
          <w:p w14:paraId="643AA5BB">
            <w:pPr>
              <w:jc w:val="center"/>
              <w:rPr>
                <w:rFonts w:hint="eastAsia" w:ascii="宋体" w:hAnsi="宋体" w:cs="宋体"/>
                <w:b/>
                <w:bCs/>
                <w:color w:val="auto"/>
                <w:highlight w:val="none"/>
              </w:rPr>
            </w:pPr>
            <w:r>
              <w:rPr>
                <w:rFonts w:hint="eastAsia" w:ascii="宋体" w:hAnsi="宋体" w:cs="宋体"/>
                <w:color w:val="auto"/>
                <w:highlight w:val="none"/>
              </w:rPr>
              <w:t>试管</w:t>
            </w:r>
          </w:p>
        </w:tc>
        <w:tc>
          <w:tcPr>
            <w:tcW w:w="3079" w:type="pct"/>
            <w:tcBorders>
              <w:left w:val="single" w:color="auto" w:sz="4" w:space="0"/>
            </w:tcBorders>
            <w:vAlign w:val="center"/>
          </w:tcPr>
          <w:p w14:paraId="38F4D592">
            <w:pPr>
              <w:rPr>
                <w:rFonts w:hint="eastAsia" w:ascii="宋体" w:hAnsi="宋体" w:cs="宋体"/>
                <w:b/>
                <w:bCs/>
                <w:color w:val="auto"/>
                <w:highlight w:val="none"/>
              </w:rPr>
            </w:pPr>
            <w:r>
              <w:rPr>
                <w:rFonts w:hint="eastAsia" w:ascii="宋体" w:hAnsi="宋体" w:cs="宋体"/>
                <w:color w:val="auto"/>
                <w:highlight w:val="none"/>
              </w:rPr>
              <w:t>外形基本尺寸：Φ18mm×180mm（±5mm）；材质：优质高硼硅BORO3.3；工艺：精工烧结，依据实验和设计要求定制，无毛刺锐角；功能描述：管体具有低膨胀率、耐高温、高强度、高硬度、高透光率和高化学稳定性的优良特性，既可用作少量试剂的化学反应容器，也可在常温或加热时使用。</w:t>
            </w:r>
          </w:p>
        </w:tc>
        <w:tc>
          <w:tcPr>
            <w:tcW w:w="384" w:type="pct"/>
            <w:vAlign w:val="center"/>
          </w:tcPr>
          <w:p w14:paraId="23B20554">
            <w:pPr>
              <w:jc w:val="center"/>
              <w:rPr>
                <w:color w:val="auto"/>
                <w:highlight w:val="none"/>
              </w:rPr>
            </w:pPr>
            <w:r>
              <w:rPr>
                <w:rFonts w:hint="eastAsia" w:ascii="宋体" w:hAnsi="宋体" w:cs="宋体"/>
                <w:color w:val="auto"/>
                <w:highlight w:val="none"/>
              </w:rPr>
              <w:t>个</w:t>
            </w:r>
          </w:p>
        </w:tc>
        <w:tc>
          <w:tcPr>
            <w:tcW w:w="385" w:type="pct"/>
            <w:vAlign w:val="center"/>
          </w:tcPr>
          <w:p w14:paraId="7F831F55">
            <w:pPr>
              <w:jc w:val="center"/>
              <w:rPr>
                <w:color w:val="auto"/>
                <w:highlight w:val="none"/>
              </w:rPr>
            </w:pPr>
            <w:r>
              <w:rPr>
                <w:rFonts w:hint="eastAsia" w:ascii="宋体" w:hAnsi="宋体" w:cs="宋体"/>
                <w:color w:val="auto"/>
                <w:highlight w:val="none"/>
              </w:rPr>
              <w:t>120</w:t>
            </w:r>
          </w:p>
        </w:tc>
      </w:tr>
      <w:tr w14:paraId="67A1F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542841F6">
            <w:pPr>
              <w:jc w:val="center"/>
              <w:rPr>
                <w:rFonts w:hint="eastAsia" w:ascii="宋体" w:hAnsi="宋体" w:cs="宋体"/>
                <w:b/>
                <w:bCs/>
                <w:color w:val="auto"/>
                <w:highlight w:val="none"/>
              </w:rPr>
            </w:pPr>
            <w:r>
              <w:rPr>
                <w:rFonts w:hint="eastAsia" w:ascii="宋体" w:hAnsi="宋体" w:cs="宋体"/>
                <w:color w:val="auto"/>
                <w:highlight w:val="none"/>
              </w:rPr>
              <w:t>22</w:t>
            </w:r>
          </w:p>
        </w:tc>
        <w:tc>
          <w:tcPr>
            <w:tcW w:w="782" w:type="pct"/>
            <w:tcBorders>
              <w:left w:val="single" w:color="auto" w:sz="4" w:space="0"/>
              <w:right w:val="single" w:color="auto" w:sz="4" w:space="0"/>
            </w:tcBorders>
            <w:vAlign w:val="center"/>
          </w:tcPr>
          <w:p w14:paraId="27775E53">
            <w:pPr>
              <w:jc w:val="center"/>
              <w:rPr>
                <w:rFonts w:hint="eastAsia" w:ascii="宋体" w:hAnsi="宋体" w:cs="宋体"/>
                <w:b/>
                <w:bCs/>
                <w:color w:val="auto"/>
                <w:highlight w:val="none"/>
              </w:rPr>
            </w:pPr>
            <w:r>
              <w:rPr>
                <w:rFonts w:hint="eastAsia" w:ascii="宋体" w:hAnsi="宋体" w:cs="宋体"/>
                <w:color w:val="auto"/>
                <w:highlight w:val="none"/>
              </w:rPr>
              <w:t>烧杯</w:t>
            </w:r>
          </w:p>
        </w:tc>
        <w:tc>
          <w:tcPr>
            <w:tcW w:w="3079" w:type="pct"/>
            <w:tcBorders>
              <w:left w:val="single" w:color="auto" w:sz="4" w:space="0"/>
            </w:tcBorders>
            <w:vAlign w:val="center"/>
          </w:tcPr>
          <w:p w14:paraId="296A5578">
            <w:pPr>
              <w:rPr>
                <w:rFonts w:hint="eastAsia" w:ascii="宋体" w:hAnsi="宋体" w:cs="宋体"/>
                <w:color w:val="auto"/>
                <w:highlight w:val="none"/>
              </w:rPr>
            </w:pPr>
            <w:r>
              <w:rPr>
                <w:rFonts w:hint="eastAsia" w:ascii="宋体" w:hAnsi="宋体" w:cs="宋体"/>
                <w:color w:val="auto"/>
                <w:highlight w:val="none"/>
              </w:rPr>
              <w:t>规格：50ml</w:t>
            </w:r>
          </w:p>
          <w:p w14:paraId="6F5DA2B9">
            <w:pPr>
              <w:rPr>
                <w:rFonts w:hint="eastAsia" w:ascii="宋体" w:hAnsi="宋体" w:cs="宋体"/>
                <w:b/>
                <w:bCs/>
                <w:color w:val="auto"/>
                <w:highlight w:val="none"/>
              </w:rPr>
            </w:pPr>
            <w:r>
              <w:rPr>
                <w:rFonts w:hint="eastAsia" w:ascii="宋体" w:hAnsi="宋体" w:cs="宋体"/>
                <w:color w:val="auto"/>
                <w:highlight w:val="none"/>
              </w:rPr>
              <w:t>外形基本尺寸：62×42mm（±5mm），壁厚≥2.0mm；材质：优质高硼硅BORO3.3；工艺：精工烧结，依据实验和设计要求定制，无毛刺锐角；功能描述：管体具有低膨胀率、耐高温、高强度、高硬度、高透光率和高化学稳定性的优良特性，用作配制溶液和作为不同容量的试剂化学反应容器。</w:t>
            </w:r>
          </w:p>
        </w:tc>
        <w:tc>
          <w:tcPr>
            <w:tcW w:w="384" w:type="pct"/>
            <w:vAlign w:val="center"/>
          </w:tcPr>
          <w:p w14:paraId="76389401">
            <w:pPr>
              <w:jc w:val="center"/>
              <w:rPr>
                <w:color w:val="auto"/>
                <w:highlight w:val="none"/>
              </w:rPr>
            </w:pPr>
            <w:r>
              <w:rPr>
                <w:rFonts w:hint="eastAsia" w:ascii="宋体" w:hAnsi="宋体" w:cs="宋体"/>
                <w:color w:val="auto"/>
                <w:highlight w:val="none"/>
              </w:rPr>
              <w:t>个</w:t>
            </w:r>
          </w:p>
        </w:tc>
        <w:tc>
          <w:tcPr>
            <w:tcW w:w="385" w:type="pct"/>
            <w:vAlign w:val="center"/>
          </w:tcPr>
          <w:p w14:paraId="7392F3DB">
            <w:pPr>
              <w:jc w:val="center"/>
              <w:rPr>
                <w:color w:val="auto"/>
                <w:highlight w:val="none"/>
              </w:rPr>
            </w:pPr>
            <w:r>
              <w:rPr>
                <w:rFonts w:hint="eastAsia" w:ascii="宋体" w:hAnsi="宋体" w:cs="宋体"/>
                <w:color w:val="auto"/>
                <w:highlight w:val="none"/>
              </w:rPr>
              <w:t>30</w:t>
            </w:r>
          </w:p>
        </w:tc>
      </w:tr>
      <w:tr w14:paraId="41E75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4CA8F01C">
            <w:pPr>
              <w:jc w:val="center"/>
              <w:rPr>
                <w:rFonts w:hint="eastAsia" w:ascii="宋体" w:hAnsi="宋体" w:cs="宋体"/>
                <w:b/>
                <w:bCs/>
                <w:color w:val="auto"/>
                <w:highlight w:val="none"/>
              </w:rPr>
            </w:pPr>
            <w:r>
              <w:rPr>
                <w:rFonts w:hint="eastAsia" w:ascii="宋体" w:hAnsi="宋体" w:cs="宋体"/>
                <w:color w:val="auto"/>
                <w:highlight w:val="none"/>
              </w:rPr>
              <w:t>23</w:t>
            </w:r>
          </w:p>
        </w:tc>
        <w:tc>
          <w:tcPr>
            <w:tcW w:w="782" w:type="pct"/>
            <w:tcBorders>
              <w:left w:val="single" w:color="auto" w:sz="4" w:space="0"/>
              <w:right w:val="single" w:color="auto" w:sz="4" w:space="0"/>
            </w:tcBorders>
            <w:vAlign w:val="center"/>
          </w:tcPr>
          <w:p w14:paraId="08103B57">
            <w:pPr>
              <w:jc w:val="center"/>
              <w:rPr>
                <w:rFonts w:hint="eastAsia" w:ascii="宋体" w:hAnsi="宋体" w:cs="宋体"/>
                <w:b/>
                <w:bCs/>
                <w:color w:val="auto"/>
                <w:highlight w:val="none"/>
              </w:rPr>
            </w:pPr>
            <w:r>
              <w:rPr>
                <w:rFonts w:hint="eastAsia" w:ascii="宋体" w:hAnsi="宋体" w:cs="宋体"/>
                <w:color w:val="auto"/>
                <w:highlight w:val="none"/>
              </w:rPr>
              <w:t>烧杯</w:t>
            </w:r>
          </w:p>
        </w:tc>
        <w:tc>
          <w:tcPr>
            <w:tcW w:w="3079" w:type="pct"/>
            <w:tcBorders>
              <w:left w:val="single" w:color="auto" w:sz="4" w:space="0"/>
            </w:tcBorders>
            <w:vAlign w:val="center"/>
          </w:tcPr>
          <w:p w14:paraId="71C131EC">
            <w:pPr>
              <w:rPr>
                <w:rFonts w:hint="eastAsia" w:ascii="宋体" w:hAnsi="宋体" w:cs="宋体"/>
                <w:color w:val="auto"/>
                <w:highlight w:val="none"/>
              </w:rPr>
            </w:pPr>
            <w:r>
              <w:rPr>
                <w:rFonts w:hint="eastAsia" w:ascii="宋体" w:hAnsi="宋体" w:cs="宋体"/>
                <w:color w:val="auto"/>
                <w:highlight w:val="none"/>
              </w:rPr>
              <w:t>规格：100ml</w:t>
            </w:r>
          </w:p>
          <w:p w14:paraId="1BA52937">
            <w:pPr>
              <w:rPr>
                <w:rFonts w:hint="eastAsia" w:ascii="宋体" w:hAnsi="宋体" w:cs="宋体"/>
                <w:b/>
                <w:bCs/>
                <w:color w:val="auto"/>
                <w:highlight w:val="none"/>
              </w:rPr>
            </w:pPr>
            <w:r>
              <w:rPr>
                <w:rFonts w:hint="eastAsia" w:ascii="宋体" w:hAnsi="宋体" w:cs="宋体"/>
                <w:color w:val="auto"/>
                <w:highlight w:val="none"/>
              </w:rPr>
              <w:t>外形基本尺寸：72×54mm（±5mm），壁厚≥2.0mm；材质：优质高硼硅BORO3.3；工艺：精工烧结，依据实验和设计要求定制，无毛刺锐角；功能描述：管体具有低膨胀率、耐高温、高强度、高硬度、高透光率和高化学稳定性的优良特性，用作配制溶液和作为较大量的试剂化学反应容器。</w:t>
            </w:r>
          </w:p>
        </w:tc>
        <w:tc>
          <w:tcPr>
            <w:tcW w:w="384" w:type="pct"/>
            <w:vAlign w:val="center"/>
          </w:tcPr>
          <w:p w14:paraId="2A2AEDD6">
            <w:pPr>
              <w:jc w:val="center"/>
              <w:rPr>
                <w:color w:val="auto"/>
                <w:highlight w:val="none"/>
              </w:rPr>
            </w:pPr>
            <w:r>
              <w:rPr>
                <w:rFonts w:hint="eastAsia" w:ascii="宋体" w:hAnsi="宋体" w:cs="宋体"/>
                <w:color w:val="auto"/>
                <w:highlight w:val="none"/>
              </w:rPr>
              <w:t>个</w:t>
            </w:r>
          </w:p>
        </w:tc>
        <w:tc>
          <w:tcPr>
            <w:tcW w:w="385" w:type="pct"/>
            <w:vAlign w:val="center"/>
          </w:tcPr>
          <w:p w14:paraId="4BF2EFD3">
            <w:pPr>
              <w:jc w:val="center"/>
              <w:rPr>
                <w:color w:val="auto"/>
                <w:highlight w:val="none"/>
              </w:rPr>
            </w:pPr>
            <w:r>
              <w:rPr>
                <w:rFonts w:hint="eastAsia" w:ascii="宋体" w:hAnsi="宋体" w:cs="宋体"/>
                <w:color w:val="auto"/>
                <w:highlight w:val="none"/>
              </w:rPr>
              <w:t>30</w:t>
            </w:r>
          </w:p>
        </w:tc>
      </w:tr>
      <w:tr w14:paraId="6FD8C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63FF9326">
            <w:pPr>
              <w:jc w:val="center"/>
              <w:rPr>
                <w:rFonts w:hint="eastAsia" w:ascii="宋体" w:hAnsi="宋体" w:cs="宋体"/>
                <w:b/>
                <w:bCs/>
                <w:color w:val="auto"/>
                <w:highlight w:val="none"/>
              </w:rPr>
            </w:pPr>
            <w:r>
              <w:rPr>
                <w:rFonts w:hint="eastAsia" w:ascii="宋体" w:hAnsi="宋体" w:cs="宋体"/>
                <w:color w:val="auto"/>
                <w:highlight w:val="none"/>
              </w:rPr>
              <w:t>24</w:t>
            </w:r>
          </w:p>
        </w:tc>
        <w:tc>
          <w:tcPr>
            <w:tcW w:w="782" w:type="pct"/>
            <w:tcBorders>
              <w:left w:val="single" w:color="auto" w:sz="4" w:space="0"/>
              <w:right w:val="single" w:color="auto" w:sz="4" w:space="0"/>
            </w:tcBorders>
            <w:vAlign w:val="center"/>
          </w:tcPr>
          <w:p w14:paraId="5EBCF258">
            <w:pPr>
              <w:jc w:val="center"/>
              <w:rPr>
                <w:rFonts w:hint="eastAsia" w:ascii="宋体" w:hAnsi="宋体" w:cs="宋体"/>
                <w:b/>
                <w:bCs/>
                <w:color w:val="auto"/>
                <w:highlight w:val="none"/>
              </w:rPr>
            </w:pPr>
            <w:r>
              <w:rPr>
                <w:rFonts w:hint="eastAsia" w:ascii="宋体" w:hAnsi="宋体" w:cs="宋体"/>
                <w:color w:val="auto"/>
                <w:highlight w:val="none"/>
              </w:rPr>
              <w:t>滴瓶</w:t>
            </w:r>
          </w:p>
        </w:tc>
        <w:tc>
          <w:tcPr>
            <w:tcW w:w="3079" w:type="pct"/>
            <w:tcBorders>
              <w:left w:val="single" w:color="auto" w:sz="4" w:space="0"/>
            </w:tcBorders>
            <w:vAlign w:val="center"/>
          </w:tcPr>
          <w:p w14:paraId="11A9F622">
            <w:pPr>
              <w:rPr>
                <w:rFonts w:hint="eastAsia" w:ascii="宋体" w:hAnsi="宋体" w:cs="宋体"/>
                <w:color w:val="auto"/>
                <w:highlight w:val="none"/>
              </w:rPr>
            </w:pPr>
            <w:r>
              <w:rPr>
                <w:rFonts w:hint="eastAsia" w:ascii="宋体" w:hAnsi="宋体" w:cs="宋体"/>
                <w:color w:val="auto"/>
                <w:highlight w:val="none"/>
              </w:rPr>
              <w:t>规格：60mL。</w:t>
            </w:r>
          </w:p>
          <w:p w14:paraId="405439DD">
            <w:pPr>
              <w:rPr>
                <w:rFonts w:hint="eastAsia" w:ascii="宋体" w:hAnsi="宋体" w:cs="宋体"/>
                <w:color w:val="auto"/>
                <w:highlight w:val="none"/>
              </w:rPr>
            </w:pPr>
            <w:r>
              <w:rPr>
                <w:rFonts w:hint="eastAsia" w:ascii="宋体" w:hAnsi="宋体" w:cs="宋体"/>
                <w:color w:val="auto"/>
                <w:highlight w:val="none"/>
              </w:rPr>
              <w:t>1.为无色滴瓶。与滴管配合使用。</w:t>
            </w:r>
          </w:p>
          <w:p w14:paraId="7A3CA002">
            <w:pPr>
              <w:rPr>
                <w:rFonts w:hint="eastAsia" w:ascii="宋体" w:hAnsi="宋体" w:cs="宋体"/>
                <w:color w:val="auto"/>
                <w:highlight w:val="none"/>
              </w:rPr>
            </w:pPr>
            <w:r>
              <w:rPr>
                <w:rFonts w:hint="eastAsia" w:ascii="宋体" w:hAnsi="宋体" w:cs="宋体"/>
                <w:color w:val="auto"/>
                <w:highlight w:val="none"/>
              </w:rPr>
              <w:t>2.外形基本尺寸要求：瓶身高63±5mm，瓶口高15±1.5mm，瓶身外径44±2mm，瓶口外径18±2mm，瓶身厚≥1.5mm，滴管全长90±5mm，滴管厚≥1mm。3.瓶口上口与橡皮头配合良好。</w:t>
            </w:r>
          </w:p>
          <w:p w14:paraId="02D36CEF">
            <w:pPr>
              <w:rPr>
                <w:rFonts w:hint="eastAsia" w:ascii="宋体" w:hAnsi="宋体" w:cs="宋体"/>
                <w:b/>
                <w:bCs/>
                <w:color w:val="auto"/>
                <w:highlight w:val="none"/>
              </w:rPr>
            </w:pPr>
            <w:r>
              <w:rPr>
                <w:rFonts w:hint="eastAsia" w:ascii="宋体" w:hAnsi="宋体" w:cs="宋体"/>
                <w:color w:val="auto"/>
                <w:highlight w:val="none"/>
              </w:rPr>
              <w:t>4.无严重玻璃缺陷。</w:t>
            </w:r>
          </w:p>
        </w:tc>
        <w:tc>
          <w:tcPr>
            <w:tcW w:w="384" w:type="pct"/>
            <w:vAlign w:val="center"/>
          </w:tcPr>
          <w:p w14:paraId="0406B836">
            <w:pPr>
              <w:jc w:val="center"/>
              <w:rPr>
                <w:color w:val="auto"/>
                <w:highlight w:val="none"/>
              </w:rPr>
            </w:pPr>
            <w:r>
              <w:rPr>
                <w:rFonts w:hint="eastAsia" w:ascii="宋体" w:hAnsi="宋体" w:cs="宋体"/>
                <w:color w:val="auto"/>
                <w:highlight w:val="none"/>
              </w:rPr>
              <w:t>个</w:t>
            </w:r>
          </w:p>
        </w:tc>
        <w:tc>
          <w:tcPr>
            <w:tcW w:w="385" w:type="pct"/>
            <w:vAlign w:val="center"/>
          </w:tcPr>
          <w:p w14:paraId="10D5A99E">
            <w:pPr>
              <w:jc w:val="center"/>
              <w:rPr>
                <w:color w:val="auto"/>
                <w:highlight w:val="none"/>
              </w:rPr>
            </w:pPr>
            <w:r>
              <w:rPr>
                <w:rFonts w:hint="eastAsia" w:ascii="宋体" w:hAnsi="宋体" w:cs="宋体"/>
                <w:color w:val="auto"/>
                <w:highlight w:val="none"/>
              </w:rPr>
              <w:t>30</w:t>
            </w:r>
          </w:p>
        </w:tc>
      </w:tr>
      <w:tr w14:paraId="40DC9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6B426B87">
            <w:pPr>
              <w:jc w:val="center"/>
              <w:rPr>
                <w:rFonts w:hint="eastAsia" w:ascii="宋体" w:hAnsi="宋体" w:cs="宋体"/>
                <w:b/>
                <w:bCs/>
                <w:color w:val="auto"/>
                <w:highlight w:val="none"/>
              </w:rPr>
            </w:pPr>
            <w:r>
              <w:rPr>
                <w:rFonts w:hint="eastAsia" w:ascii="宋体" w:hAnsi="宋体" w:cs="宋体"/>
                <w:color w:val="auto"/>
                <w:highlight w:val="none"/>
              </w:rPr>
              <w:t>25</w:t>
            </w:r>
          </w:p>
        </w:tc>
        <w:tc>
          <w:tcPr>
            <w:tcW w:w="782" w:type="pct"/>
            <w:tcBorders>
              <w:left w:val="single" w:color="auto" w:sz="4" w:space="0"/>
              <w:right w:val="single" w:color="auto" w:sz="4" w:space="0"/>
            </w:tcBorders>
            <w:vAlign w:val="center"/>
          </w:tcPr>
          <w:p w14:paraId="6E23F7ED">
            <w:pPr>
              <w:jc w:val="center"/>
              <w:rPr>
                <w:rFonts w:hint="eastAsia" w:ascii="宋体" w:hAnsi="宋体" w:cs="宋体"/>
                <w:b/>
                <w:bCs/>
                <w:color w:val="auto"/>
                <w:highlight w:val="none"/>
              </w:rPr>
            </w:pPr>
            <w:r>
              <w:rPr>
                <w:rFonts w:hint="eastAsia" w:ascii="宋体" w:hAnsi="宋体" w:cs="宋体"/>
                <w:color w:val="auto"/>
                <w:highlight w:val="none"/>
              </w:rPr>
              <w:t>茶色滴瓶</w:t>
            </w:r>
          </w:p>
        </w:tc>
        <w:tc>
          <w:tcPr>
            <w:tcW w:w="3079" w:type="pct"/>
            <w:tcBorders>
              <w:left w:val="single" w:color="auto" w:sz="4" w:space="0"/>
            </w:tcBorders>
            <w:vAlign w:val="center"/>
          </w:tcPr>
          <w:p w14:paraId="74EB2FDD">
            <w:pPr>
              <w:rPr>
                <w:rFonts w:hint="eastAsia" w:ascii="宋体" w:hAnsi="宋体" w:cs="宋体"/>
                <w:color w:val="auto"/>
                <w:highlight w:val="none"/>
              </w:rPr>
            </w:pPr>
            <w:r>
              <w:rPr>
                <w:rFonts w:hint="eastAsia" w:ascii="宋体" w:hAnsi="宋体" w:cs="宋体"/>
                <w:color w:val="auto"/>
                <w:highlight w:val="none"/>
              </w:rPr>
              <w:t>规格：60mL。</w:t>
            </w:r>
          </w:p>
          <w:p w14:paraId="7D98195B">
            <w:pPr>
              <w:rPr>
                <w:rFonts w:hint="eastAsia" w:ascii="宋体" w:hAnsi="宋体" w:cs="宋体"/>
                <w:color w:val="auto"/>
                <w:highlight w:val="none"/>
              </w:rPr>
            </w:pPr>
            <w:r>
              <w:rPr>
                <w:rFonts w:hint="eastAsia" w:ascii="宋体" w:hAnsi="宋体" w:cs="宋体"/>
                <w:color w:val="auto"/>
                <w:highlight w:val="none"/>
              </w:rPr>
              <w:t>1.为茶色（或棕色），与滴管配合使用。</w:t>
            </w:r>
          </w:p>
          <w:p w14:paraId="4F11C3CD">
            <w:pPr>
              <w:rPr>
                <w:rFonts w:hint="eastAsia" w:ascii="宋体" w:hAnsi="宋体" w:cs="宋体"/>
                <w:color w:val="auto"/>
                <w:highlight w:val="none"/>
              </w:rPr>
            </w:pPr>
            <w:r>
              <w:rPr>
                <w:rFonts w:hint="eastAsia" w:ascii="宋体" w:hAnsi="宋体" w:cs="宋体"/>
                <w:color w:val="auto"/>
                <w:highlight w:val="none"/>
              </w:rPr>
              <w:t>2.外形基本尺寸要求：瓶身高63±5mm，瓶口高15±1.5mm，瓶身外径44±2mm，瓶口外径18±2mm，瓶身厚≥1.5mm，滴管全长90±5mm，滴管壁厚≥1mm。3.瓶口上口与橡皮头配合良好。</w:t>
            </w:r>
          </w:p>
          <w:p w14:paraId="7791602B">
            <w:pPr>
              <w:rPr>
                <w:rFonts w:hint="eastAsia" w:ascii="宋体" w:hAnsi="宋体" w:cs="宋体"/>
                <w:b/>
                <w:bCs/>
                <w:color w:val="auto"/>
                <w:highlight w:val="none"/>
              </w:rPr>
            </w:pPr>
            <w:r>
              <w:rPr>
                <w:rFonts w:hint="eastAsia" w:ascii="宋体" w:hAnsi="宋体" w:cs="宋体"/>
                <w:color w:val="auto"/>
                <w:highlight w:val="none"/>
              </w:rPr>
              <w:t>4.无严重玻璃缺陷。</w:t>
            </w:r>
          </w:p>
        </w:tc>
        <w:tc>
          <w:tcPr>
            <w:tcW w:w="384" w:type="pct"/>
            <w:vAlign w:val="center"/>
          </w:tcPr>
          <w:p w14:paraId="1F234384">
            <w:pPr>
              <w:jc w:val="center"/>
              <w:rPr>
                <w:color w:val="auto"/>
                <w:highlight w:val="none"/>
              </w:rPr>
            </w:pPr>
            <w:r>
              <w:rPr>
                <w:rFonts w:hint="eastAsia" w:ascii="宋体" w:hAnsi="宋体" w:cs="宋体"/>
                <w:color w:val="auto"/>
                <w:highlight w:val="none"/>
              </w:rPr>
              <w:t>个</w:t>
            </w:r>
          </w:p>
        </w:tc>
        <w:tc>
          <w:tcPr>
            <w:tcW w:w="385" w:type="pct"/>
            <w:vAlign w:val="center"/>
          </w:tcPr>
          <w:p w14:paraId="26E1D607">
            <w:pPr>
              <w:jc w:val="center"/>
              <w:rPr>
                <w:color w:val="auto"/>
                <w:highlight w:val="none"/>
              </w:rPr>
            </w:pPr>
            <w:r>
              <w:rPr>
                <w:rFonts w:hint="eastAsia" w:ascii="宋体" w:hAnsi="宋体" w:cs="宋体"/>
                <w:color w:val="auto"/>
                <w:highlight w:val="none"/>
              </w:rPr>
              <w:t>30</w:t>
            </w:r>
          </w:p>
        </w:tc>
      </w:tr>
      <w:tr w14:paraId="2256C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68C3D5FE">
            <w:pPr>
              <w:jc w:val="center"/>
              <w:rPr>
                <w:rFonts w:hint="eastAsia" w:ascii="宋体" w:hAnsi="宋体" w:cs="宋体"/>
                <w:b/>
                <w:bCs/>
                <w:color w:val="auto"/>
                <w:highlight w:val="none"/>
              </w:rPr>
            </w:pPr>
            <w:r>
              <w:rPr>
                <w:rFonts w:hint="eastAsia" w:ascii="宋体" w:hAnsi="宋体" w:cs="宋体"/>
                <w:color w:val="auto"/>
                <w:highlight w:val="none"/>
              </w:rPr>
              <w:t>26</w:t>
            </w:r>
          </w:p>
        </w:tc>
        <w:tc>
          <w:tcPr>
            <w:tcW w:w="782" w:type="pct"/>
            <w:tcBorders>
              <w:left w:val="single" w:color="auto" w:sz="4" w:space="0"/>
              <w:right w:val="single" w:color="auto" w:sz="4" w:space="0"/>
            </w:tcBorders>
            <w:vAlign w:val="center"/>
          </w:tcPr>
          <w:p w14:paraId="3BF5517B">
            <w:pPr>
              <w:jc w:val="center"/>
              <w:rPr>
                <w:rFonts w:hint="eastAsia" w:ascii="宋体" w:hAnsi="宋体" w:cs="宋体"/>
                <w:b/>
                <w:bCs/>
                <w:color w:val="auto"/>
                <w:highlight w:val="none"/>
              </w:rPr>
            </w:pPr>
            <w:r>
              <w:rPr>
                <w:rFonts w:hint="eastAsia" w:ascii="宋体" w:hAnsi="宋体" w:cs="宋体"/>
                <w:color w:val="auto"/>
                <w:highlight w:val="none"/>
              </w:rPr>
              <w:t>玻璃棒</w:t>
            </w:r>
          </w:p>
        </w:tc>
        <w:tc>
          <w:tcPr>
            <w:tcW w:w="3079" w:type="pct"/>
            <w:tcBorders>
              <w:left w:val="single" w:color="auto" w:sz="4" w:space="0"/>
            </w:tcBorders>
            <w:vAlign w:val="center"/>
          </w:tcPr>
          <w:p w14:paraId="4D43BE37">
            <w:pPr>
              <w:rPr>
                <w:rFonts w:hint="eastAsia" w:ascii="宋体" w:hAnsi="宋体" w:cs="宋体"/>
                <w:b/>
                <w:bCs/>
                <w:color w:val="auto"/>
                <w:highlight w:val="none"/>
              </w:rPr>
            </w:pPr>
            <w:r>
              <w:rPr>
                <w:rFonts w:hint="eastAsia" w:ascii="宋体" w:hAnsi="宋体" w:cs="宋体"/>
                <w:color w:val="auto"/>
                <w:highlight w:val="none"/>
              </w:rPr>
              <w:t>外形基本尺寸：D=6mm，L=300mm（±5mm）；材质：优质高硼硅BORO3.3；工艺：精工烧结，依据实验和设计要求定制，无毛刺锐角，统一的宝塔口基本尺寸；棒体具有低膨胀率、耐高温、高强度、高硬度、高透光率和高化学稳定性的优良特性，用于搅拌、过滤或转移液体。</w:t>
            </w:r>
          </w:p>
        </w:tc>
        <w:tc>
          <w:tcPr>
            <w:tcW w:w="384" w:type="pct"/>
            <w:vAlign w:val="center"/>
          </w:tcPr>
          <w:p w14:paraId="3AE5185A">
            <w:pPr>
              <w:jc w:val="center"/>
              <w:rPr>
                <w:color w:val="auto"/>
                <w:highlight w:val="none"/>
              </w:rPr>
            </w:pPr>
            <w:r>
              <w:rPr>
                <w:rFonts w:hint="eastAsia" w:ascii="宋体" w:hAnsi="宋体" w:cs="宋体"/>
                <w:color w:val="auto"/>
                <w:highlight w:val="none"/>
              </w:rPr>
              <w:t>个</w:t>
            </w:r>
          </w:p>
        </w:tc>
        <w:tc>
          <w:tcPr>
            <w:tcW w:w="385" w:type="pct"/>
            <w:vAlign w:val="center"/>
          </w:tcPr>
          <w:p w14:paraId="01E3FC68">
            <w:pPr>
              <w:jc w:val="center"/>
              <w:rPr>
                <w:color w:val="auto"/>
                <w:highlight w:val="none"/>
              </w:rPr>
            </w:pPr>
            <w:r>
              <w:rPr>
                <w:rFonts w:hint="eastAsia" w:ascii="宋体" w:hAnsi="宋体" w:cs="宋体"/>
                <w:color w:val="auto"/>
                <w:highlight w:val="none"/>
              </w:rPr>
              <w:t>30</w:t>
            </w:r>
          </w:p>
        </w:tc>
      </w:tr>
      <w:tr w14:paraId="1DA84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774601E6">
            <w:pPr>
              <w:jc w:val="center"/>
              <w:rPr>
                <w:rFonts w:hint="eastAsia" w:ascii="宋体" w:hAnsi="宋体" w:cs="宋体"/>
                <w:b/>
                <w:bCs/>
                <w:color w:val="auto"/>
                <w:highlight w:val="none"/>
              </w:rPr>
            </w:pPr>
            <w:r>
              <w:rPr>
                <w:rFonts w:hint="eastAsia" w:ascii="宋体" w:hAnsi="宋体" w:cs="宋体"/>
                <w:color w:val="auto"/>
                <w:highlight w:val="none"/>
              </w:rPr>
              <w:t>27</w:t>
            </w:r>
          </w:p>
        </w:tc>
        <w:tc>
          <w:tcPr>
            <w:tcW w:w="782" w:type="pct"/>
            <w:tcBorders>
              <w:left w:val="single" w:color="auto" w:sz="4" w:space="0"/>
              <w:right w:val="single" w:color="auto" w:sz="4" w:space="0"/>
            </w:tcBorders>
            <w:vAlign w:val="center"/>
          </w:tcPr>
          <w:p w14:paraId="53C3D235">
            <w:pPr>
              <w:jc w:val="center"/>
              <w:rPr>
                <w:rFonts w:hint="eastAsia" w:ascii="宋体" w:hAnsi="宋体" w:cs="宋体"/>
                <w:b/>
                <w:bCs/>
                <w:color w:val="auto"/>
                <w:highlight w:val="none"/>
              </w:rPr>
            </w:pPr>
            <w:r>
              <w:rPr>
                <w:rFonts w:hint="eastAsia" w:ascii="宋体" w:hAnsi="宋体" w:cs="宋体"/>
                <w:color w:val="auto"/>
                <w:highlight w:val="none"/>
              </w:rPr>
              <w:t>酒精喷灯</w:t>
            </w:r>
          </w:p>
        </w:tc>
        <w:tc>
          <w:tcPr>
            <w:tcW w:w="3079" w:type="pct"/>
            <w:tcBorders>
              <w:left w:val="single" w:color="auto" w:sz="4" w:space="0"/>
            </w:tcBorders>
            <w:vAlign w:val="center"/>
          </w:tcPr>
          <w:p w14:paraId="1A642C9F">
            <w:pPr>
              <w:rPr>
                <w:rFonts w:hint="eastAsia" w:ascii="宋体" w:hAnsi="宋体" w:cs="宋体"/>
                <w:color w:val="auto"/>
                <w:highlight w:val="none"/>
              </w:rPr>
            </w:pPr>
            <w:r>
              <w:rPr>
                <w:rFonts w:hint="eastAsia" w:ascii="宋体" w:hAnsi="宋体" w:cs="宋体"/>
                <w:color w:val="auto"/>
                <w:highlight w:val="none"/>
              </w:rPr>
              <w:t>1.有壶体、预燃杯、壶咀、喷管、火苗调节杆等部分。</w:t>
            </w:r>
          </w:p>
          <w:p w14:paraId="1010A2C9">
            <w:pPr>
              <w:rPr>
                <w:rFonts w:hint="eastAsia" w:ascii="宋体" w:hAnsi="宋体" w:cs="宋体"/>
                <w:color w:val="auto"/>
                <w:highlight w:val="none"/>
              </w:rPr>
            </w:pPr>
            <w:r>
              <w:rPr>
                <w:rFonts w:hint="eastAsia" w:ascii="宋体" w:hAnsi="宋体" w:cs="宋体"/>
                <w:color w:val="auto"/>
                <w:highlight w:val="none"/>
              </w:rPr>
              <w:t>2.不锈钢材料加黄铜制成，美观大方，表面平整光滑。壶体容积不得小于300mL，使用时，在预燃杯中倒入约2/3杯的酒精时，预燃杯中酒精燃烧约40秒钟，喷管立即喷火，预燃杯酒精燃烧完毕，喷管喷火不应停止。</w:t>
            </w:r>
          </w:p>
          <w:p w14:paraId="6941B662">
            <w:pPr>
              <w:rPr>
                <w:rFonts w:hint="eastAsia" w:ascii="宋体" w:hAnsi="宋体" w:cs="宋体"/>
                <w:color w:val="auto"/>
                <w:highlight w:val="none"/>
              </w:rPr>
            </w:pPr>
            <w:r>
              <w:rPr>
                <w:rFonts w:hint="eastAsia" w:ascii="宋体" w:hAnsi="宋体" w:cs="宋体"/>
                <w:color w:val="auto"/>
                <w:highlight w:val="none"/>
              </w:rPr>
              <w:t>3.壶体焊缝紧密，不得漏酒精和漏气。</w:t>
            </w:r>
          </w:p>
          <w:p w14:paraId="18FEC4BE">
            <w:pPr>
              <w:rPr>
                <w:rFonts w:hint="eastAsia" w:ascii="宋体" w:hAnsi="宋体" w:cs="宋体"/>
                <w:b/>
                <w:bCs/>
                <w:color w:val="auto"/>
                <w:highlight w:val="none"/>
              </w:rPr>
            </w:pPr>
            <w:r>
              <w:rPr>
                <w:rFonts w:hint="eastAsia" w:ascii="宋体" w:hAnsi="宋体" w:cs="宋体"/>
                <w:color w:val="auto"/>
                <w:highlight w:val="none"/>
              </w:rPr>
              <w:t>4.喷管各焊接处用银铜料焊接，不得因喷火燃烧而溶化焊接处。</w:t>
            </w:r>
          </w:p>
        </w:tc>
        <w:tc>
          <w:tcPr>
            <w:tcW w:w="384" w:type="pct"/>
            <w:vAlign w:val="center"/>
          </w:tcPr>
          <w:p w14:paraId="00CE5929">
            <w:pPr>
              <w:jc w:val="center"/>
              <w:rPr>
                <w:color w:val="auto"/>
                <w:highlight w:val="none"/>
              </w:rPr>
            </w:pPr>
            <w:r>
              <w:rPr>
                <w:rFonts w:hint="eastAsia" w:ascii="宋体" w:hAnsi="宋体" w:cs="宋体"/>
                <w:color w:val="auto"/>
                <w:highlight w:val="none"/>
              </w:rPr>
              <w:t>个</w:t>
            </w:r>
          </w:p>
        </w:tc>
        <w:tc>
          <w:tcPr>
            <w:tcW w:w="385" w:type="pct"/>
            <w:vAlign w:val="center"/>
          </w:tcPr>
          <w:p w14:paraId="073F2CD9">
            <w:pPr>
              <w:jc w:val="center"/>
              <w:rPr>
                <w:color w:val="auto"/>
                <w:highlight w:val="none"/>
              </w:rPr>
            </w:pPr>
            <w:r>
              <w:rPr>
                <w:rFonts w:hint="eastAsia" w:ascii="宋体" w:hAnsi="宋体" w:cs="宋体"/>
                <w:color w:val="auto"/>
                <w:highlight w:val="none"/>
              </w:rPr>
              <w:t>3</w:t>
            </w:r>
          </w:p>
        </w:tc>
      </w:tr>
      <w:tr w14:paraId="7528C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370" w:type="pct"/>
            <w:tcBorders>
              <w:right w:val="single" w:color="auto" w:sz="4" w:space="0"/>
            </w:tcBorders>
            <w:vAlign w:val="center"/>
          </w:tcPr>
          <w:p w14:paraId="5BE275BB">
            <w:pPr>
              <w:jc w:val="center"/>
              <w:rPr>
                <w:rFonts w:hint="eastAsia" w:ascii="宋体" w:hAnsi="宋体" w:cs="宋体"/>
                <w:color w:val="auto"/>
                <w:highlight w:val="none"/>
              </w:rPr>
            </w:pPr>
          </w:p>
        </w:tc>
        <w:tc>
          <w:tcPr>
            <w:tcW w:w="782" w:type="pct"/>
            <w:tcBorders>
              <w:left w:val="single" w:color="auto" w:sz="4" w:space="0"/>
              <w:right w:val="single" w:color="auto" w:sz="4" w:space="0"/>
            </w:tcBorders>
            <w:vAlign w:val="center"/>
          </w:tcPr>
          <w:p w14:paraId="19CB6130">
            <w:pPr>
              <w:jc w:val="center"/>
              <w:rPr>
                <w:rFonts w:hint="eastAsia" w:ascii="宋体" w:hAnsi="宋体" w:cs="宋体"/>
                <w:color w:val="auto"/>
                <w:highlight w:val="none"/>
              </w:rPr>
            </w:pPr>
          </w:p>
        </w:tc>
        <w:tc>
          <w:tcPr>
            <w:tcW w:w="3079" w:type="pct"/>
            <w:tcBorders>
              <w:left w:val="single" w:color="auto" w:sz="4" w:space="0"/>
            </w:tcBorders>
            <w:vAlign w:val="center"/>
          </w:tcPr>
          <w:p w14:paraId="2A5C2CEE">
            <w:pPr>
              <w:jc w:val="center"/>
              <w:rPr>
                <w:rFonts w:hint="eastAsia" w:ascii="宋体" w:hAnsi="宋体" w:cs="宋体"/>
                <w:color w:val="auto"/>
                <w:highlight w:val="none"/>
              </w:rPr>
            </w:pPr>
            <w:r>
              <w:rPr>
                <w:rFonts w:hint="eastAsia" w:ascii="宋体" w:hAnsi="宋体" w:cs="宋体"/>
                <w:b/>
                <w:bCs/>
                <w:color w:val="auto"/>
                <w:highlight w:val="none"/>
              </w:rPr>
              <w:t>高中生物新课标实验仪器</w:t>
            </w:r>
          </w:p>
        </w:tc>
        <w:tc>
          <w:tcPr>
            <w:tcW w:w="384" w:type="pct"/>
            <w:vAlign w:val="center"/>
          </w:tcPr>
          <w:p w14:paraId="2D346CAC">
            <w:pPr>
              <w:jc w:val="center"/>
              <w:rPr>
                <w:rFonts w:hint="eastAsia" w:ascii="宋体" w:hAnsi="宋体" w:cs="宋体"/>
                <w:color w:val="auto"/>
                <w:highlight w:val="none"/>
              </w:rPr>
            </w:pPr>
          </w:p>
        </w:tc>
        <w:tc>
          <w:tcPr>
            <w:tcW w:w="385" w:type="pct"/>
            <w:vAlign w:val="center"/>
          </w:tcPr>
          <w:p w14:paraId="4F39BD87">
            <w:pPr>
              <w:jc w:val="center"/>
              <w:rPr>
                <w:rFonts w:hint="eastAsia" w:ascii="宋体" w:hAnsi="宋体" w:cs="宋体"/>
                <w:color w:val="auto"/>
                <w:highlight w:val="none"/>
              </w:rPr>
            </w:pPr>
          </w:p>
        </w:tc>
      </w:tr>
      <w:tr w14:paraId="3446C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370" w:type="pct"/>
            <w:tcBorders>
              <w:right w:val="single" w:color="auto" w:sz="4" w:space="0"/>
            </w:tcBorders>
            <w:vAlign w:val="center"/>
          </w:tcPr>
          <w:p w14:paraId="37CCCFFB">
            <w:pPr>
              <w:jc w:val="center"/>
              <w:rPr>
                <w:rFonts w:hint="eastAsia" w:ascii="宋体" w:hAnsi="宋体" w:cs="宋体"/>
                <w:b/>
                <w:bCs/>
                <w:color w:val="auto"/>
                <w:highlight w:val="none"/>
              </w:rPr>
            </w:pPr>
            <w:r>
              <w:rPr>
                <w:rFonts w:hint="eastAsia" w:ascii="宋体" w:hAnsi="宋体" w:cs="宋体"/>
                <w:b/>
                <w:bCs/>
                <w:color w:val="auto"/>
                <w:highlight w:val="none"/>
              </w:rPr>
              <w:t>序号</w:t>
            </w:r>
          </w:p>
        </w:tc>
        <w:tc>
          <w:tcPr>
            <w:tcW w:w="782" w:type="pct"/>
            <w:tcBorders>
              <w:left w:val="single" w:color="auto" w:sz="4" w:space="0"/>
              <w:right w:val="single" w:color="auto" w:sz="4" w:space="0"/>
            </w:tcBorders>
            <w:vAlign w:val="center"/>
          </w:tcPr>
          <w:p w14:paraId="47539E09">
            <w:pPr>
              <w:jc w:val="center"/>
              <w:rPr>
                <w:rFonts w:hint="eastAsia" w:ascii="宋体" w:hAnsi="宋体" w:cs="宋体"/>
                <w:b/>
                <w:bCs/>
                <w:color w:val="auto"/>
                <w:highlight w:val="none"/>
              </w:rPr>
            </w:pPr>
            <w:r>
              <w:rPr>
                <w:rFonts w:hint="eastAsia" w:ascii="宋体" w:hAnsi="宋体" w:cs="宋体"/>
                <w:b/>
                <w:bCs/>
                <w:color w:val="auto"/>
                <w:highlight w:val="none"/>
              </w:rPr>
              <w:t>名称</w:t>
            </w:r>
          </w:p>
        </w:tc>
        <w:tc>
          <w:tcPr>
            <w:tcW w:w="3079" w:type="pct"/>
            <w:tcBorders>
              <w:left w:val="single" w:color="auto" w:sz="4" w:space="0"/>
            </w:tcBorders>
            <w:vAlign w:val="center"/>
          </w:tcPr>
          <w:p w14:paraId="6DE28E8B">
            <w:pPr>
              <w:jc w:val="center"/>
              <w:rPr>
                <w:rFonts w:hint="eastAsia" w:ascii="宋体" w:hAnsi="宋体" w:cs="宋体"/>
                <w:b/>
                <w:bCs/>
                <w:color w:val="auto"/>
                <w:highlight w:val="none"/>
              </w:rPr>
            </w:pPr>
            <w:r>
              <w:rPr>
                <w:rFonts w:hint="eastAsia" w:ascii="宋体" w:hAnsi="宋体" w:cs="宋体"/>
                <w:b/>
                <w:bCs/>
                <w:color w:val="auto"/>
                <w:highlight w:val="none"/>
              </w:rPr>
              <w:t>一般性能及技术参数要求</w:t>
            </w:r>
          </w:p>
        </w:tc>
        <w:tc>
          <w:tcPr>
            <w:tcW w:w="384" w:type="pct"/>
            <w:vAlign w:val="center"/>
          </w:tcPr>
          <w:p w14:paraId="27834B15">
            <w:pPr>
              <w:jc w:val="center"/>
              <w:rPr>
                <w:color w:val="auto"/>
                <w:highlight w:val="none"/>
              </w:rPr>
            </w:pPr>
            <w:r>
              <w:rPr>
                <w:rFonts w:hint="eastAsia" w:ascii="宋体" w:hAnsi="宋体" w:cs="宋体"/>
                <w:b/>
                <w:bCs/>
                <w:color w:val="auto"/>
                <w:highlight w:val="none"/>
              </w:rPr>
              <w:t>单位</w:t>
            </w:r>
          </w:p>
        </w:tc>
        <w:tc>
          <w:tcPr>
            <w:tcW w:w="385" w:type="pct"/>
            <w:vAlign w:val="center"/>
          </w:tcPr>
          <w:p w14:paraId="72E41D59">
            <w:pPr>
              <w:jc w:val="center"/>
              <w:rPr>
                <w:color w:val="auto"/>
                <w:highlight w:val="none"/>
              </w:rPr>
            </w:pPr>
            <w:r>
              <w:rPr>
                <w:rFonts w:hint="eastAsia" w:ascii="宋体" w:hAnsi="宋体" w:cs="宋体"/>
                <w:b/>
                <w:bCs/>
                <w:color w:val="auto"/>
                <w:highlight w:val="none"/>
              </w:rPr>
              <w:t>数量</w:t>
            </w:r>
          </w:p>
        </w:tc>
      </w:tr>
      <w:tr w14:paraId="5BCC1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1B1D5D6C">
            <w:pPr>
              <w:jc w:val="center"/>
              <w:rPr>
                <w:rFonts w:hint="eastAsia" w:ascii="宋体" w:hAnsi="宋体" w:cs="宋体"/>
                <w:b/>
                <w:bCs/>
                <w:color w:val="auto"/>
                <w:highlight w:val="none"/>
              </w:rPr>
            </w:pPr>
            <w:r>
              <w:rPr>
                <w:rFonts w:hint="eastAsia" w:ascii="宋体" w:hAnsi="宋体" w:cs="宋体"/>
                <w:color w:val="auto"/>
                <w:highlight w:val="none"/>
              </w:rPr>
              <w:t>1</w:t>
            </w:r>
          </w:p>
        </w:tc>
        <w:tc>
          <w:tcPr>
            <w:tcW w:w="782" w:type="pct"/>
            <w:tcBorders>
              <w:left w:val="single" w:color="auto" w:sz="4" w:space="0"/>
              <w:right w:val="single" w:color="auto" w:sz="4" w:space="0"/>
            </w:tcBorders>
            <w:vAlign w:val="center"/>
          </w:tcPr>
          <w:p w14:paraId="5095BA52">
            <w:pPr>
              <w:jc w:val="center"/>
              <w:rPr>
                <w:rFonts w:hint="eastAsia" w:ascii="宋体" w:hAnsi="宋体" w:cs="宋体"/>
                <w:b/>
                <w:bCs/>
                <w:color w:val="auto"/>
                <w:highlight w:val="none"/>
              </w:rPr>
            </w:pPr>
            <w:r>
              <w:rPr>
                <w:rFonts w:hint="eastAsia" w:ascii="宋体" w:hAnsi="宋体" w:cs="宋体"/>
                <w:color w:val="auto"/>
                <w:highlight w:val="none"/>
              </w:rPr>
              <w:t>数码生物显微镜</w:t>
            </w:r>
          </w:p>
        </w:tc>
        <w:tc>
          <w:tcPr>
            <w:tcW w:w="3079" w:type="pct"/>
            <w:tcBorders>
              <w:left w:val="single" w:color="auto" w:sz="4" w:space="0"/>
            </w:tcBorders>
            <w:vAlign w:val="center"/>
          </w:tcPr>
          <w:p w14:paraId="1B19BD93">
            <w:pPr>
              <w:rPr>
                <w:rFonts w:hint="eastAsia" w:ascii="宋体" w:hAnsi="宋体" w:cs="宋体"/>
                <w:color w:val="auto"/>
                <w:highlight w:val="none"/>
              </w:rPr>
            </w:pPr>
            <w:r>
              <w:rPr>
                <w:rFonts w:hint="eastAsia" w:ascii="宋体" w:hAnsi="宋体" w:cs="宋体"/>
                <w:color w:val="auto"/>
                <w:highlight w:val="none"/>
              </w:rPr>
              <w:t>1.目镜：大视野平场目镜PL10X/18mm,带目镜锁紧机构，防止移动时目镜脱落。</w:t>
            </w:r>
          </w:p>
          <w:p w14:paraId="458A6574">
            <w:pPr>
              <w:rPr>
                <w:rFonts w:hint="eastAsia" w:ascii="宋体" w:hAnsi="宋体" w:cs="宋体"/>
                <w:color w:val="auto"/>
                <w:highlight w:val="none"/>
              </w:rPr>
            </w:pPr>
            <w:r>
              <w:rPr>
                <w:rFonts w:hint="eastAsia" w:ascii="宋体" w:hAnsi="宋体" w:cs="宋体"/>
                <w:color w:val="auto"/>
                <w:highlight w:val="none"/>
              </w:rPr>
              <w:t>2.物镜：平场消色差物镜4X/0.10，WD=15.09mm；10X/0.25，WD=8.57mm；40XS/0.65WD=0.38mm； 100XS/1.25(油）, WD=0.09mm。</w:t>
            </w:r>
          </w:p>
          <w:p w14:paraId="6962DDB1">
            <w:pPr>
              <w:rPr>
                <w:rFonts w:hint="eastAsia" w:ascii="宋体" w:hAnsi="宋体" w:cs="宋体"/>
                <w:color w:val="auto"/>
                <w:highlight w:val="none"/>
              </w:rPr>
            </w:pPr>
            <w:r>
              <w:rPr>
                <w:rFonts w:hint="eastAsia" w:ascii="宋体" w:hAnsi="宋体" w:cs="宋体"/>
                <w:color w:val="auto"/>
                <w:highlight w:val="none"/>
              </w:rPr>
              <w:t>3.镜体：整机金属结构，一体化T字型底座，全金属高压模铸而成，具有优异的稳定性与刚性，紧凑的结构设计，节约实验室空间。</w:t>
            </w:r>
          </w:p>
          <w:p w14:paraId="10DFC53E">
            <w:pPr>
              <w:rPr>
                <w:rFonts w:hint="eastAsia" w:ascii="宋体" w:hAnsi="宋体" w:cs="宋体"/>
                <w:color w:val="auto"/>
                <w:highlight w:val="none"/>
              </w:rPr>
            </w:pPr>
            <w:r>
              <w:rPr>
                <w:rFonts w:hint="eastAsia" w:ascii="宋体" w:hAnsi="宋体" w:cs="宋体"/>
                <w:color w:val="auto"/>
                <w:highlight w:val="none"/>
              </w:rPr>
              <w:t>4.铰链式三目观察头，30°倾斜，瞳孔距离50-75mm，单边视度可调±5屈光度</w:t>
            </w:r>
          </w:p>
          <w:p w14:paraId="739E8B40">
            <w:pPr>
              <w:rPr>
                <w:rFonts w:hint="eastAsia" w:ascii="宋体" w:hAnsi="宋体" w:cs="宋体"/>
                <w:color w:val="auto"/>
                <w:highlight w:val="none"/>
              </w:rPr>
            </w:pPr>
            <w:r>
              <w:rPr>
                <w:rFonts w:hint="eastAsia" w:ascii="宋体" w:hAnsi="宋体" w:cs="宋体"/>
                <w:color w:val="auto"/>
                <w:highlight w:val="none"/>
              </w:rPr>
              <w:t>5.转换器：内定位四孔物镜转换器，朝镜臂内安装，镜臂镂空设计，镂空部位构成左右扶手，单手可搬运，外观采用纯白底色。</w:t>
            </w:r>
          </w:p>
          <w:p w14:paraId="24510B24">
            <w:pPr>
              <w:rPr>
                <w:rFonts w:hint="eastAsia" w:ascii="宋体" w:hAnsi="宋体" w:cs="宋体"/>
                <w:color w:val="auto"/>
                <w:highlight w:val="none"/>
              </w:rPr>
            </w:pPr>
            <w:r>
              <w:rPr>
                <w:rFonts w:hint="eastAsia" w:ascii="宋体" w:hAnsi="宋体" w:cs="宋体"/>
                <w:color w:val="auto"/>
                <w:highlight w:val="none"/>
              </w:rPr>
              <w:t>6.载物台，双层复合式机械移动载物台，移动平台边缘采用倒圆角处理，有效防止意外碰撞引起的损伤。右手低手位同轴调节，带限位装置，具有切片保护功能。平台移动范围76mm（X）×50（Y）mm，精度0.1mm。</w:t>
            </w:r>
          </w:p>
          <w:p w14:paraId="54252557">
            <w:pPr>
              <w:rPr>
                <w:rFonts w:hint="eastAsia" w:ascii="宋体" w:hAnsi="宋体" w:cs="宋体"/>
                <w:color w:val="auto"/>
                <w:highlight w:val="none"/>
              </w:rPr>
            </w:pPr>
            <w:r>
              <w:rPr>
                <w:rFonts w:hint="eastAsia" w:ascii="宋体" w:hAnsi="宋体" w:cs="宋体"/>
                <w:color w:val="auto"/>
                <w:highlight w:val="none"/>
              </w:rPr>
              <w:t>7.聚光镜：预置中心阿贝式聚光镜N.A1.25，防拆卸设计，保证聚光镜处于正确的出厂设置。聚光镜带可变孔径光阑，并装有滤色片托架，以适应生物学不同标本的背光照明，提高成像对比度。</w:t>
            </w:r>
          </w:p>
          <w:p w14:paraId="30165C77">
            <w:pPr>
              <w:rPr>
                <w:rFonts w:hint="eastAsia" w:ascii="宋体" w:hAnsi="宋体" w:cs="宋体"/>
                <w:color w:val="auto"/>
                <w:highlight w:val="none"/>
              </w:rPr>
            </w:pPr>
            <w:r>
              <w:rPr>
                <w:rFonts w:hint="eastAsia" w:ascii="宋体" w:hAnsi="宋体" w:cs="宋体"/>
                <w:color w:val="auto"/>
                <w:highlight w:val="none"/>
              </w:rPr>
              <w:t>8.调焦机构：同轴粗动和微动手轮对称安装在机身的两侧，左右手均可操作，方便调焦。粗动手抡松紧度可调节，粗动行程13mm，微动手轮调节精度0.002mm。采用机械式上限位机构，确保标本与物镜不会碰触</w:t>
            </w:r>
          </w:p>
          <w:p w14:paraId="64E5FD3F">
            <w:pPr>
              <w:rPr>
                <w:rFonts w:hint="eastAsia" w:ascii="宋体" w:hAnsi="宋体" w:cs="宋体"/>
                <w:color w:val="auto"/>
                <w:highlight w:val="none"/>
              </w:rPr>
            </w:pPr>
            <w:r>
              <w:rPr>
                <w:rFonts w:hint="eastAsia" w:ascii="宋体" w:hAnsi="宋体" w:cs="宋体"/>
                <w:color w:val="auto"/>
                <w:highlight w:val="none"/>
              </w:rPr>
              <w:t>9.照明系统：0.2W LED光源照明，色温5700K-6500K，高性能单颗大功率 LED光源，使用寿命达10000小时以上。</w:t>
            </w:r>
          </w:p>
          <w:p w14:paraId="663146AE">
            <w:pPr>
              <w:rPr>
                <w:rFonts w:hint="eastAsia" w:ascii="宋体" w:hAnsi="宋体" w:cs="宋体"/>
                <w:color w:val="auto"/>
                <w:highlight w:val="none"/>
              </w:rPr>
            </w:pPr>
            <w:r>
              <w:rPr>
                <w:rFonts w:hint="eastAsia" w:ascii="宋体" w:hAnsi="宋体" w:cs="宋体"/>
                <w:color w:val="auto"/>
                <w:highlight w:val="none"/>
              </w:rPr>
              <w:t>10.供电模式，双供电模式，显微镜可装3节5A充电电池供电，变压器供电的同时能为电池充电，侧面配有充电指示灯，电量情况一目了然。方便户外或者断电情况使用，超长续航时间，满电模式使用时间不小于50H；外置式宽电压充电器，输入100V—240V，输出5V 1A，支持USB口供电，可支持电脑或移动电源供电，更加方便。</w:t>
            </w:r>
          </w:p>
          <w:p w14:paraId="0B717787">
            <w:pPr>
              <w:rPr>
                <w:rFonts w:hint="eastAsia" w:ascii="宋体" w:hAnsi="宋体" w:cs="宋体"/>
                <w:color w:val="auto"/>
                <w:highlight w:val="none"/>
              </w:rPr>
            </w:pPr>
            <w:r>
              <w:rPr>
                <w:rFonts w:hint="eastAsia" w:ascii="宋体" w:hAnsi="宋体" w:cs="宋体"/>
                <w:color w:val="auto"/>
                <w:highlight w:val="none"/>
              </w:rPr>
              <w:t>11.显微镜背板摄影集线装置，当显微镜不使用时，可以有效收纳过长的电源线，提高实验室整洁度，同时也能减少搬运过程中因电源线过长导致的搬到事故。</w:t>
            </w:r>
          </w:p>
          <w:p w14:paraId="1B032241">
            <w:pPr>
              <w:rPr>
                <w:rFonts w:hint="eastAsia" w:ascii="宋体" w:hAnsi="宋体" w:cs="宋体"/>
                <w:color w:val="auto"/>
                <w:highlight w:val="none"/>
              </w:rPr>
            </w:pPr>
            <w:r>
              <w:rPr>
                <w:rFonts w:hint="eastAsia" w:ascii="宋体" w:hAnsi="宋体" w:cs="宋体"/>
                <w:color w:val="auto"/>
                <w:highlight w:val="none"/>
              </w:rPr>
              <w:t>12.智能显示终端，10寸高清屏，像素≥1600万，USB、HDMI输出，可拍照、录像</w:t>
            </w:r>
          </w:p>
          <w:p w14:paraId="6245D188">
            <w:pPr>
              <w:rPr>
                <w:rFonts w:hint="eastAsia" w:ascii="宋体" w:hAnsi="宋体" w:cs="宋体"/>
                <w:b/>
                <w:bCs/>
                <w:color w:val="auto"/>
                <w:highlight w:val="none"/>
              </w:rPr>
            </w:pPr>
            <w:r>
              <w:rPr>
                <w:rFonts w:hint="eastAsia" w:ascii="宋体" w:hAnsi="宋体" w:cs="宋体"/>
                <w:color w:val="auto"/>
                <w:highlight w:val="none"/>
              </w:rPr>
              <w:t>13.成像接口：0.35X成像接口，接口上有LOCK和Focus两个调节螺钉，用专用工具可以调节和锁定平板端焦距。</w:t>
            </w:r>
          </w:p>
        </w:tc>
        <w:tc>
          <w:tcPr>
            <w:tcW w:w="384" w:type="pct"/>
            <w:vAlign w:val="center"/>
          </w:tcPr>
          <w:p w14:paraId="2B8437E8">
            <w:pPr>
              <w:jc w:val="center"/>
              <w:rPr>
                <w:color w:val="auto"/>
                <w:highlight w:val="none"/>
              </w:rPr>
            </w:pPr>
            <w:r>
              <w:rPr>
                <w:rFonts w:hint="eastAsia" w:ascii="宋体" w:hAnsi="宋体" w:cs="宋体"/>
                <w:color w:val="auto"/>
                <w:highlight w:val="none"/>
              </w:rPr>
              <w:t>台</w:t>
            </w:r>
          </w:p>
        </w:tc>
        <w:tc>
          <w:tcPr>
            <w:tcW w:w="385" w:type="pct"/>
            <w:vAlign w:val="center"/>
          </w:tcPr>
          <w:p w14:paraId="0A618F88">
            <w:pPr>
              <w:jc w:val="center"/>
              <w:rPr>
                <w:color w:val="auto"/>
                <w:highlight w:val="none"/>
              </w:rPr>
            </w:pPr>
            <w:r>
              <w:rPr>
                <w:rFonts w:hint="eastAsia" w:ascii="宋体" w:hAnsi="宋体" w:cs="宋体"/>
                <w:color w:val="auto"/>
                <w:highlight w:val="none"/>
              </w:rPr>
              <w:t>3</w:t>
            </w:r>
          </w:p>
        </w:tc>
      </w:tr>
      <w:tr w14:paraId="2CFC3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406DB736">
            <w:pPr>
              <w:jc w:val="center"/>
              <w:rPr>
                <w:rFonts w:hint="eastAsia" w:ascii="宋体" w:hAnsi="宋体" w:cs="宋体"/>
                <w:b/>
                <w:bCs/>
                <w:color w:val="auto"/>
                <w:highlight w:val="none"/>
              </w:rPr>
            </w:pPr>
            <w:r>
              <w:rPr>
                <w:rFonts w:hint="eastAsia" w:ascii="宋体" w:hAnsi="宋体" w:cs="宋体"/>
                <w:color w:val="auto"/>
                <w:highlight w:val="none"/>
              </w:rPr>
              <w:t>2</w:t>
            </w:r>
          </w:p>
        </w:tc>
        <w:tc>
          <w:tcPr>
            <w:tcW w:w="782" w:type="pct"/>
            <w:tcBorders>
              <w:left w:val="single" w:color="auto" w:sz="4" w:space="0"/>
              <w:right w:val="single" w:color="auto" w:sz="4" w:space="0"/>
            </w:tcBorders>
            <w:vAlign w:val="center"/>
          </w:tcPr>
          <w:p w14:paraId="4C1A5740">
            <w:pPr>
              <w:jc w:val="center"/>
              <w:rPr>
                <w:rFonts w:hint="eastAsia" w:ascii="宋体" w:hAnsi="宋体" w:cs="宋体"/>
                <w:b/>
                <w:bCs/>
                <w:color w:val="auto"/>
                <w:highlight w:val="none"/>
              </w:rPr>
            </w:pPr>
            <w:r>
              <w:rPr>
                <w:rFonts w:hint="eastAsia" w:ascii="宋体" w:hAnsi="宋体" w:cs="宋体"/>
                <w:color w:val="auto"/>
                <w:highlight w:val="none"/>
              </w:rPr>
              <w:t>高压灭菌器</w:t>
            </w:r>
          </w:p>
        </w:tc>
        <w:tc>
          <w:tcPr>
            <w:tcW w:w="3079" w:type="pct"/>
            <w:tcBorders>
              <w:left w:val="single" w:color="auto" w:sz="4" w:space="0"/>
            </w:tcBorders>
            <w:vAlign w:val="center"/>
          </w:tcPr>
          <w:p w14:paraId="29921AC7">
            <w:pPr>
              <w:rPr>
                <w:rFonts w:hint="eastAsia" w:ascii="宋体" w:hAnsi="宋体" w:cs="宋体"/>
                <w:color w:val="auto"/>
                <w:highlight w:val="none"/>
              </w:rPr>
            </w:pPr>
            <w:r>
              <w:rPr>
                <w:rFonts w:hint="eastAsia" w:ascii="宋体" w:hAnsi="宋体" w:cs="宋体"/>
                <w:color w:val="auto"/>
                <w:highlight w:val="none"/>
              </w:rPr>
              <w:t>大型手提式全不锈钢高压灭菌器。</w:t>
            </w:r>
          </w:p>
          <w:p w14:paraId="651A06AD">
            <w:pPr>
              <w:rPr>
                <w:rFonts w:hint="eastAsia" w:ascii="宋体" w:hAnsi="宋体" w:cs="宋体"/>
                <w:color w:val="auto"/>
                <w:highlight w:val="none"/>
              </w:rPr>
            </w:pPr>
            <w:r>
              <w:rPr>
                <w:rFonts w:hint="eastAsia" w:ascii="宋体" w:hAnsi="宋体" w:cs="宋体"/>
                <w:color w:val="auto"/>
                <w:highlight w:val="none"/>
              </w:rPr>
              <w:t>1.锅体和消毒桶皆采用不锈钢，锅体壁厚≥0.9cm。2.消毒捅容积≥12升。</w:t>
            </w:r>
          </w:p>
          <w:p w14:paraId="327F1881">
            <w:pPr>
              <w:rPr>
                <w:rFonts w:hint="eastAsia" w:ascii="宋体" w:hAnsi="宋体" w:cs="宋体"/>
                <w:color w:val="auto"/>
                <w:highlight w:val="none"/>
              </w:rPr>
            </w:pPr>
            <w:r>
              <w:rPr>
                <w:rFonts w:hint="eastAsia" w:ascii="宋体" w:hAnsi="宋体" w:cs="宋体"/>
                <w:color w:val="auto"/>
                <w:highlight w:val="none"/>
              </w:rPr>
              <w:t>3.加热方式：电热管加热。</w:t>
            </w:r>
          </w:p>
          <w:p w14:paraId="50DBD7CA">
            <w:pPr>
              <w:rPr>
                <w:rFonts w:hint="eastAsia" w:ascii="宋体" w:hAnsi="宋体" w:cs="宋体"/>
                <w:color w:val="auto"/>
                <w:highlight w:val="none"/>
              </w:rPr>
            </w:pPr>
            <w:r>
              <w:rPr>
                <w:rFonts w:hint="eastAsia" w:ascii="宋体" w:hAnsi="宋体" w:cs="宋体"/>
                <w:color w:val="auto"/>
                <w:highlight w:val="none"/>
              </w:rPr>
              <w:t>4.由放汽阀、锅盖、放气软管、压力表、安全阀、紧固螺栓、消毒桶、锅体、电热管等部分组成。</w:t>
            </w:r>
          </w:p>
          <w:p w14:paraId="1CF252CD">
            <w:pPr>
              <w:rPr>
                <w:rFonts w:hint="eastAsia" w:ascii="宋体" w:hAnsi="宋体" w:cs="宋体"/>
                <w:color w:val="auto"/>
                <w:highlight w:val="none"/>
              </w:rPr>
            </w:pPr>
            <w:r>
              <w:rPr>
                <w:rFonts w:hint="eastAsia" w:ascii="宋体" w:hAnsi="宋体" w:cs="宋体"/>
                <w:color w:val="auto"/>
                <w:highlight w:val="none"/>
              </w:rPr>
              <w:t>5.装有工作压力为0.14MPa的安全阀和能承受0.165MPa的放汽阀。</w:t>
            </w:r>
          </w:p>
          <w:p w14:paraId="175F43F6">
            <w:pPr>
              <w:rPr>
                <w:rFonts w:hint="eastAsia" w:ascii="宋体" w:hAnsi="宋体" w:cs="宋体"/>
                <w:color w:val="auto"/>
                <w:highlight w:val="none"/>
              </w:rPr>
            </w:pPr>
            <w:r>
              <w:rPr>
                <w:rFonts w:hint="eastAsia" w:ascii="宋体" w:hAnsi="宋体" w:cs="宋体"/>
                <w:color w:val="auto"/>
                <w:highlight w:val="none"/>
              </w:rPr>
              <w:t>6.安全阀符合WS2—149—83的规定，放气阀符合WS2—148—83的规定。</w:t>
            </w:r>
          </w:p>
          <w:p w14:paraId="3CBF04C4">
            <w:pPr>
              <w:rPr>
                <w:rFonts w:hint="eastAsia" w:ascii="宋体" w:hAnsi="宋体" w:cs="宋体"/>
                <w:color w:val="auto"/>
                <w:highlight w:val="none"/>
              </w:rPr>
            </w:pPr>
            <w:r>
              <w:rPr>
                <w:rFonts w:hint="eastAsia" w:ascii="宋体" w:hAnsi="宋体" w:cs="宋体"/>
                <w:color w:val="auto"/>
                <w:highlight w:val="none"/>
              </w:rPr>
              <w:t>7.灭菌器外形成型规范、无明显机械损伤和缺陷，放置平稳、可靠。灭菌桶无渗漏。</w:t>
            </w:r>
          </w:p>
          <w:p w14:paraId="0726A939">
            <w:pPr>
              <w:rPr>
                <w:rFonts w:hint="eastAsia" w:ascii="宋体" w:hAnsi="宋体" w:cs="宋体"/>
                <w:b/>
                <w:bCs/>
                <w:color w:val="auto"/>
                <w:highlight w:val="none"/>
              </w:rPr>
            </w:pPr>
            <w:r>
              <w:rPr>
                <w:rFonts w:hint="eastAsia" w:ascii="宋体" w:hAnsi="宋体" w:cs="宋体"/>
                <w:color w:val="auto"/>
                <w:highlight w:val="none"/>
              </w:rPr>
              <w:t>8.其余应符合JY0001-2003中6.1～6.12的规定。</w:t>
            </w:r>
          </w:p>
        </w:tc>
        <w:tc>
          <w:tcPr>
            <w:tcW w:w="384" w:type="pct"/>
            <w:vAlign w:val="center"/>
          </w:tcPr>
          <w:p w14:paraId="7136B743">
            <w:pPr>
              <w:jc w:val="center"/>
              <w:rPr>
                <w:color w:val="auto"/>
                <w:highlight w:val="none"/>
              </w:rPr>
            </w:pPr>
            <w:r>
              <w:rPr>
                <w:rFonts w:hint="eastAsia" w:ascii="宋体" w:hAnsi="宋体" w:cs="宋体"/>
                <w:color w:val="auto"/>
                <w:highlight w:val="none"/>
              </w:rPr>
              <w:t>个</w:t>
            </w:r>
          </w:p>
        </w:tc>
        <w:tc>
          <w:tcPr>
            <w:tcW w:w="385" w:type="pct"/>
            <w:vAlign w:val="center"/>
          </w:tcPr>
          <w:p w14:paraId="5B217116">
            <w:pPr>
              <w:jc w:val="center"/>
              <w:rPr>
                <w:color w:val="auto"/>
                <w:highlight w:val="none"/>
              </w:rPr>
            </w:pPr>
            <w:r>
              <w:rPr>
                <w:rFonts w:hint="eastAsia" w:ascii="宋体" w:hAnsi="宋体" w:cs="宋体"/>
                <w:color w:val="auto"/>
                <w:highlight w:val="none"/>
              </w:rPr>
              <w:t>1</w:t>
            </w:r>
          </w:p>
        </w:tc>
      </w:tr>
      <w:tr w14:paraId="5274B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6361D999">
            <w:pPr>
              <w:jc w:val="center"/>
              <w:rPr>
                <w:rFonts w:hint="eastAsia" w:ascii="宋体" w:hAnsi="宋体" w:cs="宋体"/>
                <w:b/>
                <w:bCs/>
                <w:color w:val="auto"/>
                <w:highlight w:val="none"/>
              </w:rPr>
            </w:pPr>
            <w:r>
              <w:rPr>
                <w:rFonts w:hint="eastAsia" w:ascii="宋体" w:hAnsi="宋体" w:cs="宋体"/>
                <w:color w:val="auto"/>
                <w:highlight w:val="none"/>
              </w:rPr>
              <w:t>3</w:t>
            </w:r>
          </w:p>
        </w:tc>
        <w:tc>
          <w:tcPr>
            <w:tcW w:w="782" w:type="pct"/>
            <w:tcBorders>
              <w:left w:val="single" w:color="auto" w:sz="4" w:space="0"/>
              <w:right w:val="single" w:color="auto" w:sz="4" w:space="0"/>
            </w:tcBorders>
            <w:vAlign w:val="center"/>
          </w:tcPr>
          <w:p w14:paraId="3BE5BBBE">
            <w:pPr>
              <w:jc w:val="center"/>
              <w:rPr>
                <w:rFonts w:hint="eastAsia" w:ascii="宋体" w:hAnsi="宋体" w:cs="宋体"/>
                <w:b/>
                <w:bCs/>
                <w:color w:val="auto"/>
                <w:highlight w:val="none"/>
              </w:rPr>
            </w:pPr>
            <w:r>
              <w:rPr>
                <w:rFonts w:hint="eastAsia" w:ascii="宋体" w:hAnsi="宋体" w:cs="宋体"/>
                <w:color w:val="auto"/>
                <w:highlight w:val="none"/>
              </w:rPr>
              <w:t>恒温培养箱</w:t>
            </w:r>
          </w:p>
        </w:tc>
        <w:tc>
          <w:tcPr>
            <w:tcW w:w="3079" w:type="pct"/>
            <w:tcBorders>
              <w:left w:val="single" w:color="auto" w:sz="4" w:space="0"/>
            </w:tcBorders>
            <w:vAlign w:val="center"/>
          </w:tcPr>
          <w:p w14:paraId="776036D8">
            <w:pPr>
              <w:rPr>
                <w:rFonts w:hint="eastAsia" w:ascii="宋体" w:hAnsi="宋体" w:cs="宋体"/>
                <w:color w:val="auto"/>
                <w:highlight w:val="none"/>
              </w:rPr>
            </w:pPr>
            <w:r>
              <w:rPr>
                <w:rFonts w:hint="eastAsia" w:ascii="宋体" w:hAnsi="宋体" w:cs="宋体"/>
                <w:color w:val="auto"/>
                <w:highlight w:val="none"/>
              </w:rPr>
              <w:t>主要配置及特征参数：</w:t>
            </w:r>
          </w:p>
          <w:p w14:paraId="4124FFF8">
            <w:pPr>
              <w:rPr>
                <w:rFonts w:hint="eastAsia" w:ascii="宋体" w:hAnsi="宋体" w:cs="宋体"/>
                <w:b/>
                <w:bCs/>
                <w:color w:val="auto"/>
                <w:highlight w:val="none"/>
              </w:rPr>
            </w:pPr>
            <w:r>
              <w:rPr>
                <w:rFonts w:hint="eastAsia" w:ascii="宋体" w:hAnsi="宋体" w:cs="宋体"/>
                <w:color w:val="auto"/>
                <w:highlight w:val="none"/>
              </w:rPr>
              <w:t>控温范围：室温+5 ℃～99.9 ℃，±1 ℃；用于微生物和植物组织培养的器械、培养基灭菌、微生物和外植体接种、培养等活动。</w:t>
            </w:r>
          </w:p>
        </w:tc>
        <w:tc>
          <w:tcPr>
            <w:tcW w:w="384" w:type="pct"/>
            <w:vAlign w:val="center"/>
          </w:tcPr>
          <w:p w14:paraId="437C9E8A">
            <w:pPr>
              <w:jc w:val="center"/>
              <w:rPr>
                <w:color w:val="auto"/>
                <w:highlight w:val="none"/>
              </w:rPr>
            </w:pPr>
            <w:r>
              <w:rPr>
                <w:rFonts w:hint="eastAsia" w:ascii="宋体" w:hAnsi="宋体" w:cs="宋体"/>
                <w:color w:val="auto"/>
                <w:highlight w:val="none"/>
              </w:rPr>
              <w:t>台</w:t>
            </w:r>
          </w:p>
        </w:tc>
        <w:tc>
          <w:tcPr>
            <w:tcW w:w="385" w:type="pct"/>
            <w:vAlign w:val="center"/>
          </w:tcPr>
          <w:p w14:paraId="1EDAFEFC">
            <w:pPr>
              <w:jc w:val="center"/>
              <w:rPr>
                <w:color w:val="auto"/>
                <w:highlight w:val="none"/>
              </w:rPr>
            </w:pPr>
            <w:r>
              <w:rPr>
                <w:rFonts w:hint="eastAsia" w:ascii="宋体" w:hAnsi="宋体" w:cs="宋体"/>
                <w:color w:val="auto"/>
                <w:highlight w:val="none"/>
              </w:rPr>
              <w:t>1</w:t>
            </w:r>
          </w:p>
        </w:tc>
      </w:tr>
      <w:tr w14:paraId="0B754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63A11F8E">
            <w:pPr>
              <w:jc w:val="center"/>
              <w:rPr>
                <w:rFonts w:hint="eastAsia" w:ascii="宋体" w:hAnsi="宋体" w:cs="宋体"/>
                <w:b/>
                <w:bCs/>
                <w:color w:val="auto"/>
                <w:highlight w:val="none"/>
              </w:rPr>
            </w:pPr>
            <w:r>
              <w:rPr>
                <w:rFonts w:hint="eastAsia" w:ascii="宋体" w:hAnsi="宋体" w:cs="宋体"/>
                <w:color w:val="auto"/>
                <w:highlight w:val="none"/>
              </w:rPr>
              <w:t>4</w:t>
            </w:r>
          </w:p>
        </w:tc>
        <w:tc>
          <w:tcPr>
            <w:tcW w:w="782" w:type="pct"/>
            <w:tcBorders>
              <w:left w:val="single" w:color="auto" w:sz="4" w:space="0"/>
              <w:right w:val="single" w:color="auto" w:sz="4" w:space="0"/>
            </w:tcBorders>
            <w:vAlign w:val="center"/>
          </w:tcPr>
          <w:p w14:paraId="3744877E">
            <w:pPr>
              <w:jc w:val="center"/>
              <w:rPr>
                <w:rFonts w:hint="eastAsia" w:ascii="宋体" w:hAnsi="宋体" w:cs="宋体"/>
                <w:b/>
                <w:bCs/>
                <w:color w:val="auto"/>
                <w:highlight w:val="none"/>
              </w:rPr>
            </w:pPr>
            <w:r>
              <w:rPr>
                <w:rFonts w:hint="eastAsia" w:ascii="宋体" w:hAnsi="宋体" w:cs="宋体"/>
                <w:color w:val="auto"/>
                <w:highlight w:val="none"/>
              </w:rPr>
              <w:t>减数分裂中染色体变化模型组件</w:t>
            </w:r>
          </w:p>
        </w:tc>
        <w:tc>
          <w:tcPr>
            <w:tcW w:w="3079" w:type="pct"/>
            <w:tcBorders>
              <w:left w:val="single" w:color="auto" w:sz="4" w:space="0"/>
            </w:tcBorders>
            <w:vAlign w:val="center"/>
          </w:tcPr>
          <w:p w14:paraId="5B0EBEBE">
            <w:pPr>
              <w:rPr>
                <w:rFonts w:hint="eastAsia" w:ascii="宋体" w:hAnsi="宋体" w:cs="宋体"/>
                <w:color w:val="auto"/>
                <w:highlight w:val="none"/>
              </w:rPr>
            </w:pPr>
            <w:r>
              <w:rPr>
                <w:rFonts w:hint="eastAsia" w:ascii="宋体" w:hAnsi="宋体" w:cs="宋体"/>
                <w:color w:val="auto"/>
                <w:highlight w:val="none"/>
              </w:rPr>
              <w:t>主要配置及特征参数：</w:t>
            </w:r>
          </w:p>
          <w:p w14:paraId="5FB87449">
            <w:pPr>
              <w:rPr>
                <w:rFonts w:hint="eastAsia" w:ascii="宋体" w:hAnsi="宋体" w:cs="宋体"/>
                <w:b/>
                <w:bCs/>
                <w:color w:val="auto"/>
                <w:highlight w:val="none"/>
              </w:rPr>
            </w:pPr>
            <w:r>
              <w:rPr>
                <w:rFonts w:hint="eastAsia" w:ascii="宋体" w:hAnsi="宋体" w:cs="宋体"/>
                <w:color w:val="auto"/>
                <w:highlight w:val="none"/>
              </w:rPr>
              <w:t>材料环保，便于演示减数分裂中染色体变化。</w:t>
            </w:r>
          </w:p>
        </w:tc>
        <w:tc>
          <w:tcPr>
            <w:tcW w:w="384" w:type="pct"/>
            <w:vAlign w:val="center"/>
          </w:tcPr>
          <w:p w14:paraId="4251F8A0">
            <w:pPr>
              <w:jc w:val="center"/>
              <w:rPr>
                <w:color w:val="auto"/>
                <w:highlight w:val="none"/>
              </w:rPr>
            </w:pPr>
            <w:r>
              <w:rPr>
                <w:rFonts w:hint="eastAsia" w:ascii="宋体" w:hAnsi="宋体" w:cs="宋体"/>
                <w:color w:val="auto"/>
                <w:highlight w:val="none"/>
              </w:rPr>
              <w:t>套</w:t>
            </w:r>
          </w:p>
        </w:tc>
        <w:tc>
          <w:tcPr>
            <w:tcW w:w="385" w:type="pct"/>
            <w:vAlign w:val="center"/>
          </w:tcPr>
          <w:p w14:paraId="5DBBDF60">
            <w:pPr>
              <w:jc w:val="center"/>
              <w:rPr>
                <w:color w:val="auto"/>
                <w:highlight w:val="none"/>
              </w:rPr>
            </w:pPr>
            <w:r>
              <w:rPr>
                <w:rFonts w:hint="eastAsia" w:ascii="宋体" w:hAnsi="宋体" w:cs="宋体"/>
                <w:color w:val="auto"/>
                <w:highlight w:val="none"/>
              </w:rPr>
              <w:t>30</w:t>
            </w:r>
          </w:p>
        </w:tc>
      </w:tr>
      <w:tr w14:paraId="653AC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2DA9AF2D">
            <w:pPr>
              <w:jc w:val="center"/>
              <w:rPr>
                <w:rFonts w:hint="eastAsia" w:ascii="宋体" w:hAnsi="宋体" w:cs="宋体"/>
                <w:b/>
                <w:bCs/>
                <w:color w:val="auto"/>
                <w:highlight w:val="none"/>
              </w:rPr>
            </w:pPr>
            <w:r>
              <w:rPr>
                <w:rFonts w:hint="eastAsia" w:ascii="宋体" w:hAnsi="宋体" w:cs="宋体"/>
                <w:color w:val="auto"/>
                <w:highlight w:val="none"/>
              </w:rPr>
              <w:t>5</w:t>
            </w:r>
          </w:p>
        </w:tc>
        <w:tc>
          <w:tcPr>
            <w:tcW w:w="782" w:type="pct"/>
            <w:tcBorders>
              <w:left w:val="single" w:color="auto" w:sz="4" w:space="0"/>
              <w:right w:val="single" w:color="auto" w:sz="4" w:space="0"/>
            </w:tcBorders>
            <w:vAlign w:val="center"/>
          </w:tcPr>
          <w:p w14:paraId="61B22D5C">
            <w:pPr>
              <w:jc w:val="center"/>
              <w:rPr>
                <w:rFonts w:hint="eastAsia" w:ascii="宋体" w:hAnsi="宋体" w:cs="宋体"/>
                <w:b/>
                <w:bCs/>
                <w:color w:val="auto"/>
                <w:highlight w:val="none"/>
              </w:rPr>
            </w:pPr>
            <w:r>
              <w:rPr>
                <w:rFonts w:hint="eastAsia" w:ascii="宋体" w:hAnsi="宋体" w:cs="宋体"/>
                <w:color w:val="auto"/>
                <w:highlight w:val="none"/>
              </w:rPr>
              <w:t>转录和翻译磁片模型</w:t>
            </w:r>
          </w:p>
        </w:tc>
        <w:tc>
          <w:tcPr>
            <w:tcW w:w="3079" w:type="pct"/>
            <w:tcBorders>
              <w:left w:val="single" w:color="auto" w:sz="4" w:space="0"/>
            </w:tcBorders>
            <w:vAlign w:val="center"/>
          </w:tcPr>
          <w:p w14:paraId="0B82FE5D">
            <w:pPr>
              <w:rPr>
                <w:rFonts w:hint="eastAsia" w:ascii="宋体" w:hAnsi="宋体" w:cs="宋体"/>
                <w:color w:val="auto"/>
                <w:highlight w:val="none"/>
              </w:rPr>
            </w:pPr>
            <w:r>
              <w:rPr>
                <w:rFonts w:hint="eastAsia" w:ascii="宋体" w:hAnsi="宋体" w:cs="宋体"/>
                <w:color w:val="auto"/>
                <w:highlight w:val="none"/>
              </w:rPr>
              <w:t>主要配置及特征参数：</w:t>
            </w:r>
          </w:p>
          <w:p w14:paraId="3B64E464">
            <w:pPr>
              <w:rPr>
                <w:rFonts w:hint="eastAsia" w:ascii="宋体" w:hAnsi="宋体" w:cs="宋体"/>
                <w:b/>
                <w:bCs/>
                <w:color w:val="auto"/>
                <w:highlight w:val="none"/>
              </w:rPr>
            </w:pPr>
            <w:r>
              <w:rPr>
                <w:rFonts w:hint="eastAsia" w:ascii="宋体" w:hAnsi="宋体" w:cs="宋体"/>
                <w:color w:val="auto"/>
                <w:highlight w:val="none"/>
              </w:rPr>
              <w:t>具有单独构件，可以分步演示，可磁吸，适合黑板展示。</w:t>
            </w:r>
          </w:p>
        </w:tc>
        <w:tc>
          <w:tcPr>
            <w:tcW w:w="384" w:type="pct"/>
            <w:vAlign w:val="center"/>
          </w:tcPr>
          <w:p w14:paraId="289AA96B">
            <w:pPr>
              <w:jc w:val="center"/>
              <w:rPr>
                <w:color w:val="auto"/>
                <w:highlight w:val="none"/>
              </w:rPr>
            </w:pPr>
            <w:r>
              <w:rPr>
                <w:rFonts w:hint="eastAsia" w:ascii="宋体" w:hAnsi="宋体" w:cs="宋体"/>
                <w:color w:val="auto"/>
                <w:highlight w:val="none"/>
              </w:rPr>
              <w:t>套</w:t>
            </w:r>
          </w:p>
        </w:tc>
        <w:tc>
          <w:tcPr>
            <w:tcW w:w="385" w:type="pct"/>
            <w:vAlign w:val="center"/>
          </w:tcPr>
          <w:p w14:paraId="50624696">
            <w:pPr>
              <w:jc w:val="center"/>
              <w:rPr>
                <w:color w:val="auto"/>
                <w:highlight w:val="none"/>
              </w:rPr>
            </w:pPr>
            <w:r>
              <w:rPr>
                <w:rFonts w:hint="eastAsia" w:ascii="宋体" w:hAnsi="宋体" w:cs="宋体"/>
                <w:color w:val="auto"/>
                <w:highlight w:val="none"/>
              </w:rPr>
              <w:t>30</w:t>
            </w:r>
          </w:p>
        </w:tc>
      </w:tr>
      <w:tr w14:paraId="61361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1A9A046A">
            <w:pPr>
              <w:jc w:val="center"/>
              <w:rPr>
                <w:rFonts w:hint="eastAsia" w:ascii="宋体" w:hAnsi="宋体" w:cs="宋体"/>
                <w:b/>
                <w:bCs/>
                <w:color w:val="auto"/>
                <w:highlight w:val="none"/>
              </w:rPr>
            </w:pPr>
            <w:r>
              <w:rPr>
                <w:rFonts w:hint="eastAsia" w:ascii="宋体" w:hAnsi="宋体" w:cs="宋体"/>
                <w:color w:val="auto"/>
                <w:highlight w:val="none"/>
              </w:rPr>
              <w:t>6</w:t>
            </w:r>
          </w:p>
        </w:tc>
        <w:tc>
          <w:tcPr>
            <w:tcW w:w="782" w:type="pct"/>
            <w:tcBorders>
              <w:left w:val="single" w:color="auto" w:sz="4" w:space="0"/>
              <w:right w:val="single" w:color="auto" w:sz="4" w:space="0"/>
            </w:tcBorders>
            <w:vAlign w:val="center"/>
          </w:tcPr>
          <w:p w14:paraId="21A81F1E">
            <w:pPr>
              <w:jc w:val="center"/>
              <w:rPr>
                <w:rFonts w:hint="eastAsia" w:ascii="宋体" w:hAnsi="宋体" w:cs="宋体"/>
                <w:b/>
                <w:bCs/>
                <w:color w:val="auto"/>
                <w:highlight w:val="none"/>
              </w:rPr>
            </w:pPr>
            <w:r>
              <w:rPr>
                <w:rFonts w:hint="eastAsia" w:ascii="宋体" w:hAnsi="宋体" w:cs="宋体"/>
                <w:color w:val="auto"/>
                <w:highlight w:val="none"/>
              </w:rPr>
              <w:t>DNA双螺旋结构模型组件</w:t>
            </w:r>
          </w:p>
        </w:tc>
        <w:tc>
          <w:tcPr>
            <w:tcW w:w="3079" w:type="pct"/>
            <w:tcBorders>
              <w:left w:val="single" w:color="auto" w:sz="4" w:space="0"/>
            </w:tcBorders>
            <w:vAlign w:val="center"/>
          </w:tcPr>
          <w:p w14:paraId="49BE75C0">
            <w:pPr>
              <w:rPr>
                <w:rFonts w:hint="eastAsia" w:ascii="宋体" w:hAnsi="宋体" w:cs="宋体"/>
                <w:b/>
                <w:bCs/>
                <w:color w:val="auto"/>
                <w:highlight w:val="none"/>
              </w:rPr>
            </w:pPr>
            <w:r>
              <w:rPr>
                <w:rFonts w:hint="eastAsia" w:ascii="宋体" w:hAnsi="宋体" w:cs="宋体"/>
                <w:color w:val="auto"/>
                <w:highlight w:val="none"/>
              </w:rPr>
              <w:t>四种碱基、脱氧核糖、磷酸彼此分离。</w:t>
            </w:r>
          </w:p>
        </w:tc>
        <w:tc>
          <w:tcPr>
            <w:tcW w:w="384" w:type="pct"/>
            <w:vAlign w:val="center"/>
          </w:tcPr>
          <w:p w14:paraId="2AB814E7">
            <w:pPr>
              <w:jc w:val="center"/>
              <w:rPr>
                <w:color w:val="auto"/>
                <w:highlight w:val="none"/>
              </w:rPr>
            </w:pPr>
            <w:r>
              <w:rPr>
                <w:rFonts w:hint="eastAsia" w:ascii="宋体" w:hAnsi="宋体" w:cs="宋体"/>
                <w:color w:val="auto"/>
                <w:highlight w:val="none"/>
              </w:rPr>
              <w:t>套</w:t>
            </w:r>
          </w:p>
        </w:tc>
        <w:tc>
          <w:tcPr>
            <w:tcW w:w="385" w:type="pct"/>
            <w:vAlign w:val="center"/>
          </w:tcPr>
          <w:p w14:paraId="7306A6B3">
            <w:pPr>
              <w:jc w:val="center"/>
              <w:rPr>
                <w:color w:val="auto"/>
                <w:highlight w:val="none"/>
              </w:rPr>
            </w:pPr>
            <w:r>
              <w:rPr>
                <w:rFonts w:hint="eastAsia" w:ascii="宋体" w:hAnsi="宋体" w:cs="宋体"/>
                <w:color w:val="auto"/>
                <w:highlight w:val="none"/>
              </w:rPr>
              <w:t>30</w:t>
            </w:r>
          </w:p>
        </w:tc>
      </w:tr>
      <w:tr w14:paraId="07A70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 w:type="pct"/>
            <w:tcBorders>
              <w:right w:val="single" w:color="auto" w:sz="4" w:space="0"/>
            </w:tcBorders>
            <w:vAlign w:val="center"/>
          </w:tcPr>
          <w:p w14:paraId="732FF6FD">
            <w:pPr>
              <w:jc w:val="center"/>
              <w:rPr>
                <w:rFonts w:hint="eastAsia" w:ascii="宋体" w:hAnsi="宋体" w:cs="宋体"/>
                <w:b/>
                <w:bCs/>
                <w:color w:val="auto"/>
                <w:highlight w:val="none"/>
              </w:rPr>
            </w:pPr>
            <w:r>
              <w:rPr>
                <w:rFonts w:hint="eastAsia" w:ascii="宋体" w:hAnsi="宋体" w:cs="宋体"/>
                <w:color w:val="auto"/>
                <w:highlight w:val="none"/>
              </w:rPr>
              <w:t>7</w:t>
            </w:r>
          </w:p>
        </w:tc>
        <w:tc>
          <w:tcPr>
            <w:tcW w:w="782" w:type="pct"/>
            <w:tcBorders>
              <w:left w:val="single" w:color="auto" w:sz="4" w:space="0"/>
              <w:right w:val="single" w:color="auto" w:sz="4" w:space="0"/>
            </w:tcBorders>
            <w:vAlign w:val="center"/>
          </w:tcPr>
          <w:p w14:paraId="12234D49">
            <w:pPr>
              <w:jc w:val="center"/>
              <w:rPr>
                <w:rFonts w:hint="eastAsia" w:ascii="宋体" w:hAnsi="宋体" w:cs="宋体"/>
                <w:b/>
                <w:bCs/>
                <w:color w:val="auto"/>
                <w:highlight w:val="none"/>
              </w:rPr>
            </w:pPr>
            <w:r>
              <w:rPr>
                <w:rFonts w:hint="eastAsia" w:ascii="宋体" w:hAnsi="宋体" w:cs="宋体"/>
                <w:color w:val="auto"/>
                <w:highlight w:val="none"/>
              </w:rPr>
              <w:t>眼球仪</w:t>
            </w:r>
          </w:p>
        </w:tc>
        <w:tc>
          <w:tcPr>
            <w:tcW w:w="3079" w:type="pct"/>
            <w:tcBorders>
              <w:left w:val="single" w:color="auto" w:sz="4" w:space="0"/>
            </w:tcBorders>
            <w:vAlign w:val="center"/>
          </w:tcPr>
          <w:p w14:paraId="6F58A948">
            <w:pPr>
              <w:rPr>
                <w:rFonts w:hint="eastAsia" w:ascii="宋体" w:hAnsi="宋体" w:cs="宋体"/>
                <w:color w:val="auto"/>
                <w:highlight w:val="none"/>
              </w:rPr>
            </w:pPr>
            <w:r>
              <w:rPr>
                <w:rFonts w:hint="eastAsia" w:ascii="宋体" w:hAnsi="宋体" w:cs="宋体"/>
                <w:color w:val="auto"/>
                <w:highlight w:val="none"/>
              </w:rPr>
              <w:t>主要配置及特征参数：</w:t>
            </w:r>
          </w:p>
          <w:p w14:paraId="37631F1A">
            <w:pPr>
              <w:rPr>
                <w:rFonts w:hint="eastAsia" w:ascii="宋体" w:hAnsi="宋体" w:cs="宋体"/>
                <w:color w:val="auto"/>
                <w:highlight w:val="none"/>
              </w:rPr>
            </w:pPr>
            <w:r>
              <w:rPr>
                <w:rFonts w:hint="eastAsia" w:ascii="宋体" w:hAnsi="宋体" w:cs="宋体"/>
                <w:color w:val="auto"/>
                <w:highlight w:val="none"/>
              </w:rPr>
              <w:t>由眼球仪主体（含眼球剖面图）、五线激光光源、光学零件（正常眼球玻璃、远视眼球玻璃、近视眼球玻璃、近视镜玻璃、远视镜玻璃）组成。</w:t>
            </w:r>
          </w:p>
          <w:p w14:paraId="70ACEA4E">
            <w:pPr>
              <w:rPr>
                <w:rFonts w:hint="eastAsia" w:ascii="宋体" w:hAnsi="宋体" w:cs="宋体"/>
                <w:color w:val="auto"/>
                <w:highlight w:val="none"/>
              </w:rPr>
            </w:pPr>
            <w:r>
              <w:rPr>
                <w:rFonts w:hint="eastAsia" w:ascii="宋体" w:hAnsi="宋体" w:cs="宋体"/>
                <w:color w:val="auto"/>
                <w:highlight w:val="none"/>
              </w:rPr>
              <w:t>技术指标：眼球仪主体：</w:t>
            </w:r>
          </w:p>
          <w:p w14:paraId="34A5A594">
            <w:pPr>
              <w:rPr>
                <w:rFonts w:hint="eastAsia" w:ascii="宋体" w:hAnsi="宋体" w:cs="宋体"/>
                <w:color w:val="auto"/>
                <w:highlight w:val="none"/>
              </w:rPr>
            </w:pPr>
            <w:r>
              <w:rPr>
                <w:rFonts w:hint="eastAsia" w:ascii="宋体" w:hAnsi="宋体" w:cs="宋体"/>
                <w:color w:val="auto"/>
                <w:highlight w:val="none"/>
              </w:rPr>
              <w:t>▲外形基本尺寸772*470（±5mm）；上下为铝型材结构，6063-T5材料,具有良好的抗拉强度，表面黑色氧化细喷砂处理。左右为ABS塑料精密注塑成型边框；功能描述：整体为磁吸附式结构，配有眼球剖面图，光学零件及五线激光光源可以吸附在矩形光盘上演示眼睛的工作原理及视力矫正实验。</w:t>
            </w:r>
          </w:p>
          <w:p w14:paraId="51CDE054">
            <w:pPr>
              <w:rPr>
                <w:rFonts w:hint="eastAsia" w:ascii="宋体" w:hAnsi="宋体" w:cs="宋体"/>
                <w:color w:val="auto"/>
                <w:highlight w:val="none"/>
              </w:rPr>
            </w:pPr>
            <w:r>
              <w:rPr>
                <w:rFonts w:hint="eastAsia" w:ascii="宋体" w:hAnsi="宋体" w:cs="宋体"/>
                <w:color w:val="auto"/>
                <w:highlight w:val="none"/>
              </w:rPr>
              <w:t>五线激光光源：</w:t>
            </w:r>
          </w:p>
          <w:p w14:paraId="6223CDE1">
            <w:pPr>
              <w:rPr>
                <w:rFonts w:hint="eastAsia" w:ascii="宋体" w:hAnsi="宋体" w:cs="宋体"/>
                <w:color w:val="auto"/>
                <w:highlight w:val="none"/>
              </w:rPr>
            </w:pPr>
            <w:r>
              <w:rPr>
                <w:rFonts w:hint="eastAsia" w:ascii="宋体" w:hAnsi="宋体" w:cs="宋体"/>
                <w:color w:val="auto"/>
                <w:highlight w:val="none"/>
              </w:rPr>
              <w:t>▲基本尺寸：133*89*30mm，工作电压DC3V；主要材质：ABS工程塑料、铜；工艺：塑料注塑成型；功能描述：激光光学光源，磁吸式，内置电池可充电，提供1～5线平行光源（中间绿色光源），配合光学零件可直接或眼球仪主体或其他磁性材料上完成多种光路的演示实验。</w:t>
            </w:r>
          </w:p>
          <w:p w14:paraId="129E2900">
            <w:pPr>
              <w:rPr>
                <w:rFonts w:hint="eastAsia" w:ascii="宋体" w:hAnsi="宋体" w:cs="宋体"/>
                <w:color w:val="auto"/>
                <w:highlight w:val="none"/>
              </w:rPr>
            </w:pPr>
            <w:r>
              <w:rPr>
                <w:rFonts w:hint="eastAsia" w:ascii="宋体" w:hAnsi="宋体" w:cs="宋体"/>
                <w:color w:val="auto"/>
                <w:highlight w:val="none"/>
              </w:rPr>
              <w:t>光学零件：</w:t>
            </w:r>
          </w:p>
          <w:p w14:paraId="5897ACEE">
            <w:pPr>
              <w:rPr>
                <w:rFonts w:hint="eastAsia" w:ascii="宋体" w:hAnsi="宋体" w:cs="宋体"/>
                <w:color w:val="auto"/>
                <w:highlight w:val="none"/>
              </w:rPr>
            </w:pPr>
            <w:r>
              <w:rPr>
                <w:rFonts w:hint="eastAsia" w:ascii="宋体" w:hAnsi="宋体" w:cs="宋体"/>
                <w:color w:val="auto"/>
                <w:highlight w:val="none"/>
              </w:rPr>
              <w:t>▲产品组成：正常眼球玻璃、远视眼球玻璃、近视眼球玻璃、近视镜玻璃、远视镜玻璃。</w:t>
            </w:r>
          </w:p>
          <w:p w14:paraId="4DD20EB0">
            <w:pPr>
              <w:rPr>
                <w:rFonts w:hint="eastAsia" w:ascii="宋体" w:hAnsi="宋体" w:cs="宋体"/>
                <w:color w:val="auto"/>
                <w:highlight w:val="none"/>
              </w:rPr>
            </w:pPr>
            <w:r>
              <w:rPr>
                <w:rFonts w:hint="eastAsia" w:ascii="宋体" w:hAnsi="宋体" w:cs="宋体"/>
                <w:color w:val="auto"/>
                <w:highlight w:val="none"/>
              </w:rPr>
              <w:t xml:space="preserve">规格：统一厚度20mm；主要材质：PMMA；工艺：精加工、抛光；功能描述：磁吸式，配合激光光源可直接或吸附在眼球仪主体或其他磁性材料上进行光线折射等相应光学实验。  </w:t>
            </w:r>
          </w:p>
          <w:p w14:paraId="0E8A42D1">
            <w:pPr>
              <w:rPr>
                <w:rFonts w:hint="eastAsia" w:ascii="宋体" w:hAnsi="宋体" w:cs="宋体"/>
                <w:b/>
                <w:bCs/>
                <w:color w:val="auto"/>
                <w:highlight w:val="none"/>
              </w:rPr>
            </w:pPr>
            <w:r>
              <w:rPr>
                <w:rFonts w:hint="eastAsia" w:ascii="宋体" w:hAnsi="宋体" w:cs="宋体"/>
                <w:b/>
                <w:bCs/>
                <w:color w:val="auto"/>
                <w:highlight w:val="none"/>
              </w:rPr>
              <w:t>提供第三方检测机构出具的产品检测报告的扫描件。</w:t>
            </w:r>
          </w:p>
        </w:tc>
        <w:tc>
          <w:tcPr>
            <w:tcW w:w="384" w:type="pct"/>
            <w:vAlign w:val="center"/>
          </w:tcPr>
          <w:p w14:paraId="69320D56">
            <w:pPr>
              <w:jc w:val="center"/>
              <w:rPr>
                <w:color w:val="auto"/>
                <w:highlight w:val="none"/>
              </w:rPr>
            </w:pPr>
            <w:r>
              <w:rPr>
                <w:rFonts w:hint="eastAsia" w:ascii="宋体" w:hAnsi="宋体" w:cs="宋体"/>
                <w:color w:val="auto"/>
                <w:highlight w:val="none"/>
              </w:rPr>
              <w:t>件</w:t>
            </w:r>
          </w:p>
        </w:tc>
        <w:tc>
          <w:tcPr>
            <w:tcW w:w="385" w:type="pct"/>
            <w:vAlign w:val="center"/>
          </w:tcPr>
          <w:p w14:paraId="40368C09">
            <w:pPr>
              <w:jc w:val="center"/>
              <w:rPr>
                <w:color w:val="auto"/>
                <w:highlight w:val="none"/>
              </w:rPr>
            </w:pPr>
            <w:r>
              <w:rPr>
                <w:rFonts w:hint="eastAsia" w:ascii="宋体" w:hAnsi="宋体" w:cs="宋体"/>
                <w:color w:val="auto"/>
                <w:highlight w:val="none"/>
              </w:rPr>
              <w:t>1</w:t>
            </w:r>
          </w:p>
        </w:tc>
      </w:tr>
    </w:tbl>
    <w:p w14:paraId="2F06F654">
      <w:pPr>
        <w:spacing w:before="120" w:beforeLines="50"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注：本项目核心产品：智能化学吊装系统。</w:t>
      </w:r>
    </w:p>
    <w:p w14:paraId="3924BD6C">
      <w:pPr>
        <w:spacing w:before="120" w:beforeLines="50"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（四）采购标的的数量、采购项目交付或者实施的时间和地点；</w:t>
      </w:r>
    </w:p>
    <w:p w14:paraId="5183A7F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w:t>
      </w:r>
      <w:r>
        <w:rPr>
          <w:rFonts w:hint="eastAsia" w:ascii="宋体" w:hAnsi="宋体" w:cs="宋体"/>
          <w:color w:val="auto"/>
          <w:highlight w:val="none"/>
        </w:rPr>
        <w:t>采购标的的数量：详见以上表格。</w:t>
      </w:r>
    </w:p>
    <w:p w14:paraId="42CF4609">
      <w:pPr>
        <w:spacing w:line="360" w:lineRule="auto"/>
        <w:ind w:firstLine="420" w:firstLineChars="200"/>
        <w:rPr>
          <w:rFonts w:hint="eastAsia" w:ascii="宋体" w:hAnsi="宋体" w:cs="宋体"/>
          <w:color w:val="auto"/>
          <w:highlight w:val="none"/>
        </w:rPr>
      </w:pPr>
      <w:bookmarkStart w:id="1209" w:name="_Hlk181959960"/>
      <w:r>
        <w:rPr>
          <w:rFonts w:hint="eastAsia" w:ascii="宋体" w:hAnsi="宋体" w:cs="宋体"/>
          <w:color w:val="auto"/>
          <w:highlight w:val="none"/>
        </w:rPr>
        <w:t>2.交货期：合同签订后30日历天内完成实验室改造以及设备安装、调试等所有工作。</w:t>
      </w:r>
    </w:p>
    <w:p w14:paraId="24BE8D8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3.质保期：</w:t>
      </w:r>
      <w:r>
        <w:rPr>
          <w:rFonts w:hint="eastAsia" w:ascii="宋体" w:hAnsi="宋体"/>
          <w:color w:val="auto"/>
          <w:highlight w:val="none"/>
        </w:rPr>
        <w:t>不少于3年（质保期内设备发生故障时，30分钟内到达现场处理，不能修复的提供备件，待维修好后换回）。</w:t>
      </w:r>
    </w:p>
    <w:bookmarkEnd w:id="1209"/>
    <w:p w14:paraId="3D49429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4.实施时间：202</w:t>
      </w:r>
      <w:r>
        <w:rPr>
          <w:rFonts w:ascii="宋体" w:hAnsi="宋体" w:cs="宋体"/>
          <w:color w:val="auto"/>
          <w:highlight w:val="none"/>
        </w:rPr>
        <w:t>4</w:t>
      </w:r>
      <w:r>
        <w:rPr>
          <w:rFonts w:hint="eastAsia" w:ascii="宋体" w:hAnsi="宋体" w:cs="宋体"/>
          <w:color w:val="auto"/>
          <w:highlight w:val="none"/>
        </w:rPr>
        <w:t>年12月。</w:t>
      </w:r>
    </w:p>
    <w:p w14:paraId="3E8CC26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5.交货地点：云南省昆明市第二十四中学校园内。</w:t>
      </w:r>
    </w:p>
    <w:p w14:paraId="390A7C3A">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（五）采购标的需满足的服务标准、期限、效率等要求；</w:t>
      </w:r>
    </w:p>
    <w:p w14:paraId="624C873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1.本项目执行过程中，中标人需指派专人负责与采购人联系售后服务事宜，为采购人提供及时有效的服务。</w:t>
      </w:r>
    </w:p>
    <w:p w14:paraId="2CED755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2.售后服务联系地址和联系电话的变更，中标人应在第一时间及时书面通知采购人。</w:t>
      </w:r>
    </w:p>
    <w:p w14:paraId="2CBB9BA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3.货物验收合格后，在质量保证期内，所有货物保修服务方式均为中标人上门保修，即由中标人及时派员到货物使用现场维修，由此产生的一切费用均由中标人承担。</w:t>
      </w:r>
    </w:p>
    <w:p w14:paraId="344FBBC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中标人应有能力做好售后服务工作和提供技术保障，具有相关的类似经验。中标人或投标产品制造商应设有专业的售后服务维修机构，有充足的零件储备和能力相当的技术服务人员，并保证投标产品停产后的备件供应，投标时须提供有关其投标产品专业的售后服务（维修站）的信息，包括售后服务机构名称、服务人员的数量和水平、联系人和联系方式、零备件的储备等。质量保证期内的免费售后维修及服务包括所有投标产品及配件，并含第三方产品，同时中标人应定期对所有投标产品提供维护保养服务。</w:t>
      </w:r>
    </w:p>
    <w:p w14:paraId="71E36DC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中标人交货时，每台设备需提供一整套中文的技术资料，包括安装、操作手册、使用说明、维修保养手册、电路图、零配件清单等，这些资料费应包括在投标报价内。如果采购人确认中标人提供的技术资料不完整或在运输过程中丢失，中标人需保证在收到采购人通知后3天内将这些资料免费提供给采购人。</w:t>
      </w:r>
    </w:p>
    <w:p w14:paraId="3CF8274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6.中标人应保证在接到采购人通知的一周内，在采购人指定的地点对设备进行安装、调试和试运行，直到该产品的技术指标完全符合合同要求为止。</w:t>
      </w:r>
    </w:p>
    <w:p w14:paraId="170734C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7.中标人应负责投标货物质量保证期内的免费维修和配件供应，中标人售后服务维修机构应备有所购货物及时维修所需的关键零部件。</w:t>
      </w:r>
    </w:p>
    <w:p w14:paraId="0A81287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8.中标人应保证在质量保证期内提供投标货物专用的软件和相应数据库资料的免费升级服务。</w:t>
      </w:r>
    </w:p>
    <w:p w14:paraId="17FA131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9.在合同履行期和质量保证期内，若产品出现故障，中标人应保证在收到要求提供维修服务的通知后1个小时内给予反馈，24小时内派合格的技术人员赴现场解决问题。如不能按采购人要求的时间予以修复，中标人应保证免费提供同类备用设备，供采购人使用。</w:t>
      </w:r>
    </w:p>
    <w:p w14:paraId="6FBBBD49">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（六）采购标的的验收标准；</w:t>
      </w:r>
    </w:p>
    <w:p w14:paraId="1059887E">
      <w:pPr>
        <w:autoSpaceDE w:val="0"/>
        <w:autoSpaceDN w:val="0"/>
        <w:adjustRightInd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中标人需按学校指定地点交货，须达到合同约定的所有要求，按行业通行标准、厂方出厂标准、投标文件要求和投标文件的承诺，且不低于国家相关标准一次性通过验收。</w:t>
      </w:r>
    </w:p>
    <w:p w14:paraId="55D5FDB3">
      <w:p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（七）采购标的的其他技术、服务等要求。</w:t>
      </w:r>
    </w:p>
    <w:p w14:paraId="0D729126">
      <w:pPr>
        <w:autoSpaceDE w:val="0"/>
        <w:autoSpaceDN w:val="0"/>
        <w:adjustRightInd w:val="0"/>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1.化学实验室、生物实验室、物理实验室按照采购文件的要求进行提升改造。</w:t>
      </w:r>
    </w:p>
    <w:p w14:paraId="7F371F77">
      <w:pPr>
        <w:autoSpaceDE w:val="0"/>
        <w:autoSpaceDN w:val="0"/>
        <w:adjustRightInd w:val="0"/>
        <w:spacing w:line="360" w:lineRule="auto"/>
        <w:ind w:firstLine="420" w:firstLineChars="200"/>
        <w:rPr>
          <w:color w:val="auto"/>
          <w:highlight w:val="none"/>
        </w:rPr>
      </w:pPr>
      <w:r>
        <w:rPr>
          <w:rFonts w:hint="eastAsia" w:ascii="宋体" w:hAnsi="宋体" w:cs="宋体"/>
          <w:bCs/>
          <w:color w:val="auto"/>
          <w:highlight w:val="none"/>
        </w:rPr>
        <w:t>2.其它技术、服务等要求按照采购文件的要求执行。</w:t>
      </w:r>
    </w:p>
    <w:p w14:paraId="00BF0F12">
      <w:pPr>
        <w:rPr>
          <w:color w:val="auto"/>
          <w:highlight w:val="none"/>
        </w:rPr>
      </w:pPr>
      <w:r>
        <w:rPr>
          <w:color w:val="auto"/>
          <w:highlight w:val="none"/>
        </w:rPr>
        <w:br w:type="page"/>
      </w:r>
    </w:p>
    <w:bookmarkEnd w:id="1207"/>
    <w:bookmarkEnd w:id="1208"/>
    <w:p w14:paraId="3CB1DC50">
      <w:pPr>
        <w:pStyle w:val="42"/>
        <w:tabs>
          <w:tab w:val="right" w:leader="dot" w:pos="8948"/>
        </w:tabs>
        <w:spacing w:line="360" w:lineRule="auto"/>
        <w:ind w:left="0"/>
        <w:jc w:val="center"/>
        <w:outlineLvl w:val="0"/>
        <w:rPr>
          <w:rFonts w:hint="eastAsia" w:asciiTheme="minorEastAsia" w:hAnsiTheme="minorEastAsia" w:eastAsiaTheme="minorEastAsia"/>
          <w:b/>
          <w:bCs/>
          <w:color w:val="auto"/>
          <w:sz w:val="32"/>
          <w:szCs w:val="32"/>
          <w:highlight w:val="none"/>
        </w:rPr>
      </w:pPr>
      <w:bookmarkStart w:id="1210" w:name="_Toc180143788"/>
      <w:r>
        <w:rPr>
          <w:rFonts w:hint="eastAsia" w:asciiTheme="minorEastAsia" w:hAnsiTheme="minorEastAsia" w:eastAsiaTheme="minorEastAsia"/>
          <w:b/>
          <w:bCs/>
          <w:color w:val="auto"/>
          <w:sz w:val="32"/>
          <w:szCs w:val="32"/>
          <w:highlight w:val="none"/>
        </w:rPr>
        <w:t>第六章 资格审查</w:t>
      </w:r>
      <w:bookmarkEnd w:id="1210"/>
    </w:p>
    <w:p w14:paraId="0E5DBA70">
      <w:pPr>
        <w:pStyle w:val="2"/>
        <w:spacing w:before="0" w:beforeLines="0"/>
        <w:rPr>
          <w:color w:val="auto"/>
          <w:highlight w:val="none"/>
        </w:rPr>
      </w:pPr>
      <w:bookmarkStart w:id="1211" w:name="_Toc180143789"/>
      <w:r>
        <w:rPr>
          <w:rFonts w:hint="eastAsia"/>
          <w:color w:val="auto"/>
          <w:highlight w:val="none"/>
        </w:rPr>
        <w:t>资格审查</w:t>
      </w:r>
      <w:r>
        <w:rPr>
          <w:color w:val="auto"/>
          <w:highlight w:val="none"/>
        </w:rPr>
        <w:t>前附表</w:t>
      </w:r>
      <w:bookmarkEnd w:id="1211"/>
    </w:p>
    <w:tbl>
      <w:tblPr>
        <w:tblStyle w:val="53"/>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552"/>
        <w:gridCol w:w="5199"/>
      </w:tblGrid>
      <w:tr w14:paraId="1848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29" w:type="dxa"/>
            <w:vAlign w:val="center"/>
          </w:tcPr>
          <w:p w14:paraId="3CC623AB">
            <w:pPr>
              <w:autoSpaceDE w:val="0"/>
              <w:autoSpaceDN w:val="0"/>
              <w:adjustRightInd w:val="0"/>
              <w:rPr>
                <w:rFonts w:hint="eastAsia" w:cs="UPNQIO+ËÎÌå" w:asciiTheme="minorEastAsia" w:hAnsiTheme="minorEastAsia" w:eastAsiaTheme="minorEastAsia"/>
                <w:b/>
                <w:color w:val="auto"/>
                <w:spacing w:val="1"/>
                <w:kern w:val="0"/>
                <w:szCs w:val="21"/>
                <w:highlight w:val="none"/>
              </w:rPr>
            </w:pPr>
            <w:r>
              <w:rPr>
                <w:rFonts w:hint="eastAsia" w:cs="UPNQIO+ËÎÌå" w:asciiTheme="minorEastAsia" w:hAnsiTheme="minorEastAsia" w:eastAsiaTheme="minorEastAsia"/>
                <w:b/>
                <w:color w:val="auto"/>
                <w:spacing w:val="1"/>
                <w:kern w:val="0"/>
                <w:szCs w:val="21"/>
                <w:highlight w:val="none"/>
              </w:rPr>
              <w:t>评审内容</w:t>
            </w:r>
          </w:p>
        </w:tc>
        <w:tc>
          <w:tcPr>
            <w:tcW w:w="2552" w:type="dxa"/>
            <w:vAlign w:val="center"/>
          </w:tcPr>
          <w:p w14:paraId="18532DD1">
            <w:pPr>
              <w:autoSpaceDE w:val="0"/>
              <w:autoSpaceDN w:val="0"/>
              <w:adjustRightInd w:val="0"/>
              <w:ind w:firstLine="422"/>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评审因素</w:t>
            </w:r>
          </w:p>
        </w:tc>
        <w:tc>
          <w:tcPr>
            <w:tcW w:w="5199" w:type="dxa"/>
            <w:vAlign w:val="center"/>
          </w:tcPr>
          <w:p w14:paraId="4A116478">
            <w:pPr>
              <w:autoSpaceDE w:val="0"/>
              <w:autoSpaceDN w:val="0"/>
              <w:adjustRightInd w:val="0"/>
              <w:ind w:firstLine="458"/>
              <w:jc w:val="center"/>
              <w:rPr>
                <w:rFonts w:hint="eastAsia" w:asciiTheme="minorEastAsia" w:hAnsiTheme="minorEastAsia" w:eastAsiaTheme="minorEastAsia"/>
                <w:b/>
                <w:color w:val="auto"/>
                <w:szCs w:val="21"/>
                <w:highlight w:val="none"/>
              </w:rPr>
            </w:pPr>
            <w:r>
              <w:rPr>
                <w:rFonts w:cs="UPNQIO+ËÎÌå" w:asciiTheme="minorEastAsia" w:hAnsiTheme="minorEastAsia" w:eastAsiaTheme="minorEastAsia"/>
                <w:b/>
                <w:color w:val="auto"/>
                <w:spacing w:val="9"/>
                <w:szCs w:val="21"/>
                <w:highlight w:val="none"/>
              </w:rPr>
              <w:t>评审标准</w:t>
            </w:r>
          </w:p>
        </w:tc>
      </w:tr>
      <w:tr w14:paraId="6A21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9" w:type="dxa"/>
            <w:vMerge w:val="restart"/>
            <w:vAlign w:val="center"/>
          </w:tcPr>
          <w:p w14:paraId="264A37E4">
            <w:pPr>
              <w:snapToGrid w:val="0"/>
              <w:spacing w:line="276"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资格审查评审标准</w:t>
            </w:r>
          </w:p>
        </w:tc>
        <w:tc>
          <w:tcPr>
            <w:tcW w:w="2552" w:type="dxa"/>
            <w:vAlign w:val="center"/>
          </w:tcPr>
          <w:p w14:paraId="084EEC0A">
            <w:pPr>
              <w:spacing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具有独立承担民事责任的能力</w:t>
            </w:r>
          </w:p>
        </w:tc>
        <w:tc>
          <w:tcPr>
            <w:tcW w:w="5199" w:type="dxa"/>
            <w:vAlign w:val="center"/>
          </w:tcPr>
          <w:p w14:paraId="56C1F6AD">
            <w:pPr>
              <w:spacing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符合第二章“供应商须知</w:t>
            </w:r>
            <w:r>
              <w:rPr>
                <w:rFonts w:hint="eastAsia" w:asciiTheme="minorEastAsia" w:hAnsiTheme="minorEastAsia" w:eastAsiaTheme="minorEastAsia"/>
                <w:color w:val="auto"/>
                <w:szCs w:val="21"/>
                <w:highlight w:val="none"/>
              </w:rPr>
              <w:t>前附表</w:t>
            </w:r>
            <w:r>
              <w:rPr>
                <w:rFonts w:asciiTheme="minorEastAsia" w:hAnsiTheme="minorEastAsia" w:eastAsiaTheme="minorEastAsia"/>
                <w:color w:val="auto"/>
                <w:szCs w:val="21"/>
                <w:highlight w:val="none"/>
              </w:rPr>
              <w:t>”第</w:t>
            </w:r>
            <w:r>
              <w:rPr>
                <w:rFonts w:hint="eastAsia" w:asciiTheme="minorEastAsia" w:hAnsiTheme="minorEastAsia" w:eastAsiaTheme="minorEastAsia"/>
                <w:color w:val="auto"/>
                <w:szCs w:val="21"/>
                <w:highlight w:val="none"/>
              </w:rPr>
              <w:t>1.4.1</w:t>
            </w:r>
            <w:r>
              <w:rPr>
                <w:rFonts w:asciiTheme="minorEastAsia" w:hAnsiTheme="minorEastAsia" w:eastAsiaTheme="minorEastAsia"/>
                <w:color w:val="auto"/>
                <w:szCs w:val="21"/>
                <w:highlight w:val="none"/>
              </w:rPr>
              <w:t>项</w:t>
            </w:r>
            <w:r>
              <w:rPr>
                <w:rFonts w:hint="eastAsia" w:asciiTheme="minorEastAsia" w:hAnsiTheme="minorEastAsia" w:eastAsiaTheme="minorEastAsia"/>
                <w:color w:val="auto"/>
                <w:szCs w:val="21"/>
                <w:highlight w:val="none"/>
              </w:rPr>
              <w:t>规定</w:t>
            </w:r>
          </w:p>
        </w:tc>
      </w:tr>
      <w:tr w14:paraId="4BDF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129" w:type="dxa"/>
            <w:vMerge w:val="continue"/>
            <w:vAlign w:val="center"/>
          </w:tcPr>
          <w:p w14:paraId="154CBCD1">
            <w:pPr>
              <w:snapToGrid w:val="0"/>
              <w:spacing w:line="360" w:lineRule="auto"/>
              <w:jc w:val="center"/>
              <w:rPr>
                <w:rFonts w:hint="eastAsia" w:asciiTheme="minorEastAsia" w:hAnsiTheme="minorEastAsia" w:eastAsiaTheme="minorEastAsia"/>
                <w:color w:val="auto"/>
                <w:szCs w:val="21"/>
                <w:highlight w:val="none"/>
              </w:rPr>
            </w:pPr>
          </w:p>
        </w:tc>
        <w:tc>
          <w:tcPr>
            <w:tcW w:w="2552" w:type="dxa"/>
            <w:vAlign w:val="center"/>
          </w:tcPr>
          <w:p w14:paraId="3BF46BA1">
            <w:pPr>
              <w:spacing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具有良好的商业信誉和健全的财务会计制度</w:t>
            </w:r>
          </w:p>
        </w:tc>
        <w:tc>
          <w:tcPr>
            <w:tcW w:w="5199" w:type="dxa"/>
            <w:vAlign w:val="center"/>
          </w:tcPr>
          <w:p w14:paraId="2AD1C0D4">
            <w:pPr>
              <w:spacing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符合第二章“供应商须知</w:t>
            </w:r>
            <w:r>
              <w:rPr>
                <w:rFonts w:hint="eastAsia" w:asciiTheme="minorEastAsia" w:hAnsiTheme="minorEastAsia" w:eastAsiaTheme="minorEastAsia"/>
                <w:color w:val="auto"/>
                <w:szCs w:val="21"/>
                <w:highlight w:val="none"/>
              </w:rPr>
              <w:t>前附表</w:t>
            </w:r>
            <w:r>
              <w:rPr>
                <w:rFonts w:asciiTheme="minorEastAsia" w:hAnsiTheme="minorEastAsia" w:eastAsiaTheme="minorEastAsia"/>
                <w:color w:val="auto"/>
                <w:szCs w:val="21"/>
                <w:highlight w:val="none"/>
              </w:rPr>
              <w:t>”第</w:t>
            </w:r>
            <w:r>
              <w:rPr>
                <w:rFonts w:hint="eastAsia" w:asciiTheme="minorEastAsia" w:hAnsiTheme="minorEastAsia" w:eastAsiaTheme="minorEastAsia"/>
                <w:color w:val="auto"/>
                <w:szCs w:val="21"/>
                <w:highlight w:val="none"/>
              </w:rPr>
              <w:t>1.4.1</w:t>
            </w:r>
            <w:r>
              <w:rPr>
                <w:rFonts w:asciiTheme="minorEastAsia" w:hAnsiTheme="minorEastAsia" w:eastAsiaTheme="minorEastAsia"/>
                <w:color w:val="auto"/>
                <w:szCs w:val="21"/>
                <w:highlight w:val="none"/>
              </w:rPr>
              <w:t>项</w:t>
            </w:r>
            <w:r>
              <w:rPr>
                <w:rFonts w:hint="eastAsia" w:asciiTheme="minorEastAsia" w:hAnsiTheme="minorEastAsia" w:eastAsiaTheme="minorEastAsia"/>
                <w:color w:val="auto"/>
                <w:szCs w:val="21"/>
                <w:highlight w:val="none"/>
              </w:rPr>
              <w:t>规定</w:t>
            </w:r>
          </w:p>
        </w:tc>
      </w:tr>
      <w:tr w14:paraId="2DB4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129" w:type="dxa"/>
            <w:vMerge w:val="continue"/>
            <w:vAlign w:val="center"/>
          </w:tcPr>
          <w:p w14:paraId="4FC5F194">
            <w:pPr>
              <w:snapToGrid w:val="0"/>
              <w:spacing w:line="360" w:lineRule="auto"/>
              <w:jc w:val="center"/>
              <w:rPr>
                <w:rFonts w:hint="eastAsia" w:asciiTheme="minorEastAsia" w:hAnsiTheme="minorEastAsia" w:eastAsiaTheme="minorEastAsia"/>
                <w:color w:val="auto"/>
                <w:szCs w:val="21"/>
                <w:highlight w:val="none"/>
              </w:rPr>
            </w:pPr>
          </w:p>
        </w:tc>
        <w:tc>
          <w:tcPr>
            <w:tcW w:w="2552" w:type="dxa"/>
            <w:vAlign w:val="center"/>
          </w:tcPr>
          <w:p w14:paraId="77D1A7EF">
            <w:pPr>
              <w:spacing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履行合同所必需的设备和专业技术能力</w:t>
            </w:r>
          </w:p>
        </w:tc>
        <w:tc>
          <w:tcPr>
            <w:tcW w:w="5199" w:type="dxa"/>
            <w:vAlign w:val="center"/>
          </w:tcPr>
          <w:p w14:paraId="41246E9D">
            <w:pPr>
              <w:spacing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符合第二章“供应商须知</w:t>
            </w:r>
            <w:r>
              <w:rPr>
                <w:rFonts w:hint="eastAsia" w:asciiTheme="minorEastAsia" w:hAnsiTheme="minorEastAsia" w:eastAsiaTheme="minorEastAsia"/>
                <w:color w:val="auto"/>
                <w:szCs w:val="21"/>
                <w:highlight w:val="none"/>
              </w:rPr>
              <w:t>前附表</w:t>
            </w:r>
            <w:r>
              <w:rPr>
                <w:rFonts w:asciiTheme="minorEastAsia" w:hAnsiTheme="minorEastAsia" w:eastAsiaTheme="minorEastAsia"/>
                <w:color w:val="auto"/>
                <w:szCs w:val="21"/>
                <w:highlight w:val="none"/>
              </w:rPr>
              <w:t>”第</w:t>
            </w:r>
            <w:r>
              <w:rPr>
                <w:rFonts w:hint="eastAsia" w:asciiTheme="minorEastAsia" w:hAnsiTheme="minorEastAsia" w:eastAsiaTheme="minorEastAsia"/>
                <w:color w:val="auto"/>
                <w:szCs w:val="21"/>
                <w:highlight w:val="none"/>
              </w:rPr>
              <w:t>1.4.1</w:t>
            </w:r>
            <w:r>
              <w:rPr>
                <w:rFonts w:asciiTheme="minorEastAsia" w:hAnsiTheme="minorEastAsia" w:eastAsiaTheme="minorEastAsia"/>
                <w:color w:val="auto"/>
                <w:szCs w:val="21"/>
                <w:highlight w:val="none"/>
              </w:rPr>
              <w:t>项</w:t>
            </w:r>
            <w:r>
              <w:rPr>
                <w:rFonts w:hint="eastAsia" w:asciiTheme="minorEastAsia" w:hAnsiTheme="minorEastAsia" w:eastAsiaTheme="minorEastAsia"/>
                <w:color w:val="auto"/>
                <w:szCs w:val="21"/>
                <w:highlight w:val="none"/>
              </w:rPr>
              <w:t>规定</w:t>
            </w:r>
          </w:p>
        </w:tc>
      </w:tr>
      <w:tr w14:paraId="6B7C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129" w:type="dxa"/>
            <w:vMerge w:val="continue"/>
            <w:vAlign w:val="center"/>
          </w:tcPr>
          <w:p w14:paraId="7C080EF0">
            <w:pPr>
              <w:snapToGrid w:val="0"/>
              <w:spacing w:line="360" w:lineRule="auto"/>
              <w:jc w:val="center"/>
              <w:rPr>
                <w:rFonts w:hint="eastAsia" w:asciiTheme="minorEastAsia" w:hAnsiTheme="minorEastAsia" w:eastAsiaTheme="minorEastAsia"/>
                <w:color w:val="auto"/>
                <w:szCs w:val="21"/>
                <w:highlight w:val="none"/>
              </w:rPr>
            </w:pPr>
          </w:p>
        </w:tc>
        <w:tc>
          <w:tcPr>
            <w:tcW w:w="2552" w:type="dxa"/>
            <w:vAlign w:val="center"/>
          </w:tcPr>
          <w:p w14:paraId="5C320B71">
            <w:pPr>
              <w:spacing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有依法缴纳税收和社会保障资金的良好记录</w:t>
            </w:r>
          </w:p>
        </w:tc>
        <w:tc>
          <w:tcPr>
            <w:tcW w:w="5199" w:type="dxa"/>
            <w:vAlign w:val="center"/>
          </w:tcPr>
          <w:p w14:paraId="06EDCA71">
            <w:pPr>
              <w:spacing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符合第二章“供应商须知</w:t>
            </w:r>
            <w:r>
              <w:rPr>
                <w:rFonts w:hint="eastAsia" w:asciiTheme="minorEastAsia" w:hAnsiTheme="minorEastAsia" w:eastAsiaTheme="minorEastAsia"/>
                <w:color w:val="auto"/>
                <w:szCs w:val="21"/>
                <w:highlight w:val="none"/>
              </w:rPr>
              <w:t>前附表</w:t>
            </w:r>
            <w:r>
              <w:rPr>
                <w:rFonts w:asciiTheme="minorEastAsia" w:hAnsiTheme="minorEastAsia" w:eastAsiaTheme="minorEastAsia"/>
                <w:color w:val="auto"/>
                <w:szCs w:val="21"/>
                <w:highlight w:val="none"/>
              </w:rPr>
              <w:t>”第</w:t>
            </w:r>
            <w:r>
              <w:rPr>
                <w:rFonts w:hint="eastAsia" w:asciiTheme="minorEastAsia" w:hAnsiTheme="minorEastAsia" w:eastAsiaTheme="minorEastAsia"/>
                <w:color w:val="auto"/>
                <w:szCs w:val="21"/>
                <w:highlight w:val="none"/>
              </w:rPr>
              <w:t>1.4.1</w:t>
            </w:r>
            <w:r>
              <w:rPr>
                <w:rFonts w:asciiTheme="minorEastAsia" w:hAnsiTheme="minorEastAsia" w:eastAsiaTheme="minorEastAsia"/>
                <w:color w:val="auto"/>
                <w:szCs w:val="21"/>
                <w:highlight w:val="none"/>
              </w:rPr>
              <w:t>项</w:t>
            </w:r>
            <w:r>
              <w:rPr>
                <w:rFonts w:hint="eastAsia" w:asciiTheme="minorEastAsia" w:hAnsiTheme="minorEastAsia" w:eastAsiaTheme="minorEastAsia"/>
                <w:color w:val="auto"/>
                <w:szCs w:val="21"/>
                <w:highlight w:val="none"/>
              </w:rPr>
              <w:t>规定</w:t>
            </w:r>
          </w:p>
        </w:tc>
      </w:tr>
      <w:tr w14:paraId="331C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129" w:type="dxa"/>
            <w:vMerge w:val="continue"/>
            <w:vAlign w:val="center"/>
          </w:tcPr>
          <w:p w14:paraId="0F8FE32D">
            <w:pPr>
              <w:snapToGrid w:val="0"/>
              <w:spacing w:line="360" w:lineRule="auto"/>
              <w:jc w:val="center"/>
              <w:rPr>
                <w:rFonts w:hint="eastAsia" w:asciiTheme="minorEastAsia" w:hAnsiTheme="minorEastAsia" w:eastAsiaTheme="minorEastAsia"/>
                <w:color w:val="auto"/>
                <w:szCs w:val="21"/>
                <w:highlight w:val="none"/>
              </w:rPr>
            </w:pPr>
          </w:p>
        </w:tc>
        <w:tc>
          <w:tcPr>
            <w:tcW w:w="2552" w:type="dxa"/>
            <w:vAlign w:val="center"/>
          </w:tcPr>
          <w:p w14:paraId="1E0AEA06">
            <w:pPr>
              <w:spacing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参加政府采购活动前三年内，在经营活动中没有重大违法记录</w:t>
            </w:r>
          </w:p>
        </w:tc>
        <w:tc>
          <w:tcPr>
            <w:tcW w:w="5199" w:type="dxa"/>
            <w:vAlign w:val="center"/>
          </w:tcPr>
          <w:p w14:paraId="23C0B642">
            <w:pPr>
              <w:spacing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符合第二章“供应商须知</w:t>
            </w:r>
            <w:r>
              <w:rPr>
                <w:rFonts w:hint="eastAsia" w:asciiTheme="minorEastAsia" w:hAnsiTheme="minorEastAsia" w:eastAsiaTheme="minorEastAsia"/>
                <w:color w:val="auto"/>
                <w:szCs w:val="21"/>
                <w:highlight w:val="none"/>
              </w:rPr>
              <w:t>前附表</w:t>
            </w:r>
            <w:r>
              <w:rPr>
                <w:rFonts w:asciiTheme="minorEastAsia" w:hAnsiTheme="minorEastAsia" w:eastAsiaTheme="minorEastAsia"/>
                <w:color w:val="auto"/>
                <w:szCs w:val="21"/>
                <w:highlight w:val="none"/>
              </w:rPr>
              <w:t>”第</w:t>
            </w:r>
            <w:r>
              <w:rPr>
                <w:rFonts w:hint="eastAsia" w:asciiTheme="minorEastAsia" w:hAnsiTheme="minorEastAsia" w:eastAsiaTheme="minorEastAsia"/>
                <w:color w:val="auto"/>
                <w:szCs w:val="21"/>
                <w:highlight w:val="none"/>
              </w:rPr>
              <w:t>1.4.1</w:t>
            </w:r>
            <w:r>
              <w:rPr>
                <w:rFonts w:asciiTheme="minorEastAsia" w:hAnsiTheme="minorEastAsia" w:eastAsiaTheme="minorEastAsia"/>
                <w:color w:val="auto"/>
                <w:szCs w:val="21"/>
                <w:highlight w:val="none"/>
              </w:rPr>
              <w:t>项</w:t>
            </w:r>
            <w:r>
              <w:rPr>
                <w:rFonts w:hint="eastAsia" w:asciiTheme="minorEastAsia" w:hAnsiTheme="minorEastAsia" w:eastAsiaTheme="minorEastAsia"/>
                <w:color w:val="auto"/>
                <w:szCs w:val="21"/>
                <w:highlight w:val="none"/>
              </w:rPr>
              <w:t>规定</w:t>
            </w:r>
          </w:p>
        </w:tc>
      </w:tr>
      <w:tr w14:paraId="42FD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129" w:type="dxa"/>
            <w:vMerge w:val="continue"/>
            <w:vAlign w:val="center"/>
          </w:tcPr>
          <w:p w14:paraId="70F6A2F6">
            <w:pPr>
              <w:snapToGrid w:val="0"/>
              <w:spacing w:line="360" w:lineRule="auto"/>
              <w:jc w:val="center"/>
              <w:rPr>
                <w:rFonts w:hint="eastAsia" w:asciiTheme="minorEastAsia" w:hAnsiTheme="minorEastAsia" w:eastAsiaTheme="minorEastAsia"/>
                <w:color w:val="auto"/>
                <w:szCs w:val="21"/>
                <w:highlight w:val="none"/>
              </w:rPr>
            </w:pPr>
          </w:p>
        </w:tc>
        <w:tc>
          <w:tcPr>
            <w:tcW w:w="2552" w:type="dxa"/>
            <w:vAlign w:val="center"/>
          </w:tcPr>
          <w:p w14:paraId="40D6BDDD">
            <w:pPr>
              <w:spacing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法律、行政法规规定的其他条件</w:t>
            </w:r>
          </w:p>
        </w:tc>
        <w:tc>
          <w:tcPr>
            <w:tcW w:w="5199" w:type="dxa"/>
            <w:vAlign w:val="center"/>
          </w:tcPr>
          <w:p w14:paraId="093EA2ED">
            <w:pPr>
              <w:spacing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符合第二章“供应商须知</w:t>
            </w:r>
            <w:r>
              <w:rPr>
                <w:rFonts w:hint="eastAsia" w:asciiTheme="minorEastAsia" w:hAnsiTheme="minorEastAsia" w:eastAsiaTheme="minorEastAsia"/>
                <w:color w:val="auto"/>
                <w:szCs w:val="21"/>
                <w:highlight w:val="none"/>
              </w:rPr>
              <w:t>前附表</w:t>
            </w:r>
            <w:r>
              <w:rPr>
                <w:rFonts w:asciiTheme="minorEastAsia" w:hAnsiTheme="minorEastAsia" w:eastAsiaTheme="minorEastAsia"/>
                <w:color w:val="auto"/>
                <w:szCs w:val="21"/>
                <w:highlight w:val="none"/>
              </w:rPr>
              <w:t>”第</w:t>
            </w:r>
            <w:r>
              <w:rPr>
                <w:rFonts w:hint="eastAsia" w:asciiTheme="minorEastAsia" w:hAnsiTheme="minorEastAsia" w:eastAsiaTheme="minorEastAsia"/>
                <w:color w:val="auto"/>
                <w:szCs w:val="21"/>
                <w:highlight w:val="none"/>
              </w:rPr>
              <w:t>1.4.1</w:t>
            </w:r>
            <w:r>
              <w:rPr>
                <w:rFonts w:asciiTheme="minorEastAsia" w:hAnsiTheme="minorEastAsia" w:eastAsiaTheme="minorEastAsia"/>
                <w:color w:val="auto"/>
                <w:szCs w:val="21"/>
                <w:highlight w:val="none"/>
              </w:rPr>
              <w:t>项</w:t>
            </w:r>
            <w:r>
              <w:rPr>
                <w:rFonts w:hint="eastAsia" w:asciiTheme="minorEastAsia" w:hAnsiTheme="minorEastAsia" w:eastAsiaTheme="minorEastAsia"/>
                <w:color w:val="auto"/>
                <w:szCs w:val="21"/>
                <w:highlight w:val="none"/>
              </w:rPr>
              <w:t>规定</w:t>
            </w:r>
          </w:p>
        </w:tc>
      </w:tr>
    </w:tbl>
    <w:p w14:paraId="026F9C61">
      <w:pPr>
        <w:spacing w:before="120" w:beforeLines="50" w:line="360" w:lineRule="auto"/>
        <w:ind w:firstLine="420" w:firstLineChars="200"/>
        <w:rPr>
          <w:color w:val="auto"/>
          <w:highlight w:val="none"/>
        </w:rPr>
      </w:pPr>
      <w:r>
        <w:rPr>
          <w:rFonts w:hint="eastAsia" w:ascii="宋体" w:hAnsi="宋体" w:cs="宋体"/>
          <w:color w:val="auto"/>
          <w:szCs w:val="21"/>
          <w:highlight w:val="none"/>
        </w:rPr>
        <w:t>公开招标采购项目开标结束后，采购人或采购代理机构依据采购文件的规定，对供应商的资格进行审查。合格供应商不足</w:t>
      </w:r>
      <w:r>
        <w:rPr>
          <w:rFonts w:ascii="宋体" w:hAnsi="宋体" w:cs="宋体"/>
          <w:color w:val="auto"/>
          <w:szCs w:val="21"/>
          <w:highlight w:val="none"/>
        </w:rPr>
        <w:t>3</w:t>
      </w:r>
      <w:r>
        <w:rPr>
          <w:rFonts w:hint="eastAsia" w:ascii="宋体" w:hAnsi="宋体" w:cs="宋体"/>
          <w:color w:val="auto"/>
          <w:szCs w:val="21"/>
          <w:highlight w:val="none"/>
        </w:rPr>
        <w:t>家的，不得评标，只有通过资格审查的投标文件才能进入评标。</w:t>
      </w:r>
    </w:p>
    <w:p w14:paraId="0ECEE618">
      <w:pPr>
        <w:widowControl/>
        <w:ind w:firstLine="602"/>
        <w:jc w:val="left"/>
        <w:rPr>
          <w:rFonts w:hint="eastAsia" w:asciiTheme="minorEastAsia" w:hAnsiTheme="minorEastAsia" w:eastAsiaTheme="minorEastAsia"/>
          <w:b/>
          <w:color w:val="auto"/>
          <w:kern w:val="0"/>
          <w:sz w:val="30"/>
          <w:szCs w:val="28"/>
          <w:highlight w:val="none"/>
        </w:rPr>
      </w:pPr>
      <w:r>
        <w:rPr>
          <w:rFonts w:asciiTheme="minorEastAsia" w:hAnsiTheme="minorEastAsia" w:eastAsiaTheme="minorEastAsia"/>
          <w:b/>
          <w:color w:val="auto"/>
          <w:kern w:val="0"/>
          <w:sz w:val="30"/>
          <w:szCs w:val="28"/>
          <w:highlight w:val="none"/>
        </w:rPr>
        <w:br w:type="page"/>
      </w:r>
    </w:p>
    <w:p w14:paraId="325DEAAF">
      <w:pPr>
        <w:pStyle w:val="42"/>
        <w:tabs>
          <w:tab w:val="right" w:leader="dot" w:pos="8948"/>
        </w:tabs>
        <w:spacing w:line="360" w:lineRule="auto"/>
        <w:ind w:left="0"/>
        <w:jc w:val="center"/>
        <w:outlineLvl w:val="0"/>
        <w:rPr>
          <w:rFonts w:hint="eastAsia" w:asciiTheme="minorEastAsia" w:hAnsiTheme="minorEastAsia" w:eastAsiaTheme="minorEastAsia"/>
          <w:b/>
          <w:bCs/>
          <w:color w:val="auto"/>
          <w:sz w:val="32"/>
          <w:szCs w:val="32"/>
          <w:highlight w:val="none"/>
        </w:rPr>
      </w:pPr>
      <w:bookmarkStart w:id="1212" w:name="_Toc180143790"/>
      <w:bookmarkStart w:id="1213" w:name="_Hlk152860482"/>
      <w:r>
        <w:rPr>
          <w:rFonts w:hint="eastAsia" w:asciiTheme="minorEastAsia" w:hAnsiTheme="minorEastAsia" w:eastAsiaTheme="minorEastAsia"/>
          <w:b/>
          <w:bCs/>
          <w:color w:val="auto"/>
          <w:sz w:val="32"/>
          <w:szCs w:val="32"/>
          <w:highlight w:val="none"/>
        </w:rPr>
        <w:t>第七章 评标办法</w:t>
      </w:r>
      <w:bookmarkEnd w:id="1036"/>
      <w:bookmarkEnd w:id="1037"/>
      <w:r>
        <w:rPr>
          <w:rFonts w:hint="eastAsia" w:asciiTheme="minorEastAsia" w:hAnsiTheme="minorEastAsia" w:eastAsiaTheme="minorEastAsia"/>
          <w:b/>
          <w:bCs/>
          <w:color w:val="auto"/>
          <w:sz w:val="32"/>
          <w:szCs w:val="32"/>
          <w:highlight w:val="none"/>
        </w:rPr>
        <w:t>（综合评分法）</w:t>
      </w:r>
      <w:bookmarkEnd w:id="1212"/>
    </w:p>
    <w:p w14:paraId="5800FC63">
      <w:pPr>
        <w:pStyle w:val="2"/>
        <w:spacing w:before="0" w:beforeLines="0"/>
        <w:rPr>
          <w:color w:val="auto"/>
          <w:highlight w:val="none"/>
        </w:rPr>
      </w:pPr>
      <w:bookmarkStart w:id="1214" w:name="_Toc388014371"/>
      <w:bookmarkStart w:id="1215" w:name="_Toc87538406"/>
      <w:bookmarkStart w:id="1216" w:name="_Toc84356289"/>
      <w:bookmarkStart w:id="1217" w:name="_Toc447640828"/>
      <w:bookmarkStart w:id="1218" w:name="_Toc87543857"/>
      <w:bookmarkStart w:id="1219" w:name="_Toc302769231"/>
      <w:bookmarkStart w:id="1220" w:name="_Toc83753929"/>
      <w:bookmarkStart w:id="1221" w:name="_Toc388013369"/>
      <w:bookmarkStart w:id="1222" w:name="_Toc42205031"/>
      <w:bookmarkStart w:id="1223" w:name="_Toc37603109"/>
      <w:bookmarkStart w:id="1224" w:name="_Toc110405174"/>
      <w:bookmarkStart w:id="1225" w:name="_Toc9290724"/>
      <w:bookmarkStart w:id="1226" w:name="_Toc388013682"/>
      <w:bookmarkStart w:id="1227" w:name="_Toc180143791"/>
      <w:r>
        <w:rPr>
          <w:rFonts w:hint="eastAsia"/>
          <w:color w:val="auto"/>
          <w:highlight w:val="none"/>
        </w:rPr>
        <w:t>一、评标办法</w:t>
      </w:r>
      <w:r>
        <w:rPr>
          <w:color w:val="auto"/>
          <w:highlight w:val="none"/>
        </w:rPr>
        <w:t>前附表</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p>
    <w:tbl>
      <w:tblPr>
        <w:tblStyle w:val="5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610"/>
        <w:gridCol w:w="2410"/>
        <w:gridCol w:w="4110"/>
      </w:tblGrid>
      <w:tr w14:paraId="24B75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37" w:type="dxa"/>
            <w:vAlign w:val="center"/>
          </w:tcPr>
          <w:p w14:paraId="38DF4060">
            <w:pPr>
              <w:autoSpaceDE w:val="0"/>
              <w:autoSpaceDN w:val="0"/>
              <w:adjustRightInd w:val="0"/>
              <w:rPr>
                <w:rFonts w:hint="eastAsia" w:cs="UPNQIO+ËÎÌå" w:asciiTheme="minorEastAsia" w:hAnsiTheme="minorEastAsia" w:eastAsiaTheme="minorEastAsia"/>
                <w:b/>
                <w:color w:val="auto"/>
                <w:spacing w:val="1"/>
                <w:kern w:val="0"/>
                <w:szCs w:val="21"/>
                <w:highlight w:val="none"/>
              </w:rPr>
            </w:pPr>
            <w:r>
              <w:rPr>
                <w:rFonts w:hint="eastAsia" w:cs="宋体" w:asciiTheme="minorEastAsia" w:hAnsiTheme="minorEastAsia" w:eastAsiaTheme="minorEastAsia"/>
                <w:b/>
                <w:color w:val="auto"/>
                <w:spacing w:val="1"/>
                <w:kern w:val="0"/>
                <w:szCs w:val="21"/>
                <w:highlight w:val="none"/>
              </w:rPr>
              <w:t>条款号</w:t>
            </w:r>
          </w:p>
        </w:tc>
        <w:tc>
          <w:tcPr>
            <w:tcW w:w="1610" w:type="dxa"/>
            <w:vAlign w:val="center"/>
          </w:tcPr>
          <w:p w14:paraId="67B5779E">
            <w:pPr>
              <w:autoSpaceDE w:val="0"/>
              <w:autoSpaceDN w:val="0"/>
              <w:adjustRightInd w:val="0"/>
              <w:ind w:firstLine="422"/>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评审因素</w:t>
            </w:r>
          </w:p>
        </w:tc>
        <w:tc>
          <w:tcPr>
            <w:tcW w:w="2410" w:type="dxa"/>
            <w:vAlign w:val="center"/>
          </w:tcPr>
          <w:p w14:paraId="37BAD2F3">
            <w:pPr>
              <w:autoSpaceDE w:val="0"/>
              <w:autoSpaceDN w:val="0"/>
              <w:adjustRightInd w:val="0"/>
              <w:ind w:firstLine="422"/>
              <w:jc w:val="center"/>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评审内容</w:t>
            </w:r>
          </w:p>
        </w:tc>
        <w:tc>
          <w:tcPr>
            <w:tcW w:w="4110" w:type="dxa"/>
            <w:vAlign w:val="center"/>
          </w:tcPr>
          <w:p w14:paraId="153B72FF">
            <w:pPr>
              <w:autoSpaceDE w:val="0"/>
              <w:autoSpaceDN w:val="0"/>
              <w:adjustRightInd w:val="0"/>
              <w:ind w:firstLine="458"/>
              <w:jc w:val="center"/>
              <w:rPr>
                <w:rFonts w:hint="eastAsia" w:asciiTheme="minorEastAsia" w:hAnsiTheme="minorEastAsia" w:eastAsiaTheme="minorEastAsia"/>
                <w:b/>
                <w:color w:val="auto"/>
                <w:szCs w:val="21"/>
                <w:highlight w:val="none"/>
              </w:rPr>
            </w:pPr>
            <w:r>
              <w:rPr>
                <w:rFonts w:cs="UPNQIO+ËÎÌå" w:asciiTheme="minorEastAsia" w:hAnsiTheme="minorEastAsia" w:eastAsiaTheme="minorEastAsia"/>
                <w:b/>
                <w:color w:val="auto"/>
                <w:spacing w:val="9"/>
                <w:szCs w:val="21"/>
                <w:highlight w:val="none"/>
              </w:rPr>
              <w:t>评审标准</w:t>
            </w:r>
          </w:p>
        </w:tc>
      </w:tr>
      <w:tr w14:paraId="31839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restart"/>
            <w:vAlign w:val="center"/>
          </w:tcPr>
          <w:p w14:paraId="28538C03">
            <w:pPr>
              <w:snapToGrid w:val="0"/>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2.1</w:t>
            </w:r>
          </w:p>
        </w:tc>
        <w:tc>
          <w:tcPr>
            <w:tcW w:w="1610" w:type="dxa"/>
            <w:vMerge w:val="restart"/>
            <w:vAlign w:val="center"/>
          </w:tcPr>
          <w:p w14:paraId="282F08C9">
            <w:pPr>
              <w:snapToGrid w:val="0"/>
              <w:spacing w:line="276"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符合性审查</w:t>
            </w:r>
          </w:p>
          <w:p w14:paraId="2F70DB9D">
            <w:pPr>
              <w:snapToGrid w:val="0"/>
              <w:spacing w:line="276"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标准</w:t>
            </w:r>
          </w:p>
        </w:tc>
        <w:tc>
          <w:tcPr>
            <w:tcW w:w="2410" w:type="dxa"/>
            <w:vAlign w:val="center"/>
          </w:tcPr>
          <w:p w14:paraId="17A5F2A6">
            <w:pPr>
              <w:spacing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投标文件格式封面</w:t>
            </w:r>
          </w:p>
        </w:tc>
        <w:tc>
          <w:tcPr>
            <w:tcW w:w="4110" w:type="dxa"/>
            <w:vAlign w:val="center"/>
          </w:tcPr>
          <w:p w14:paraId="545A9143">
            <w:pPr>
              <w:spacing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符合第四章“投标文件格式”要求</w:t>
            </w:r>
          </w:p>
        </w:tc>
      </w:tr>
      <w:tr w14:paraId="28D6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vAlign w:val="center"/>
          </w:tcPr>
          <w:p w14:paraId="1F79827B">
            <w:pPr>
              <w:snapToGrid w:val="0"/>
              <w:spacing w:line="360" w:lineRule="auto"/>
              <w:jc w:val="center"/>
              <w:rPr>
                <w:rFonts w:hint="eastAsia" w:asciiTheme="minorEastAsia" w:hAnsiTheme="minorEastAsia" w:eastAsiaTheme="minorEastAsia"/>
                <w:color w:val="auto"/>
                <w:szCs w:val="21"/>
                <w:highlight w:val="none"/>
              </w:rPr>
            </w:pPr>
          </w:p>
        </w:tc>
        <w:tc>
          <w:tcPr>
            <w:tcW w:w="1610" w:type="dxa"/>
            <w:vMerge w:val="continue"/>
            <w:vAlign w:val="center"/>
          </w:tcPr>
          <w:p w14:paraId="138F653B">
            <w:pPr>
              <w:snapToGrid w:val="0"/>
              <w:spacing w:line="276" w:lineRule="auto"/>
              <w:jc w:val="center"/>
              <w:rPr>
                <w:rFonts w:hint="eastAsia" w:asciiTheme="minorEastAsia" w:hAnsiTheme="minorEastAsia" w:eastAsiaTheme="minorEastAsia"/>
                <w:color w:val="auto"/>
                <w:szCs w:val="21"/>
                <w:highlight w:val="none"/>
              </w:rPr>
            </w:pPr>
          </w:p>
        </w:tc>
        <w:tc>
          <w:tcPr>
            <w:tcW w:w="2410" w:type="dxa"/>
            <w:vAlign w:val="center"/>
          </w:tcPr>
          <w:p w14:paraId="7F2B32EA">
            <w:pPr>
              <w:spacing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投标函</w:t>
            </w:r>
          </w:p>
        </w:tc>
        <w:tc>
          <w:tcPr>
            <w:tcW w:w="4110" w:type="dxa"/>
            <w:vAlign w:val="center"/>
          </w:tcPr>
          <w:p w14:paraId="374D3AD6">
            <w:pPr>
              <w:spacing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w:t>
            </w:r>
            <w:r>
              <w:rPr>
                <w:rFonts w:hint="eastAsia" w:asciiTheme="minorEastAsia" w:hAnsiTheme="minorEastAsia" w:eastAsiaTheme="minorEastAsia"/>
                <w:color w:val="auto"/>
                <w:szCs w:val="21"/>
                <w:highlight w:val="none"/>
              </w:rPr>
              <w:t>第四章“投标文件格式”中“商务报价文件”第（一）项规定</w:t>
            </w:r>
          </w:p>
        </w:tc>
      </w:tr>
      <w:tr w14:paraId="46EC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vAlign w:val="center"/>
          </w:tcPr>
          <w:p w14:paraId="5A1E968F">
            <w:pPr>
              <w:snapToGrid w:val="0"/>
              <w:spacing w:line="360" w:lineRule="auto"/>
              <w:jc w:val="center"/>
              <w:rPr>
                <w:rFonts w:hint="eastAsia" w:asciiTheme="minorEastAsia" w:hAnsiTheme="minorEastAsia" w:eastAsiaTheme="minorEastAsia"/>
                <w:color w:val="auto"/>
                <w:szCs w:val="21"/>
                <w:highlight w:val="none"/>
              </w:rPr>
            </w:pPr>
          </w:p>
        </w:tc>
        <w:tc>
          <w:tcPr>
            <w:tcW w:w="1610" w:type="dxa"/>
            <w:vMerge w:val="continue"/>
            <w:vAlign w:val="center"/>
          </w:tcPr>
          <w:p w14:paraId="6282D66C">
            <w:pPr>
              <w:snapToGrid w:val="0"/>
              <w:spacing w:line="276" w:lineRule="auto"/>
              <w:jc w:val="center"/>
              <w:rPr>
                <w:rFonts w:hint="eastAsia" w:asciiTheme="minorEastAsia" w:hAnsiTheme="minorEastAsia" w:eastAsiaTheme="minorEastAsia"/>
                <w:color w:val="auto"/>
                <w:szCs w:val="21"/>
                <w:highlight w:val="none"/>
              </w:rPr>
            </w:pPr>
          </w:p>
        </w:tc>
        <w:tc>
          <w:tcPr>
            <w:tcW w:w="2410" w:type="dxa"/>
            <w:vAlign w:val="center"/>
          </w:tcPr>
          <w:p w14:paraId="5068CB58">
            <w:pPr>
              <w:spacing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法定代表人身份证明及授权委托书</w:t>
            </w:r>
          </w:p>
        </w:tc>
        <w:tc>
          <w:tcPr>
            <w:tcW w:w="4110" w:type="dxa"/>
            <w:vAlign w:val="center"/>
          </w:tcPr>
          <w:p w14:paraId="5F4DCE33">
            <w:pPr>
              <w:spacing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w:t>
            </w:r>
            <w:r>
              <w:rPr>
                <w:rFonts w:hint="eastAsia" w:asciiTheme="minorEastAsia" w:hAnsiTheme="minorEastAsia" w:eastAsiaTheme="minorEastAsia"/>
                <w:color w:val="auto"/>
                <w:szCs w:val="21"/>
                <w:highlight w:val="none"/>
              </w:rPr>
              <w:t>第四章“投标文件格式”中“商务报价文件”第（二）项规定，并且有效</w:t>
            </w:r>
          </w:p>
        </w:tc>
      </w:tr>
      <w:tr w14:paraId="12F4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vAlign w:val="center"/>
          </w:tcPr>
          <w:p w14:paraId="7866D287">
            <w:pPr>
              <w:snapToGrid w:val="0"/>
              <w:spacing w:line="360" w:lineRule="auto"/>
              <w:jc w:val="center"/>
              <w:rPr>
                <w:rFonts w:hint="eastAsia" w:asciiTheme="minorEastAsia" w:hAnsiTheme="minorEastAsia" w:eastAsiaTheme="minorEastAsia"/>
                <w:color w:val="auto"/>
                <w:szCs w:val="21"/>
                <w:highlight w:val="none"/>
              </w:rPr>
            </w:pPr>
          </w:p>
        </w:tc>
        <w:tc>
          <w:tcPr>
            <w:tcW w:w="1610" w:type="dxa"/>
            <w:vMerge w:val="continue"/>
            <w:vAlign w:val="center"/>
          </w:tcPr>
          <w:p w14:paraId="1BA76E3F">
            <w:pPr>
              <w:snapToGrid w:val="0"/>
              <w:spacing w:line="276" w:lineRule="auto"/>
              <w:jc w:val="center"/>
              <w:rPr>
                <w:rFonts w:hint="eastAsia" w:asciiTheme="minorEastAsia" w:hAnsiTheme="minorEastAsia" w:eastAsiaTheme="minorEastAsia"/>
                <w:color w:val="auto"/>
                <w:szCs w:val="21"/>
                <w:highlight w:val="none"/>
              </w:rPr>
            </w:pPr>
          </w:p>
        </w:tc>
        <w:tc>
          <w:tcPr>
            <w:tcW w:w="2410" w:type="dxa"/>
            <w:vAlign w:val="center"/>
          </w:tcPr>
          <w:p w14:paraId="013D1B44">
            <w:pPr>
              <w:spacing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投标保证金</w:t>
            </w:r>
          </w:p>
        </w:tc>
        <w:tc>
          <w:tcPr>
            <w:tcW w:w="4110" w:type="dxa"/>
            <w:vAlign w:val="center"/>
          </w:tcPr>
          <w:p w14:paraId="204BB1E8">
            <w:pPr>
              <w:spacing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符合第二章“供应商须知前附表”第3.4.1项规定和第四章“投标文件格式”中“商务报价文件”第（三）项规定</w:t>
            </w:r>
          </w:p>
        </w:tc>
      </w:tr>
      <w:tr w14:paraId="17E67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37" w:type="dxa"/>
            <w:vMerge w:val="continue"/>
            <w:vAlign w:val="center"/>
          </w:tcPr>
          <w:p w14:paraId="5732355A">
            <w:pPr>
              <w:snapToGrid w:val="0"/>
              <w:spacing w:line="360" w:lineRule="auto"/>
              <w:jc w:val="center"/>
              <w:rPr>
                <w:rFonts w:hint="eastAsia" w:asciiTheme="minorEastAsia" w:hAnsiTheme="minorEastAsia" w:eastAsiaTheme="minorEastAsia"/>
                <w:color w:val="auto"/>
                <w:szCs w:val="21"/>
                <w:highlight w:val="none"/>
              </w:rPr>
            </w:pPr>
          </w:p>
        </w:tc>
        <w:tc>
          <w:tcPr>
            <w:tcW w:w="1610" w:type="dxa"/>
            <w:vMerge w:val="continue"/>
            <w:vAlign w:val="center"/>
          </w:tcPr>
          <w:p w14:paraId="3C359433">
            <w:pPr>
              <w:snapToGrid w:val="0"/>
              <w:spacing w:line="276" w:lineRule="auto"/>
              <w:jc w:val="center"/>
              <w:rPr>
                <w:rFonts w:hint="eastAsia" w:asciiTheme="minorEastAsia" w:hAnsiTheme="minorEastAsia" w:eastAsiaTheme="minorEastAsia"/>
                <w:color w:val="auto"/>
                <w:szCs w:val="21"/>
                <w:highlight w:val="none"/>
              </w:rPr>
            </w:pPr>
          </w:p>
        </w:tc>
        <w:tc>
          <w:tcPr>
            <w:tcW w:w="2410" w:type="dxa"/>
            <w:vAlign w:val="center"/>
          </w:tcPr>
          <w:p w14:paraId="6E834A3B">
            <w:pPr>
              <w:spacing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供应商承诺书</w:t>
            </w:r>
          </w:p>
        </w:tc>
        <w:tc>
          <w:tcPr>
            <w:tcW w:w="4110" w:type="dxa"/>
            <w:vAlign w:val="center"/>
          </w:tcPr>
          <w:p w14:paraId="3DC3B43E">
            <w:pPr>
              <w:spacing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w:t>
            </w:r>
            <w:r>
              <w:rPr>
                <w:rFonts w:hint="eastAsia" w:asciiTheme="minorEastAsia" w:hAnsiTheme="minorEastAsia" w:eastAsiaTheme="minorEastAsia"/>
                <w:color w:val="auto"/>
                <w:szCs w:val="21"/>
                <w:highlight w:val="none"/>
              </w:rPr>
              <w:t>第四章“投标文件格式”中“商务报价文件”第（四）项规定</w:t>
            </w:r>
          </w:p>
        </w:tc>
      </w:tr>
      <w:tr w14:paraId="3D2B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vAlign w:val="center"/>
          </w:tcPr>
          <w:p w14:paraId="0060BC9A">
            <w:pPr>
              <w:snapToGrid w:val="0"/>
              <w:spacing w:line="360" w:lineRule="auto"/>
              <w:jc w:val="center"/>
              <w:rPr>
                <w:rFonts w:hint="eastAsia" w:asciiTheme="minorEastAsia" w:hAnsiTheme="minorEastAsia" w:eastAsiaTheme="minorEastAsia"/>
                <w:color w:val="auto"/>
                <w:szCs w:val="21"/>
                <w:highlight w:val="none"/>
              </w:rPr>
            </w:pPr>
          </w:p>
        </w:tc>
        <w:tc>
          <w:tcPr>
            <w:tcW w:w="1610" w:type="dxa"/>
            <w:vMerge w:val="continue"/>
            <w:vAlign w:val="center"/>
          </w:tcPr>
          <w:p w14:paraId="1A300F14">
            <w:pPr>
              <w:snapToGrid w:val="0"/>
              <w:spacing w:line="276" w:lineRule="auto"/>
              <w:jc w:val="center"/>
              <w:rPr>
                <w:rFonts w:hint="eastAsia" w:asciiTheme="minorEastAsia" w:hAnsiTheme="minorEastAsia" w:eastAsiaTheme="minorEastAsia"/>
                <w:color w:val="auto"/>
                <w:szCs w:val="21"/>
                <w:highlight w:val="none"/>
              </w:rPr>
            </w:pPr>
          </w:p>
        </w:tc>
        <w:tc>
          <w:tcPr>
            <w:tcW w:w="2410" w:type="dxa"/>
            <w:vAlign w:val="center"/>
          </w:tcPr>
          <w:p w14:paraId="40BF2F69">
            <w:pPr>
              <w:spacing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投标报价</w:t>
            </w:r>
          </w:p>
        </w:tc>
        <w:tc>
          <w:tcPr>
            <w:tcW w:w="4110" w:type="dxa"/>
            <w:vAlign w:val="center"/>
          </w:tcPr>
          <w:p w14:paraId="018A9962">
            <w:pPr>
              <w:spacing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符合第二章“供应商须知前附表”第3.2</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项规定和第四章“投标文件格式”中“商务报价文件”第（五）项规定</w:t>
            </w:r>
          </w:p>
        </w:tc>
      </w:tr>
      <w:tr w14:paraId="41AA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vAlign w:val="center"/>
          </w:tcPr>
          <w:p w14:paraId="35B25AF9">
            <w:pPr>
              <w:snapToGrid w:val="0"/>
              <w:spacing w:line="360" w:lineRule="auto"/>
              <w:jc w:val="center"/>
              <w:rPr>
                <w:rFonts w:hint="eastAsia" w:asciiTheme="minorEastAsia" w:hAnsiTheme="minorEastAsia" w:eastAsiaTheme="minorEastAsia"/>
                <w:color w:val="auto"/>
                <w:szCs w:val="21"/>
                <w:highlight w:val="none"/>
              </w:rPr>
            </w:pPr>
          </w:p>
        </w:tc>
        <w:tc>
          <w:tcPr>
            <w:tcW w:w="1610" w:type="dxa"/>
            <w:vMerge w:val="continue"/>
            <w:vAlign w:val="center"/>
          </w:tcPr>
          <w:p w14:paraId="1658D03C">
            <w:pPr>
              <w:snapToGrid w:val="0"/>
              <w:spacing w:line="276" w:lineRule="auto"/>
              <w:jc w:val="center"/>
              <w:rPr>
                <w:rFonts w:hint="eastAsia" w:asciiTheme="minorEastAsia" w:hAnsiTheme="minorEastAsia" w:eastAsiaTheme="minorEastAsia"/>
                <w:color w:val="auto"/>
                <w:szCs w:val="21"/>
                <w:highlight w:val="none"/>
              </w:rPr>
            </w:pPr>
          </w:p>
        </w:tc>
        <w:tc>
          <w:tcPr>
            <w:tcW w:w="2410" w:type="dxa"/>
            <w:vAlign w:val="center"/>
          </w:tcPr>
          <w:p w14:paraId="6839561A">
            <w:pPr>
              <w:autoSpaceDE w:val="0"/>
              <w:autoSpaceDN w:val="0"/>
              <w:adjustRightInd w:val="0"/>
              <w:spacing w:before="120" w:beforeLines="50" w:line="360" w:lineRule="auto"/>
              <w:rPr>
                <w:rFonts w:hint="eastAsia" w:asciiTheme="minorEastAsia" w:hAnsiTheme="minorEastAsia" w:eastAsiaTheme="minorEastAsia"/>
                <w:color w:val="auto"/>
                <w:szCs w:val="21"/>
                <w:highlight w:val="none"/>
              </w:rPr>
            </w:pPr>
            <w:r>
              <w:rPr>
                <w:rFonts w:hint="eastAsia" w:ascii="宋体" w:hAnsi="宋体"/>
                <w:color w:val="auto"/>
                <w:szCs w:val="21"/>
                <w:highlight w:val="none"/>
              </w:rPr>
              <w:t>关键性技术参数</w:t>
            </w:r>
          </w:p>
        </w:tc>
        <w:tc>
          <w:tcPr>
            <w:tcW w:w="4110" w:type="dxa"/>
            <w:vAlign w:val="center"/>
          </w:tcPr>
          <w:p w14:paraId="7AA90825">
            <w:pPr>
              <w:autoSpaceDE w:val="0"/>
              <w:autoSpaceDN w:val="0"/>
              <w:adjustRightInd w:val="0"/>
              <w:spacing w:before="120" w:beforeLines="50" w:line="360" w:lineRule="auto"/>
              <w:rPr>
                <w:rFonts w:hint="eastAsia" w:asciiTheme="minorEastAsia" w:hAnsiTheme="minorEastAsia" w:eastAsiaTheme="minorEastAsia"/>
                <w:color w:val="auto"/>
                <w:szCs w:val="21"/>
                <w:highlight w:val="none"/>
              </w:rPr>
            </w:pPr>
            <w:r>
              <w:rPr>
                <w:rFonts w:hint="eastAsia" w:ascii="宋体" w:hAnsi="宋体" w:cs="宋体"/>
                <w:color w:val="auto"/>
                <w:highlight w:val="none"/>
              </w:rPr>
              <w:t>投标产品的关键性技术参数，满足或优于采购文件第五章“采购清单及要求”中“技术参数要求”的</w:t>
            </w:r>
            <w:r>
              <w:rPr>
                <w:rFonts w:hint="eastAsia" w:ascii="宋体" w:hAnsi="宋体"/>
                <w:color w:val="auto"/>
                <w:szCs w:val="21"/>
                <w:highlight w:val="none"/>
              </w:rPr>
              <w:t>关键性技术参数（“▲”参数）</w:t>
            </w:r>
          </w:p>
        </w:tc>
      </w:tr>
      <w:tr w14:paraId="746D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vAlign w:val="center"/>
          </w:tcPr>
          <w:p w14:paraId="43DB4A69">
            <w:pPr>
              <w:snapToGrid w:val="0"/>
              <w:spacing w:line="360" w:lineRule="auto"/>
              <w:jc w:val="center"/>
              <w:rPr>
                <w:rFonts w:hint="eastAsia" w:asciiTheme="minorEastAsia" w:hAnsiTheme="minorEastAsia" w:eastAsiaTheme="minorEastAsia"/>
                <w:color w:val="auto"/>
                <w:szCs w:val="21"/>
                <w:highlight w:val="none"/>
              </w:rPr>
            </w:pPr>
          </w:p>
        </w:tc>
        <w:tc>
          <w:tcPr>
            <w:tcW w:w="1610" w:type="dxa"/>
            <w:vMerge w:val="continue"/>
            <w:vAlign w:val="center"/>
          </w:tcPr>
          <w:p w14:paraId="4EC2834C">
            <w:pPr>
              <w:snapToGrid w:val="0"/>
              <w:spacing w:line="276" w:lineRule="auto"/>
              <w:jc w:val="center"/>
              <w:rPr>
                <w:rFonts w:hint="eastAsia" w:asciiTheme="minorEastAsia" w:hAnsiTheme="minorEastAsia" w:eastAsiaTheme="minorEastAsia"/>
                <w:color w:val="auto"/>
                <w:szCs w:val="21"/>
                <w:highlight w:val="none"/>
              </w:rPr>
            </w:pPr>
          </w:p>
        </w:tc>
        <w:tc>
          <w:tcPr>
            <w:tcW w:w="2410" w:type="dxa"/>
            <w:vAlign w:val="center"/>
          </w:tcPr>
          <w:p w14:paraId="1733DCB1">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商务条款表</w:t>
            </w:r>
          </w:p>
        </w:tc>
        <w:tc>
          <w:tcPr>
            <w:tcW w:w="4110" w:type="dxa"/>
            <w:vAlign w:val="center"/>
          </w:tcPr>
          <w:p w14:paraId="3BA64339">
            <w:pPr>
              <w:spacing w:before="120" w:beforeLines="50" w:after="120" w:afterLines="50" w:line="276" w:lineRule="auto"/>
              <w:rPr>
                <w:rFonts w:hint="eastAsia" w:asciiTheme="minorEastAsia" w:hAnsiTheme="minorEastAsia" w:eastAsiaTheme="minorEastAsia"/>
                <w:color w:val="auto"/>
                <w:szCs w:val="21"/>
                <w:highlight w:val="none"/>
              </w:rPr>
            </w:pPr>
            <w:bookmarkStart w:id="1574" w:name="_GoBack"/>
            <w:bookmarkEnd w:id="1574"/>
            <w:r>
              <w:rPr>
                <w:rFonts w:asciiTheme="minorEastAsia" w:hAnsiTheme="minorEastAsia" w:eastAsiaTheme="minorEastAsia"/>
                <w:color w:val="auto"/>
                <w:szCs w:val="21"/>
                <w:highlight w:val="none"/>
              </w:rPr>
              <w:t>符合</w:t>
            </w:r>
            <w:r>
              <w:rPr>
                <w:rFonts w:hint="eastAsia" w:asciiTheme="minorEastAsia" w:hAnsiTheme="minorEastAsia" w:eastAsiaTheme="minorEastAsia"/>
                <w:color w:val="auto"/>
                <w:szCs w:val="21"/>
                <w:highlight w:val="none"/>
              </w:rPr>
              <w:t>采购文件中对应内容的要求</w:t>
            </w:r>
          </w:p>
        </w:tc>
      </w:tr>
      <w:tr w14:paraId="2B95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vAlign w:val="center"/>
          </w:tcPr>
          <w:p w14:paraId="31BDB027">
            <w:pPr>
              <w:snapToGrid w:val="0"/>
              <w:spacing w:line="360" w:lineRule="auto"/>
              <w:jc w:val="center"/>
              <w:rPr>
                <w:rFonts w:hint="eastAsia" w:asciiTheme="minorEastAsia" w:hAnsiTheme="minorEastAsia" w:eastAsiaTheme="minorEastAsia"/>
                <w:color w:val="auto"/>
                <w:szCs w:val="21"/>
                <w:highlight w:val="none"/>
              </w:rPr>
            </w:pPr>
          </w:p>
        </w:tc>
        <w:tc>
          <w:tcPr>
            <w:tcW w:w="1610" w:type="dxa"/>
            <w:vMerge w:val="continue"/>
            <w:vAlign w:val="center"/>
          </w:tcPr>
          <w:p w14:paraId="551B9053">
            <w:pPr>
              <w:snapToGrid w:val="0"/>
              <w:spacing w:line="276" w:lineRule="auto"/>
              <w:jc w:val="center"/>
              <w:rPr>
                <w:rFonts w:hint="eastAsia" w:asciiTheme="minorEastAsia" w:hAnsiTheme="minorEastAsia" w:eastAsiaTheme="minorEastAsia"/>
                <w:color w:val="auto"/>
                <w:szCs w:val="21"/>
                <w:highlight w:val="none"/>
              </w:rPr>
            </w:pPr>
          </w:p>
        </w:tc>
        <w:tc>
          <w:tcPr>
            <w:tcW w:w="2410" w:type="dxa"/>
            <w:vAlign w:val="center"/>
          </w:tcPr>
          <w:p w14:paraId="1D7C96EC">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产品技术参数表</w:t>
            </w:r>
          </w:p>
        </w:tc>
        <w:tc>
          <w:tcPr>
            <w:tcW w:w="4110" w:type="dxa"/>
            <w:vAlign w:val="center"/>
          </w:tcPr>
          <w:p w14:paraId="4FB69C3F">
            <w:pPr>
              <w:spacing w:before="120" w:beforeLines="50" w:after="120" w:afterLines="50"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w:t>
            </w:r>
            <w:r>
              <w:rPr>
                <w:rFonts w:hint="eastAsia" w:asciiTheme="minorEastAsia" w:hAnsiTheme="minorEastAsia" w:eastAsiaTheme="minorEastAsia"/>
                <w:color w:val="auto"/>
                <w:szCs w:val="21"/>
                <w:highlight w:val="none"/>
              </w:rPr>
              <w:t>第四章“投标文件格式”中“商务报价文件”第（五）项第3条规定</w:t>
            </w:r>
          </w:p>
        </w:tc>
      </w:tr>
      <w:tr w14:paraId="602B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37" w:type="dxa"/>
            <w:vMerge w:val="continue"/>
            <w:vAlign w:val="center"/>
          </w:tcPr>
          <w:p w14:paraId="0F0BD540">
            <w:pPr>
              <w:snapToGrid w:val="0"/>
              <w:spacing w:line="360" w:lineRule="auto"/>
              <w:jc w:val="center"/>
              <w:rPr>
                <w:rFonts w:hint="eastAsia" w:asciiTheme="minorEastAsia" w:hAnsiTheme="minorEastAsia" w:eastAsiaTheme="minorEastAsia"/>
                <w:color w:val="auto"/>
                <w:szCs w:val="21"/>
                <w:highlight w:val="none"/>
              </w:rPr>
            </w:pPr>
          </w:p>
        </w:tc>
        <w:tc>
          <w:tcPr>
            <w:tcW w:w="1610" w:type="dxa"/>
            <w:vMerge w:val="continue"/>
            <w:vAlign w:val="center"/>
          </w:tcPr>
          <w:p w14:paraId="5400BAEF">
            <w:pPr>
              <w:snapToGrid w:val="0"/>
              <w:spacing w:line="276" w:lineRule="auto"/>
              <w:jc w:val="center"/>
              <w:rPr>
                <w:rFonts w:hint="eastAsia" w:asciiTheme="minorEastAsia" w:hAnsiTheme="minorEastAsia" w:eastAsiaTheme="minorEastAsia"/>
                <w:color w:val="auto"/>
                <w:szCs w:val="21"/>
                <w:highlight w:val="none"/>
              </w:rPr>
            </w:pPr>
          </w:p>
        </w:tc>
        <w:tc>
          <w:tcPr>
            <w:tcW w:w="2410" w:type="dxa"/>
            <w:vAlign w:val="center"/>
          </w:tcPr>
          <w:p w14:paraId="3B1055FD">
            <w:pPr>
              <w:spacing w:before="120" w:beforeLines="50" w:after="120" w:afterLines="50"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技术参数偏离表</w:t>
            </w:r>
          </w:p>
        </w:tc>
        <w:tc>
          <w:tcPr>
            <w:tcW w:w="4110" w:type="dxa"/>
            <w:vAlign w:val="center"/>
          </w:tcPr>
          <w:p w14:paraId="7CBFABB7">
            <w:pPr>
              <w:spacing w:before="120" w:beforeLines="50" w:after="120" w:afterLines="50" w:line="276" w:lineRule="auto"/>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符合</w:t>
            </w:r>
            <w:r>
              <w:rPr>
                <w:rFonts w:hint="eastAsia" w:asciiTheme="minorEastAsia" w:hAnsiTheme="minorEastAsia" w:eastAsiaTheme="minorEastAsia"/>
                <w:color w:val="auto"/>
                <w:szCs w:val="21"/>
                <w:highlight w:val="none"/>
              </w:rPr>
              <w:t>第四章“投标文件格式”中“商务报价文件”第（五）项第4条规定</w:t>
            </w:r>
          </w:p>
        </w:tc>
      </w:tr>
      <w:tr w14:paraId="41E0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7" w:type="dxa"/>
            <w:vMerge w:val="continue"/>
            <w:vAlign w:val="center"/>
          </w:tcPr>
          <w:p w14:paraId="7FC31F87">
            <w:pPr>
              <w:snapToGrid w:val="0"/>
              <w:spacing w:line="360" w:lineRule="auto"/>
              <w:jc w:val="center"/>
              <w:rPr>
                <w:rFonts w:hint="eastAsia" w:asciiTheme="minorEastAsia" w:hAnsiTheme="minorEastAsia" w:eastAsiaTheme="minorEastAsia"/>
                <w:color w:val="auto"/>
                <w:szCs w:val="21"/>
                <w:highlight w:val="none"/>
              </w:rPr>
            </w:pPr>
          </w:p>
        </w:tc>
        <w:tc>
          <w:tcPr>
            <w:tcW w:w="1610" w:type="dxa"/>
            <w:vMerge w:val="continue"/>
            <w:vAlign w:val="center"/>
          </w:tcPr>
          <w:p w14:paraId="7B9D7613">
            <w:pPr>
              <w:snapToGrid w:val="0"/>
              <w:spacing w:line="276" w:lineRule="auto"/>
              <w:jc w:val="center"/>
              <w:rPr>
                <w:rFonts w:hint="eastAsia" w:asciiTheme="minorEastAsia" w:hAnsiTheme="minorEastAsia" w:eastAsiaTheme="minorEastAsia"/>
                <w:color w:val="auto"/>
                <w:szCs w:val="21"/>
                <w:highlight w:val="none"/>
              </w:rPr>
            </w:pPr>
          </w:p>
        </w:tc>
        <w:tc>
          <w:tcPr>
            <w:tcW w:w="2410" w:type="dxa"/>
            <w:vAlign w:val="center"/>
          </w:tcPr>
          <w:p w14:paraId="62C7B6CE">
            <w:pPr>
              <w:spacing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其他</w:t>
            </w:r>
          </w:p>
        </w:tc>
        <w:tc>
          <w:tcPr>
            <w:tcW w:w="4110" w:type="dxa"/>
            <w:vAlign w:val="center"/>
          </w:tcPr>
          <w:p w14:paraId="22BCD913">
            <w:pPr>
              <w:spacing w:line="276" w:lineRule="auto"/>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不存在</w:t>
            </w:r>
            <w:r>
              <w:rPr>
                <w:rFonts w:asciiTheme="minorEastAsia" w:hAnsiTheme="minorEastAsia" w:eastAsiaTheme="minorEastAsia"/>
                <w:color w:val="auto"/>
                <w:szCs w:val="21"/>
                <w:highlight w:val="none"/>
              </w:rPr>
              <w:t>第</w:t>
            </w:r>
            <w:r>
              <w:rPr>
                <w:rFonts w:hint="eastAsia" w:asciiTheme="minorEastAsia" w:hAnsiTheme="minorEastAsia" w:eastAsiaTheme="minorEastAsia"/>
                <w:color w:val="auto"/>
                <w:szCs w:val="21"/>
                <w:highlight w:val="none"/>
              </w:rPr>
              <w:t>七</w:t>
            </w:r>
            <w:r>
              <w:rPr>
                <w:rFonts w:asciiTheme="minorEastAsia" w:hAnsiTheme="minorEastAsia" w:eastAsiaTheme="minorEastAsia"/>
                <w:color w:val="auto"/>
                <w:szCs w:val="21"/>
                <w:highlight w:val="none"/>
              </w:rPr>
              <w:t>章“评标办法”附件B</w:t>
            </w:r>
            <w:r>
              <w:rPr>
                <w:rFonts w:hint="eastAsia" w:asciiTheme="minorEastAsia" w:hAnsiTheme="minorEastAsia" w:eastAsiaTheme="minorEastAsia"/>
                <w:color w:val="auto"/>
                <w:szCs w:val="21"/>
                <w:highlight w:val="none"/>
              </w:rPr>
              <w:t>中</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任何一种情形</w:t>
            </w:r>
          </w:p>
        </w:tc>
      </w:tr>
      <w:tr w14:paraId="1734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37" w:type="dxa"/>
            <w:vAlign w:val="center"/>
          </w:tcPr>
          <w:p w14:paraId="5B771035">
            <w:pPr>
              <w:snapToGrid w:val="0"/>
              <w:rPr>
                <w:rFonts w:hint="eastAsia"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条款号</w:t>
            </w:r>
          </w:p>
        </w:tc>
        <w:tc>
          <w:tcPr>
            <w:tcW w:w="4020" w:type="dxa"/>
            <w:gridSpan w:val="2"/>
            <w:vAlign w:val="center"/>
          </w:tcPr>
          <w:p w14:paraId="01B59B79">
            <w:pPr>
              <w:snapToGrid w:val="0"/>
              <w:ind w:firstLine="422"/>
              <w:jc w:val="center"/>
              <w:rPr>
                <w:rFonts w:hint="eastAsia"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条款内容</w:t>
            </w:r>
          </w:p>
        </w:tc>
        <w:tc>
          <w:tcPr>
            <w:tcW w:w="4110" w:type="dxa"/>
            <w:vAlign w:val="center"/>
          </w:tcPr>
          <w:p w14:paraId="2F1A18BF">
            <w:pPr>
              <w:snapToGrid w:val="0"/>
              <w:ind w:firstLine="422"/>
              <w:jc w:val="center"/>
              <w:rPr>
                <w:rFonts w:hint="eastAsia"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编列内容</w:t>
            </w:r>
          </w:p>
        </w:tc>
      </w:tr>
      <w:tr w14:paraId="57E4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937" w:type="dxa"/>
            <w:vAlign w:val="center"/>
          </w:tcPr>
          <w:p w14:paraId="4529AB16">
            <w:pPr>
              <w:snapToGrid w:val="0"/>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1</w:t>
            </w:r>
          </w:p>
        </w:tc>
        <w:tc>
          <w:tcPr>
            <w:tcW w:w="4020" w:type="dxa"/>
            <w:gridSpan w:val="2"/>
            <w:vAlign w:val="center"/>
          </w:tcPr>
          <w:p w14:paraId="6A95426E">
            <w:pPr>
              <w:snapToGrid w:val="0"/>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分值构成</w:t>
            </w:r>
          </w:p>
          <w:p w14:paraId="7B227530">
            <w:pPr>
              <w:snapToGrid w:val="0"/>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（技术部分满分70分；</w:t>
            </w:r>
          </w:p>
          <w:p w14:paraId="73F69C9C">
            <w:pPr>
              <w:snapToGrid w:val="0"/>
              <w:spacing w:line="360" w:lineRule="auto"/>
              <w:jc w:val="center"/>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商务部分满分30分。）</w:t>
            </w:r>
          </w:p>
        </w:tc>
        <w:tc>
          <w:tcPr>
            <w:tcW w:w="4110" w:type="dxa"/>
            <w:vAlign w:val="center"/>
          </w:tcPr>
          <w:p w14:paraId="56E2F558">
            <w:pPr>
              <w:autoSpaceDE w:val="0"/>
              <w:autoSpaceDN w:val="0"/>
              <w:adjustRightInd w:val="0"/>
              <w:spacing w:before="120" w:beforeLines="50" w:line="360" w:lineRule="auto"/>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供应商的综合得分计算公式：Z=J+S。</w:t>
            </w:r>
          </w:p>
          <w:p w14:paraId="5BEB27BB">
            <w:pPr>
              <w:autoSpaceDE w:val="0"/>
              <w:autoSpaceDN w:val="0"/>
              <w:adjustRightInd w:val="0"/>
              <w:spacing w:line="360" w:lineRule="auto"/>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式中：Z为供应商的综合得分；</w:t>
            </w:r>
          </w:p>
          <w:p w14:paraId="676006F3">
            <w:pPr>
              <w:autoSpaceDE w:val="0"/>
              <w:autoSpaceDN w:val="0"/>
              <w:adjustRightInd w:val="0"/>
              <w:spacing w:line="360" w:lineRule="auto"/>
              <w:ind w:firstLine="630" w:firstLineChars="3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J为供应商的技术部分得分；</w:t>
            </w:r>
          </w:p>
          <w:p w14:paraId="69F78632">
            <w:pPr>
              <w:autoSpaceDE w:val="0"/>
              <w:autoSpaceDN w:val="0"/>
              <w:adjustRightInd w:val="0"/>
              <w:spacing w:line="360" w:lineRule="auto"/>
              <w:ind w:firstLine="630" w:firstLineChars="300"/>
              <w:jc w:val="left"/>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S为供应商的商务部分得分。</w:t>
            </w:r>
          </w:p>
        </w:tc>
      </w:tr>
      <w:tr w14:paraId="1D04B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37" w:type="dxa"/>
            <w:vAlign w:val="center"/>
          </w:tcPr>
          <w:p w14:paraId="64762720">
            <w:pPr>
              <w:snapToGrid w:val="0"/>
              <w:jc w:val="left"/>
              <w:rPr>
                <w:rFonts w:hint="eastAsia" w:ascii="宋体" w:hAnsi="宋体"/>
                <w:b/>
                <w:color w:val="auto"/>
                <w:szCs w:val="21"/>
                <w:highlight w:val="none"/>
              </w:rPr>
            </w:pPr>
            <w:r>
              <w:rPr>
                <w:rFonts w:ascii="宋体" w:hAnsi="宋体"/>
                <w:b/>
                <w:color w:val="auto"/>
                <w:szCs w:val="21"/>
                <w:highlight w:val="none"/>
              </w:rPr>
              <w:t>条款号</w:t>
            </w:r>
          </w:p>
        </w:tc>
        <w:tc>
          <w:tcPr>
            <w:tcW w:w="1610" w:type="dxa"/>
            <w:vAlign w:val="center"/>
          </w:tcPr>
          <w:p w14:paraId="23C7DC88">
            <w:pPr>
              <w:snapToGrid w:val="0"/>
              <w:ind w:firstLine="422"/>
              <w:jc w:val="left"/>
              <w:rPr>
                <w:rFonts w:hint="eastAsia" w:ascii="宋体" w:hAnsi="宋体" w:cs="宋体"/>
                <w:b/>
                <w:color w:val="auto"/>
                <w:szCs w:val="21"/>
                <w:highlight w:val="none"/>
              </w:rPr>
            </w:pPr>
            <w:r>
              <w:rPr>
                <w:rFonts w:ascii="宋体" w:hAnsi="宋体"/>
                <w:b/>
                <w:color w:val="auto"/>
                <w:szCs w:val="21"/>
                <w:highlight w:val="none"/>
              </w:rPr>
              <w:t>评审因素</w:t>
            </w:r>
          </w:p>
        </w:tc>
        <w:tc>
          <w:tcPr>
            <w:tcW w:w="2410" w:type="dxa"/>
            <w:vAlign w:val="center"/>
          </w:tcPr>
          <w:p w14:paraId="45640215">
            <w:pPr>
              <w:snapToGrid w:val="0"/>
              <w:ind w:firstLine="422"/>
              <w:jc w:val="left"/>
              <w:rPr>
                <w:rFonts w:hint="eastAsia" w:ascii="宋体" w:hAnsi="宋体" w:cs="宋体"/>
                <w:b/>
                <w:color w:val="auto"/>
                <w:szCs w:val="21"/>
                <w:highlight w:val="none"/>
              </w:rPr>
            </w:pPr>
            <w:r>
              <w:rPr>
                <w:rFonts w:hint="eastAsia" w:ascii="宋体" w:hAnsi="宋体" w:cs="宋体"/>
                <w:b/>
                <w:color w:val="auto"/>
                <w:szCs w:val="21"/>
                <w:highlight w:val="none"/>
              </w:rPr>
              <w:t>评审内容</w:t>
            </w:r>
          </w:p>
        </w:tc>
        <w:tc>
          <w:tcPr>
            <w:tcW w:w="4110" w:type="dxa"/>
            <w:vAlign w:val="center"/>
          </w:tcPr>
          <w:p w14:paraId="28B0ADB5">
            <w:pPr>
              <w:snapToGrid w:val="0"/>
              <w:jc w:val="center"/>
              <w:rPr>
                <w:rFonts w:hint="eastAsia" w:ascii="宋体" w:hAnsi="宋体" w:cs="宋体"/>
                <w:b/>
                <w:color w:val="auto"/>
                <w:szCs w:val="21"/>
                <w:highlight w:val="none"/>
              </w:rPr>
            </w:pPr>
            <w:r>
              <w:rPr>
                <w:rFonts w:hint="eastAsia" w:ascii="宋体" w:hAnsi="宋体"/>
                <w:b/>
                <w:color w:val="auto"/>
                <w:szCs w:val="21"/>
                <w:highlight w:val="none"/>
              </w:rPr>
              <w:t>评审标准</w:t>
            </w:r>
          </w:p>
        </w:tc>
      </w:tr>
      <w:tr w14:paraId="11A2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37" w:type="dxa"/>
            <w:vMerge w:val="restart"/>
            <w:vAlign w:val="center"/>
          </w:tcPr>
          <w:p w14:paraId="58DCD342">
            <w:pPr>
              <w:spacing w:before="120" w:beforeLines="50" w:line="360" w:lineRule="auto"/>
              <w:jc w:val="center"/>
              <w:rPr>
                <w:rFonts w:hint="eastAsia" w:ascii="宋体" w:hAnsi="宋体" w:cs="仿宋"/>
                <w:bCs/>
                <w:color w:val="auto"/>
                <w:szCs w:val="21"/>
                <w:highlight w:val="none"/>
              </w:rPr>
            </w:pPr>
            <w:r>
              <w:rPr>
                <w:rFonts w:hint="eastAsia" w:ascii="宋体" w:hAnsi="宋体" w:cs="仿宋"/>
                <w:bCs/>
                <w:color w:val="auto"/>
                <w:szCs w:val="21"/>
                <w:highlight w:val="none"/>
              </w:rPr>
              <w:t>2.2.2</w:t>
            </w:r>
          </w:p>
        </w:tc>
        <w:tc>
          <w:tcPr>
            <w:tcW w:w="1610" w:type="dxa"/>
            <w:vMerge w:val="restart"/>
            <w:vAlign w:val="center"/>
          </w:tcPr>
          <w:p w14:paraId="2AA16B1C">
            <w:pPr>
              <w:pStyle w:val="326"/>
              <w:spacing w:before="120" w:beforeLines="50" w:line="360" w:lineRule="auto"/>
              <w:jc w:val="center"/>
              <w:rPr>
                <w:rFonts w:hint="eastAsia"/>
                <w:color w:val="auto"/>
                <w:sz w:val="21"/>
                <w:szCs w:val="21"/>
                <w:highlight w:val="none"/>
                <w:lang w:eastAsia="zh-CN"/>
              </w:rPr>
            </w:pPr>
            <w:r>
              <w:rPr>
                <w:rFonts w:hint="eastAsia"/>
                <w:color w:val="auto"/>
                <w:sz w:val="21"/>
                <w:szCs w:val="21"/>
                <w:highlight w:val="none"/>
                <w:lang w:eastAsia="zh-CN"/>
              </w:rPr>
              <w:t>技术部分</w:t>
            </w:r>
          </w:p>
          <w:p w14:paraId="0D96ECBD">
            <w:pPr>
              <w:pStyle w:val="326"/>
              <w:spacing w:before="0" w:line="360" w:lineRule="auto"/>
              <w:jc w:val="center"/>
              <w:rPr>
                <w:rFonts w:hint="eastAsia"/>
                <w:color w:val="auto"/>
                <w:sz w:val="21"/>
                <w:szCs w:val="21"/>
                <w:highlight w:val="none"/>
                <w:lang w:eastAsia="zh-CN"/>
              </w:rPr>
            </w:pPr>
            <w:r>
              <w:rPr>
                <w:rFonts w:hint="eastAsia"/>
                <w:color w:val="auto"/>
                <w:sz w:val="21"/>
                <w:szCs w:val="21"/>
                <w:highlight w:val="none"/>
                <w:lang w:eastAsia="zh-CN"/>
              </w:rPr>
              <w:t>评审标准</w:t>
            </w:r>
          </w:p>
          <w:p w14:paraId="7204C0C9">
            <w:pPr>
              <w:pStyle w:val="326"/>
              <w:spacing w:before="0" w:line="360" w:lineRule="auto"/>
              <w:jc w:val="center"/>
              <w:rPr>
                <w:rFonts w:hint="eastAsia"/>
                <w:color w:val="auto"/>
                <w:sz w:val="21"/>
                <w:szCs w:val="21"/>
                <w:highlight w:val="none"/>
                <w:lang w:eastAsia="zh-CN"/>
              </w:rPr>
            </w:pPr>
            <w:r>
              <w:rPr>
                <w:rFonts w:hint="eastAsia"/>
                <w:color w:val="auto"/>
                <w:sz w:val="21"/>
                <w:szCs w:val="21"/>
                <w:highlight w:val="none"/>
                <w:lang w:eastAsia="zh-CN"/>
              </w:rPr>
              <w:t>（满分70分）</w:t>
            </w:r>
          </w:p>
        </w:tc>
        <w:tc>
          <w:tcPr>
            <w:tcW w:w="2410" w:type="dxa"/>
            <w:vAlign w:val="center"/>
          </w:tcPr>
          <w:p w14:paraId="3B64CCB7">
            <w:pPr>
              <w:pStyle w:val="47"/>
              <w:rPr>
                <w:rFonts w:hint="eastAsia"/>
                <w:color w:val="auto"/>
                <w:sz w:val="21"/>
                <w:szCs w:val="21"/>
                <w:highlight w:val="none"/>
              </w:rPr>
            </w:pPr>
            <w:r>
              <w:rPr>
                <w:rFonts w:hint="eastAsia"/>
                <w:color w:val="auto"/>
                <w:sz w:val="21"/>
                <w:szCs w:val="21"/>
                <w:highlight w:val="none"/>
              </w:rPr>
              <w:t>供货及实施方案及承诺</w:t>
            </w:r>
          </w:p>
          <w:p w14:paraId="250E5F53">
            <w:pPr>
              <w:pStyle w:val="47"/>
              <w:spacing w:before="0" w:beforeLines="0"/>
              <w:rPr>
                <w:rFonts w:hint="eastAsia"/>
                <w:color w:val="auto"/>
                <w:sz w:val="21"/>
                <w:szCs w:val="21"/>
                <w:highlight w:val="none"/>
              </w:rPr>
            </w:pPr>
            <w:r>
              <w:rPr>
                <w:rFonts w:hint="eastAsia"/>
                <w:color w:val="auto"/>
                <w:sz w:val="21"/>
                <w:szCs w:val="21"/>
                <w:highlight w:val="none"/>
              </w:rPr>
              <w:t>评审评分</w:t>
            </w:r>
          </w:p>
          <w:p w14:paraId="336BBAA3">
            <w:pPr>
              <w:pStyle w:val="47"/>
              <w:spacing w:before="0" w:beforeLines="0"/>
              <w:rPr>
                <w:rFonts w:hint="eastAsia"/>
                <w:color w:val="auto"/>
                <w:sz w:val="21"/>
                <w:szCs w:val="21"/>
                <w:highlight w:val="none"/>
              </w:rPr>
            </w:pPr>
            <w:r>
              <w:rPr>
                <w:rFonts w:hint="eastAsia"/>
                <w:color w:val="auto"/>
                <w:sz w:val="21"/>
                <w:szCs w:val="21"/>
                <w:highlight w:val="none"/>
              </w:rPr>
              <w:t>（满分28分）</w:t>
            </w:r>
          </w:p>
        </w:tc>
        <w:tc>
          <w:tcPr>
            <w:tcW w:w="4110" w:type="dxa"/>
            <w:vAlign w:val="center"/>
          </w:tcPr>
          <w:p w14:paraId="46E3BDA1">
            <w:pPr>
              <w:adjustRightInd w:val="0"/>
              <w:spacing w:before="120" w:beforeLines="50" w:line="360" w:lineRule="auto"/>
              <w:jc w:val="left"/>
              <w:rPr>
                <w:rFonts w:hint="eastAsia" w:ascii="宋体" w:hAnsi="宋体"/>
                <w:color w:val="auto"/>
                <w:szCs w:val="21"/>
                <w:highlight w:val="none"/>
              </w:rPr>
            </w:pPr>
            <w:r>
              <w:rPr>
                <w:rFonts w:hint="eastAsia" w:ascii="宋体" w:hAnsi="宋体" w:cs="宋体"/>
                <w:color w:val="auto"/>
                <w:szCs w:val="21"/>
                <w:highlight w:val="none"/>
              </w:rPr>
              <w:t>根据供应商提供的</w:t>
            </w:r>
            <w:r>
              <w:rPr>
                <w:rFonts w:hint="eastAsia" w:ascii="宋体" w:hAnsi="宋体"/>
                <w:color w:val="auto"/>
                <w:szCs w:val="21"/>
                <w:highlight w:val="none"/>
              </w:rPr>
              <w:t>供货及实施方案及承诺</w:t>
            </w:r>
            <w:r>
              <w:rPr>
                <w:rFonts w:hint="eastAsia" w:ascii="宋体" w:hAnsi="宋体" w:cs="宋体"/>
                <w:color w:val="auto"/>
                <w:szCs w:val="21"/>
                <w:highlight w:val="none"/>
              </w:rPr>
              <w:t>整体情况进行评审评分（包括但不限于：设备运输、安装、调试工作，技术人员投入，培训计划，交货期保证措施及承诺等</w:t>
            </w:r>
            <w:r>
              <w:rPr>
                <w:rFonts w:hint="eastAsia" w:ascii="宋体" w:hAnsi="宋体"/>
                <w:color w:val="auto"/>
                <w:szCs w:val="21"/>
                <w:highlight w:val="none"/>
              </w:rPr>
              <w:t>）。</w:t>
            </w:r>
          </w:p>
          <w:p w14:paraId="29EEAF18">
            <w:pPr>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供货及实施方案</w:t>
            </w:r>
            <w:r>
              <w:rPr>
                <w:rFonts w:hint="eastAsia" w:ascii="宋体" w:hAnsi="宋体" w:cs="宋体"/>
                <w:color w:val="auto"/>
                <w:szCs w:val="21"/>
                <w:highlight w:val="none"/>
              </w:rPr>
              <w:t>内容详细、全面，有具体的违约责任承诺的，得28分；</w:t>
            </w:r>
          </w:p>
          <w:p w14:paraId="44BFEAE2">
            <w:pPr>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供货及实施方案及承诺内容中</w:t>
            </w:r>
            <w:r>
              <w:rPr>
                <w:rFonts w:hint="eastAsia" w:ascii="宋体" w:hAnsi="宋体" w:cs="宋体"/>
                <w:color w:val="auto"/>
                <w:szCs w:val="21"/>
                <w:highlight w:val="none"/>
              </w:rPr>
              <w:t>每</w:t>
            </w:r>
            <w:r>
              <w:rPr>
                <w:rFonts w:hint="eastAsia" w:ascii="宋体" w:hAnsi="宋体"/>
                <w:color w:val="auto"/>
                <w:kern w:val="0"/>
                <w:szCs w:val="21"/>
                <w:highlight w:val="none"/>
              </w:rPr>
              <w:t>缺失一项</w:t>
            </w:r>
            <w:r>
              <w:rPr>
                <w:rFonts w:hint="eastAsia" w:ascii="宋体" w:hAnsi="宋体" w:cs="宋体"/>
                <w:color w:val="auto"/>
                <w:szCs w:val="21"/>
                <w:highlight w:val="none"/>
              </w:rPr>
              <w:t>的，扣7分；违约责任承诺不具体的，</w:t>
            </w:r>
            <w:r>
              <w:rPr>
                <w:rFonts w:hint="eastAsia" w:ascii="宋体" w:hAnsi="宋体"/>
                <w:color w:val="auto"/>
                <w:kern w:val="0"/>
                <w:szCs w:val="21"/>
                <w:highlight w:val="none"/>
              </w:rPr>
              <w:t>扣3分；</w:t>
            </w:r>
            <w:r>
              <w:rPr>
                <w:rFonts w:hint="eastAsia" w:ascii="宋体" w:hAnsi="宋体"/>
                <w:color w:val="auto"/>
                <w:szCs w:val="21"/>
                <w:highlight w:val="none"/>
              </w:rPr>
              <w:t>每有一项不完善或不符合项目实际情况的，扣2分。</w:t>
            </w:r>
          </w:p>
        </w:tc>
      </w:tr>
      <w:tr w14:paraId="5A78D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37" w:type="dxa"/>
            <w:vMerge w:val="continue"/>
            <w:vAlign w:val="center"/>
          </w:tcPr>
          <w:p w14:paraId="2B793C14">
            <w:pPr>
              <w:spacing w:line="360" w:lineRule="auto"/>
              <w:jc w:val="left"/>
              <w:rPr>
                <w:rFonts w:hint="eastAsia" w:ascii="宋体" w:hAnsi="宋体" w:cs="仿宋"/>
                <w:bCs/>
                <w:color w:val="auto"/>
                <w:szCs w:val="21"/>
                <w:highlight w:val="none"/>
              </w:rPr>
            </w:pPr>
          </w:p>
        </w:tc>
        <w:tc>
          <w:tcPr>
            <w:tcW w:w="1610" w:type="dxa"/>
            <w:vMerge w:val="continue"/>
            <w:vAlign w:val="center"/>
          </w:tcPr>
          <w:p w14:paraId="65028735">
            <w:pPr>
              <w:pStyle w:val="326"/>
              <w:spacing w:before="120" w:beforeLines="50" w:line="360" w:lineRule="auto"/>
              <w:rPr>
                <w:rFonts w:hint="eastAsia"/>
                <w:color w:val="auto"/>
                <w:sz w:val="21"/>
                <w:szCs w:val="21"/>
                <w:highlight w:val="none"/>
                <w:lang w:eastAsia="zh-CN"/>
              </w:rPr>
            </w:pPr>
          </w:p>
        </w:tc>
        <w:tc>
          <w:tcPr>
            <w:tcW w:w="2410" w:type="dxa"/>
            <w:vAlign w:val="center"/>
          </w:tcPr>
          <w:p w14:paraId="2D09E215">
            <w:pPr>
              <w:pStyle w:val="47"/>
              <w:spacing w:before="0" w:beforeLines="0"/>
              <w:rPr>
                <w:rFonts w:hint="eastAsia"/>
                <w:color w:val="auto"/>
                <w:sz w:val="21"/>
                <w:szCs w:val="21"/>
                <w:highlight w:val="none"/>
              </w:rPr>
            </w:pPr>
            <w:r>
              <w:rPr>
                <w:rFonts w:hint="eastAsia"/>
                <w:color w:val="auto"/>
                <w:sz w:val="21"/>
                <w:szCs w:val="21"/>
                <w:highlight w:val="none"/>
              </w:rPr>
              <w:t>实验室改造方案及承诺</w:t>
            </w:r>
          </w:p>
          <w:p w14:paraId="6F3313B2">
            <w:pPr>
              <w:pStyle w:val="47"/>
              <w:spacing w:before="0" w:beforeLines="0"/>
              <w:rPr>
                <w:rFonts w:hint="eastAsia"/>
                <w:color w:val="auto"/>
                <w:sz w:val="21"/>
                <w:szCs w:val="21"/>
                <w:highlight w:val="none"/>
              </w:rPr>
            </w:pPr>
            <w:r>
              <w:rPr>
                <w:rFonts w:hint="eastAsia"/>
                <w:color w:val="auto"/>
                <w:sz w:val="21"/>
                <w:szCs w:val="21"/>
                <w:highlight w:val="none"/>
              </w:rPr>
              <w:t>评审评分</w:t>
            </w:r>
          </w:p>
          <w:p w14:paraId="15878C3A">
            <w:pPr>
              <w:pStyle w:val="47"/>
              <w:spacing w:before="0" w:beforeLines="0"/>
              <w:rPr>
                <w:rFonts w:hint="eastAsia"/>
                <w:color w:val="auto"/>
                <w:sz w:val="21"/>
                <w:szCs w:val="21"/>
                <w:highlight w:val="none"/>
              </w:rPr>
            </w:pPr>
            <w:r>
              <w:rPr>
                <w:rFonts w:hint="eastAsia"/>
                <w:color w:val="auto"/>
                <w:sz w:val="21"/>
                <w:szCs w:val="21"/>
                <w:highlight w:val="none"/>
              </w:rPr>
              <w:t>（满分20分）</w:t>
            </w:r>
          </w:p>
        </w:tc>
        <w:tc>
          <w:tcPr>
            <w:tcW w:w="4110" w:type="dxa"/>
            <w:vAlign w:val="center"/>
          </w:tcPr>
          <w:p w14:paraId="0C1B4A97">
            <w:pPr>
              <w:adjustRightInd w:val="0"/>
              <w:spacing w:before="120" w:beforeLines="50" w:line="360" w:lineRule="auto"/>
              <w:jc w:val="left"/>
              <w:rPr>
                <w:rFonts w:hint="eastAsia" w:ascii="宋体" w:hAnsi="宋体"/>
                <w:color w:val="auto"/>
                <w:szCs w:val="21"/>
                <w:highlight w:val="none"/>
              </w:rPr>
            </w:pPr>
            <w:r>
              <w:rPr>
                <w:rFonts w:hint="eastAsia" w:ascii="宋体" w:hAnsi="宋体" w:cs="宋体"/>
                <w:color w:val="auto"/>
                <w:szCs w:val="21"/>
                <w:highlight w:val="none"/>
              </w:rPr>
              <w:t>根据供应商提供的</w:t>
            </w:r>
            <w:r>
              <w:rPr>
                <w:rFonts w:hint="eastAsia" w:ascii="宋体" w:hAnsi="宋体"/>
                <w:color w:val="auto"/>
                <w:szCs w:val="21"/>
                <w:highlight w:val="none"/>
              </w:rPr>
              <w:t>实验室改造方案及承诺</w:t>
            </w:r>
            <w:r>
              <w:rPr>
                <w:rFonts w:hint="eastAsia" w:ascii="宋体" w:hAnsi="宋体" w:cs="宋体"/>
                <w:color w:val="auto"/>
                <w:szCs w:val="21"/>
                <w:highlight w:val="none"/>
              </w:rPr>
              <w:t>整体情况进行评审评分（包括但不限于：实施方案，质量保证措施，工期安排及保证措施，违约责任承诺等</w:t>
            </w:r>
            <w:r>
              <w:rPr>
                <w:rFonts w:hint="eastAsia" w:ascii="宋体" w:hAnsi="宋体"/>
                <w:color w:val="auto"/>
                <w:szCs w:val="21"/>
                <w:highlight w:val="none"/>
              </w:rPr>
              <w:t>）。</w:t>
            </w:r>
          </w:p>
          <w:p w14:paraId="0E093B34">
            <w:pPr>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（1）实验室改造方案内容详细、全面，有具体的违约责任承诺的，得20分；</w:t>
            </w:r>
          </w:p>
          <w:p w14:paraId="13310426">
            <w:pPr>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（2）实验室改造方案及承诺内容</w:t>
            </w:r>
            <w:r>
              <w:rPr>
                <w:rFonts w:hint="eastAsia" w:ascii="宋体" w:hAnsi="宋体"/>
                <w:color w:val="auto"/>
                <w:szCs w:val="21"/>
                <w:highlight w:val="none"/>
              </w:rPr>
              <w:t>中</w:t>
            </w:r>
            <w:r>
              <w:rPr>
                <w:rFonts w:hint="eastAsia" w:ascii="宋体" w:hAnsi="宋体" w:cs="宋体"/>
                <w:color w:val="auto"/>
                <w:szCs w:val="21"/>
                <w:highlight w:val="none"/>
              </w:rPr>
              <w:t>每</w:t>
            </w:r>
            <w:r>
              <w:rPr>
                <w:rFonts w:hint="eastAsia" w:ascii="宋体" w:hAnsi="宋体"/>
                <w:color w:val="auto"/>
                <w:kern w:val="0"/>
                <w:szCs w:val="21"/>
                <w:highlight w:val="none"/>
              </w:rPr>
              <w:t>缺失一项</w:t>
            </w:r>
            <w:r>
              <w:rPr>
                <w:rFonts w:hint="eastAsia" w:ascii="宋体" w:hAnsi="宋体" w:cs="宋体"/>
                <w:color w:val="auto"/>
                <w:szCs w:val="21"/>
                <w:highlight w:val="none"/>
              </w:rPr>
              <w:t>的，扣5分；违约责任承诺不具体的，</w:t>
            </w:r>
            <w:r>
              <w:rPr>
                <w:rFonts w:hint="eastAsia" w:ascii="宋体" w:hAnsi="宋体"/>
                <w:color w:val="auto"/>
                <w:kern w:val="0"/>
                <w:szCs w:val="21"/>
                <w:highlight w:val="none"/>
              </w:rPr>
              <w:t>扣3分；</w:t>
            </w:r>
            <w:r>
              <w:rPr>
                <w:rFonts w:hint="eastAsia" w:ascii="宋体" w:hAnsi="宋体"/>
                <w:color w:val="auto"/>
                <w:szCs w:val="21"/>
                <w:highlight w:val="none"/>
              </w:rPr>
              <w:t>每有一项不完善或不符合项目实际情况的，扣2分。</w:t>
            </w:r>
          </w:p>
        </w:tc>
      </w:tr>
      <w:tr w14:paraId="5BCE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37" w:type="dxa"/>
            <w:vMerge w:val="continue"/>
            <w:vAlign w:val="center"/>
          </w:tcPr>
          <w:p w14:paraId="693D1070">
            <w:pPr>
              <w:spacing w:line="360" w:lineRule="auto"/>
              <w:jc w:val="left"/>
              <w:rPr>
                <w:rFonts w:hint="eastAsia" w:ascii="宋体" w:hAnsi="宋体" w:cs="仿宋"/>
                <w:bCs/>
                <w:color w:val="auto"/>
                <w:szCs w:val="21"/>
                <w:highlight w:val="none"/>
              </w:rPr>
            </w:pPr>
          </w:p>
        </w:tc>
        <w:tc>
          <w:tcPr>
            <w:tcW w:w="1610" w:type="dxa"/>
            <w:vMerge w:val="continue"/>
            <w:vAlign w:val="center"/>
          </w:tcPr>
          <w:p w14:paraId="66AC8C13">
            <w:pPr>
              <w:pStyle w:val="326"/>
              <w:spacing w:before="120" w:beforeLines="50" w:line="360" w:lineRule="auto"/>
              <w:rPr>
                <w:rFonts w:hint="eastAsia"/>
                <w:color w:val="auto"/>
                <w:sz w:val="21"/>
                <w:szCs w:val="21"/>
                <w:highlight w:val="none"/>
                <w:lang w:eastAsia="zh-CN"/>
              </w:rPr>
            </w:pPr>
          </w:p>
        </w:tc>
        <w:tc>
          <w:tcPr>
            <w:tcW w:w="2410" w:type="dxa"/>
            <w:vAlign w:val="center"/>
          </w:tcPr>
          <w:p w14:paraId="0486AA9E">
            <w:pPr>
              <w:pStyle w:val="47"/>
              <w:rPr>
                <w:rFonts w:hint="eastAsia"/>
                <w:color w:val="auto"/>
                <w:sz w:val="21"/>
                <w:szCs w:val="21"/>
                <w:highlight w:val="none"/>
              </w:rPr>
            </w:pPr>
            <w:r>
              <w:rPr>
                <w:rFonts w:hint="eastAsia"/>
                <w:color w:val="auto"/>
                <w:sz w:val="21"/>
                <w:szCs w:val="21"/>
                <w:highlight w:val="none"/>
              </w:rPr>
              <w:t>设备质量保证及承诺</w:t>
            </w:r>
          </w:p>
          <w:p w14:paraId="3D4C3096">
            <w:pPr>
              <w:pStyle w:val="47"/>
              <w:spacing w:before="0" w:beforeLines="0"/>
              <w:rPr>
                <w:rFonts w:hint="eastAsia"/>
                <w:color w:val="auto"/>
                <w:sz w:val="21"/>
                <w:szCs w:val="21"/>
                <w:highlight w:val="none"/>
              </w:rPr>
            </w:pPr>
            <w:r>
              <w:rPr>
                <w:rFonts w:hint="eastAsia"/>
                <w:color w:val="auto"/>
                <w:sz w:val="21"/>
                <w:szCs w:val="21"/>
                <w:highlight w:val="none"/>
              </w:rPr>
              <w:t>评审评分</w:t>
            </w:r>
          </w:p>
          <w:p w14:paraId="2EF0C562">
            <w:pPr>
              <w:pStyle w:val="47"/>
              <w:spacing w:before="0" w:beforeLines="0"/>
              <w:rPr>
                <w:rFonts w:hint="eastAsia"/>
                <w:color w:val="auto"/>
                <w:sz w:val="21"/>
                <w:szCs w:val="21"/>
                <w:highlight w:val="none"/>
              </w:rPr>
            </w:pPr>
            <w:r>
              <w:rPr>
                <w:rFonts w:hint="eastAsia"/>
                <w:color w:val="auto"/>
                <w:sz w:val="21"/>
                <w:szCs w:val="21"/>
                <w:highlight w:val="none"/>
              </w:rPr>
              <w:t>（满分10分）</w:t>
            </w:r>
          </w:p>
        </w:tc>
        <w:tc>
          <w:tcPr>
            <w:tcW w:w="4110" w:type="dxa"/>
            <w:vAlign w:val="center"/>
          </w:tcPr>
          <w:p w14:paraId="65D100BD">
            <w:pPr>
              <w:adjustRightInd w:val="0"/>
              <w:spacing w:before="120" w:beforeLines="5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根据供应商提供的</w:t>
            </w:r>
            <w:r>
              <w:rPr>
                <w:rFonts w:hint="eastAsia"/>
                <w:color w:val="auto"/>
                <w:szCs w:val="21"/>
                <w:highlight w:val="none"/>
              </w:rPr>
              <w:t>设备</w:t>
            </w:r>
            <w:r>
              <w:rPr>
                <w:rFonts w:hint="eastAsia" w:ascii="宋体" w:hAnsi="宋体" w:cs="宋体"/>
                <w:color w:val="auto"/>
                <w:szCs w:val="21"/>
                <w:highlight w:val="none"/>
              </w:rPr>
              <w:t>质量保证及承诺整体情况进行评审评分（包括但不限于：</w:t>
            </w:r>
            <w:r>
              <w:rPr>
                <w:rFonts w:hint="eastAsia"/>
                <w:color w:val="auto"/>
                <w:szCs w:val="21"/>
                <w:highlight w:val="none"/>
              </w:rPr>
              <w:t>设备</w:t>
            </w:r>
            <w:r>
              <w:rPr>
                <w:rFonts w:hint="eastAsia" w:ascii="宋体" w:hAnsi="宋体" w:cs="宋体"/>
                <w:color w:val="auto"/>
                <w:szCs w:val="21"/>
                <w:highlight w:val="none"/>
              </w:rPr>
              <w:t>质量保证，违约责任承诺等）。</w:t>
            </w:r>
          </w:p>
          <w:p w14:paraId="1E163F15">
            <w:pPr>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color w:val="auto"/>
                <w:szCs w:val="21"/>
                <w:highlight w:val="none"/>
              </w:rPr>
              <w:t>设备</w:t>
            </w:r>
            <w:r>
              <w:rPr>
                <w:rFonts w:hint="eastAsia" w:ascii="宋体" w:hAnsi="宋体" w:cs="宋体"/>
                <w:color w:val="auto"/>
                <w:szCs w:val="21"/>
                <w:highlight w:val="none"/>
              </w:rPr>
              <w:t>质量保证内容全面，有具体的违约责任承诺的，得10分；</w:t>
            </w:r>
          </w:p>
          <w:p w14:paraId="567EDC19">
            <w:pPr>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color w:val="auto"/>
                <w:szCs w:val="21"/>
                <w:highlight w:val="none"/>
              </w:rPr>
              <w:t>设备</w:t>
            </w:r>
            <w:r>
              <w:rPr>
                <w:rFonts w:hint="eastAsia" w:ascii="宋体" w:hAnsi="宋体" w:cs="宋体"/>
                <w:color w:val="auto"/>
                <w:szCs w:val="21"/>
                <w:highlight w:val="none"/>
              </w:rPr>
              <w:t>质量保证及承诺内容</w:t>
            </w:r>
            <w:r>
              <w:rPr>
                <w:rFonts w:hint="eastAsia" w:ascii="宋体" w:hAnsi="宋体"/>
                <w:color w:val="auto"/>
                <w:szCs w:val="21"/>
                <w:highlight w:val="none"/>
              </w:rPr>
              <w:t>中</w:t>
            </w:r>
            <w:r>
              <w:rPr>
                <w:rFonts w:hint="eastAsia" w:ascii="宋体" w:hAnsi="宋体" w:cs="宋体"/>
                <w:color w:val="auto"/>
                <w:szCs w:val="21"/>
                <w:highlight w:val="none"/>
              </w:rPr>
              <w:t>每</w:t>
            </w:r>
            <w:r>
              <w:rPr>
                <w:rFonts w:hint="eastAsia" w:ascii="宋体" w:hAnsi="宋体"/>
                <w:color w:val="auto"/>
                <w:kern w:val="0"/>
                <w:szCs w:val="21"/>
                <w:highlight w:val="none"/>
              </w:rPr>
              <w:t>缺失一项</w:t>
            </w:r>
            <w:r>
              <w:rPr>
                <w:rFonts w:hint="eastAsia" w:ascii="宋体" w:hAnsi="宋体" w:cs="宋体"/>
                <w:color w:val="auto"/>
                <w:szCs w:val="21"/>
                <w:highlight w:val="none"/>
              </w:rPr>
              <w:t>的，扣5分，违约责任承诺不具体的，</w:t>
            </w:r>
            <w:r>
              <w:rPr>
                <w:rFonts w:hint="eastAsia" w:ascii="宋体" w:hAnsi="宋体"/>
                <w:color w:val="auto"/>
                <w:kern w:val="0"/>
                <w:szCs w:val="21"/>
                <w:highlight w:val="none"/>
              </w:rPr>
              <w:t>扣3分；</w:t>
            </w:r>
            <w:r>
              <w:rPr>
                <w:rFonts w:hint="eastAsia" w:ascii="宋体" w:hAnsi="宋体"/>
                <w:color w:val="auto"/>
                <w:szCs w:val="21"/>
                <w:highlight w:val="none"/>
              </w:rPr>
              <w:t>每有一项不完善或不符合项目实际情况的，扣2分</w:t>
            </w:r>
            <w:r>
              <w:rPr>
                <w:rFonts w:hint="eastAsia" w:ascii="宋体" w:hAnsi="宋体" w:cs="宋体"/>
                <w:color w:val="auto"/>
                <w:szCs w:val="21"/>
                <w:highlight w:val="none"/>
              </w:rPr>
              <w:t>。</w:t>
            </w:r>
          </w:p>
        </w:tc>
      </w:tr>
      <w:tr w14:paraId="6E57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37" w:type="dxa"/>
            <w:vMerge w:val="continue"/>
            <w:vAlign w:val="center"/>
          </w:tcPr>
          <w:p w14:paraId="1ECDCC63">
            <w:pPr>
              <w:spacing w:line="360" w:lineRule="auto"/>
              <w:jc w:val="left"/>
              <w:rPr>
                <w:rFonts w:hint="eastAsia" w:ascii="宋体" w:hAnsi="宋体" w:cs="仿宋"/>
                <w:bCs/>
                <w:color w:val="auto"/>
                <w:szCs w:val="21"/>
                <w:highlight w:val="none"/>
              </w:rPr>
            </w:pPr>
          </w:p>
        </w:tc>
        <w:tc>
          <w:tcPr>
            <w:tcW w:w="1610" w:type="dxa"/>
            <w:vMerge w:val="continue"/>
            <w:vAlign w:val="center"/>
          </w:tcPr>
          <w:p w14:paraId="5826C6B5">
            <w:pPr>
              <w:pStyle w:val="326"/>
              <w:spacing w:before="120" w:beforeLines="50" w:line="360" w:lineRule="auto"/>
              <w:rPr>
                <w:rFonts w:hint="eastAsia"/>
                <w:color w:val="auto"/>
                <w:sz w:val="21"/>
                <w:szCs w:val="21"/>
                <w:highlight w:val="none"/>
                <w:lang w:eastAsia="zh-CN"/>
              </w:rPr>
            </w:pPr>
          </w:p>
        </w:tc>
        <w:tc>
          <w:tcPr>
            <w:tcW w:w="2410" w:type="dxa"/>
            <w:vAlign w:val="center"/>
          </w:tcPr>
          <w:p w14:paraId="62A1F84D">
            <w:pPr>
              <w:pStyle w:val="47"/>
              <w:rPr>
                <w:rFonts w:hint="eastAsia"/>
                <w:color w:val="auto"/>
                <w:sz w:val="21"/>
                <w:szCs w:val="21"/>
                <w:highlight w:val="none"/>
              </w:rPr>
            </w:pPr>
            <w:r>
              <w:rPr>
                <w:rFonts w:hint="eastAsia"/>
                <w:color w:val="auto"/>
                <w:sz w:val="21"/>
                <w:szCs w:val="21"/>
                <w:highlight w:val="none"/>
              </w:rPr>
              <w:t>售后服务保证措施及</w:t>
            </w:r>
          </w:p>
          <w:p w14:paraId="7ABF870C">
            <w:pPr>
              <w:pStyle w:val="47"/>
              <w:spacing w:before="0" w:beforeLines="0"/>
              <w:rPr>
                <w:rFonts w:hint="eastAsia"/>
                <w:color w:val="auto"/>
                <w:sz w:val="21"/>
                <w:szCs w:val="21"/>
                <w:highlight w:val="none"/>
              </w:rPr>
            </w:pPr>
            <w:r>
              <w:rPr>
                <w:rFonts w:hint="eastAsia"/>
                <w:color w:val="auto"/>
                <w:sz w:val="21"/>
                <w:szCs w:val="21"/>
                <w:highlight w:val="none"/>
              </w:rPr>
              <w:t>承诺</w:t>
            </w:r>
          </w:p>
          <w:p w14:paraId="20ACD8D6">
            <w:pPr>
              <w:pStyle w:val="47"/>
              <w:spacing w:before="0" w:beforeLines="0"/>
              <w:rPr>
                <w:rFonts w:hint="eastAsia"/>
                <w:color w:val="auto"/>
                <w:sz w:val="21"/>
                <w:szCs w:val="21"/>
                <w:highlight w:val="none"/>
              </w:rPr>
            </w:pPr>
            <w:r>
              <w:rPr>
                <w:color w:val="auto"/>
                <w:sz w:val="21"/>
                <w:szCs w:val="21"/>
                <w:highlight w:val="none"/>
              </w:rPr>
              <w:t>评审评分</w:t>
            </w:r>
          </w:p>
          <w:p w14:paraId="22075ECA">
            <w:pPr>
              <w:pStyle w:val="47"/>
              <w:spacing w:before="0" w:beforeLines="0"/>
              <w:rPr>
                <w:rFonts w:hint="eastAsia" w:cs="Times New Roman"/>
                <w:color w:val="auto"/>
                <w:kern w:val="2"/>
                <w:sz w:val="21"/>
                <w:szCs w:val="21"/>
                <w:highlight w:val="none"/>
              </w:rPr>
            </w:pPr>
            <w:r>
              <w:rPr>
                <w:rFonts w:hint="eastAsia"/>
                <w:color w:val="auto"/>
                <w:sz w:val="21"/>
                <w:szCs w:val="21"/>
                <w:highlight w:val="none"/>
              </w:rPr>
              <w:t>（满分12分）</w:t>
            </w:r>
          </w:p>
        </w:tc>
        <w:tc>
          <w:tcPr>
            <w:tcW w:w="4110" w:type="dxa"/>
            <w:vAlign w:val="center"/>
          </w:tcPr>
          <w:p w14:paraId="0FCC2515">
            <w:pPr>
              <w:adjustRightInd w:val="0"/>
              <w:spacing w:before="120" w:beforeLines="5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根据供应商提供的售后服务保</w:t>
            </w:r>
            <w:r>
              <w:rPr>
                <w:rFonts w:hint="eastAsia"/>
                <w:color w:val="auto"/>
                <w:szCs w:val="21"/>
                <w:highlight w:val="none"/>
              </w:rPr>
              <w:t>证</w:t>
            </w:r>
            <w:r>
              <w:rPr>
                <w:rFonts w:hint="eastAsia" w:ascii="宋体" w:hAnsi="宋体" w:cs="宋体"/>
                <w:color w:val="auto"/>
                <w:szCs w:val="21"/>
                <w:highlight w:val="none"/>
              </w:rPr>
              <w:t>措施及承诺整体情况进行评审评分（包括但不限于：设备维修，软件系统升级</w:t>
            </w:r>
            <w:r>
              <w:rPr>
                <w:rFonts w:hint="eastAsia" w:ascii="宋体" w:hAnsi="宋体"/>
                <w:color w:val="auto"/>
                <w:szCs w:val="21"/>
                <w:highlight w:val="none"/>
              </w:rPr>
              <w:t>，</w:t>
            </w:r>
            <w:r>
              <w:rPr>
                <w:rFonts w:hint="eastAsia" w:ascii="宋体" w:hAnsi="宋体" w:cs="宋体"/>
                <w:color w:val="auto"/>
                <w:szCs w:val="21"/>
                <w:highlight w:val="none"/>
              </w:rPr>
              <w:t>违约责任承诺等）。</w:t>
            </w:r>
          </w:p>
          <w:p w14:paraId="25B744DD">
            <w:pPr>
              <w:adjustRightIn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售后服务保</w:t>
            </w:r>
            <w:r>
              <w:rPr>
                <w:rFonts w:hint="eastAsia"/>
                <w:color w:val="auto"/>
                <w:szCs w:val="21"/>
                <w:highlight w:val="none"/>
              </w:rPr>
              <w:t>证</w:t>
            </w:r>
            <w:r>
              <w:rPr>
                <w:rFonts w:hint="eastAsia" w:ascii="宋体" w:hAnsi="宋体"/>
                <w:color w:val="auto"/>
                <w:szCs w:val="21"/>
                <w:highlight w:val="none"/>
              </w:rPr>
              <w:t>措施</w:t>
            </w:r>
            <w:r>
              <w:rPr>
                <w:rFonts w:hint="eastAsia" w:ascii="宋体" w:hAnsi="宋体" w:cs="宋体"/>
                <w:color w:val="auto"/>
                <w:szCs w:val="21"/>
                <w:highlight w:val="none"/>
              </w:rPr>
              <w:t>内容详细、全面，有具体的违约责任承诺的，得12分；</w:t>
            </w:r>
          </w:p>
          <w:p w14:paraId="02D9888A">
            <w:pPr>
              <w:adjustRightInd w:val="0"/>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（2）售后服务保</w:t>
            </w:r>
            <w:r>
              <w:rPr>
                <w:rFonts w:hint="eastAsia"/>
                <w:color w:val="auto"/>
                <w:szCs w:val="21"/>
                <w:highlight w:val="none"/>
              </w:rPr>
              <w:t>证</w:t>
            </w:r>
            <w:r>
              <w:rPr>
                <w:rFonts w:hint="eastAsia" w:ascii="宋体" w:hAnsi="宋体" w:cs="宋体"/>
                <w:color w:val="auto"/>
                <w:szCs w:val="21"/>
                <w:highlight w:val="none"/>
              </w:rPr>
              <w:t>措施及承诺内容</w:t>
            </w:r>
            <w:r>
              <w:rPr>
                <w:rFonts w:hint="eastAsia" w:ascii="宋体" w:hAnsi="宋体"/>
                <w:color w:val="auto"/>
                <w:szCs w:val="21"/>
                <w:highlight w:val="none"/>
              </w:rPr>
              <w:t>中</w:t>
            </w:r>
            <w:r>
              <w:rPr>
                <w:rFonts w:hint="eastAsia" w:ascii="宋体" w:hAnsi="宋体" w:cs="宋体"/>
                <w:color w:val="auto"/>
                <w:szCs w:val="21"/>
                <w:highlight w:val="none"/>
              </w:rPr>
              <w:t>每</w:t>
            </w:r>
            <w:r>
              <w:rPr>
                <w:rFonts w:hint="eastAsia" w:ascii="宋体" w:hAnsi="宋体"/>
                <w:color w:val="auto"/>
                <w:kern w:val="0"/>
                <w:szCs w:val="21"/>
                <w:highlight w:val="none"/>
              </w:rPr>
              <w:t>缺失一项</w:t>
            </w:r>
            <w:r>
              <w:rPr>
                <w:rFonts w:hint="eastAsia" w:ascii="宋体" w:hAnsi="宋体" w:cs="宋体"/>
                <w:color w:val="auto"/>
                <w:szCs w:val="21"/>
                <w:highlight w:val="none"/>
              </w:rPr>
              <w:t>的，扣4分；违约责任承诺不具体的，</w:t>
            </w:r>
            <w:r>
              <w:rPr>
                <w:rFonts w:hint="eastAsia" w:ascii="宋体" w:hAnsi="宋体"/>
                <w:color w:val="auto"/>
                <w:kern w:val="0"/>
                <w:szCs w:val="21"/>
                <w:highlight w:val="none"/>
              </w:rPr>
              <w:t>扣3分；</w:t>
            </w:r>
            <w:r>
              <w:rPr>
                <w:rFonts w:hint="eastAsia" w:ascii="宋体" w:hAnsi="宋体"/>
                <w:color w:val="auto"/>
                <w:szCs w:val="21"/>
                <w:highlight w:val="none"/>
              </w:rPr>
              <w:t>每有一项不完善或不符合项目实际情况的，扣2分。</w:t>
            </w:r>
          </w:p>
        </w:tc>
      </w:tr>
      <w:tr w14:paraId="53DE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7" w:type="dxa"/>
            <w:vAlign w:val="center"/>
          </w:tcPr>
          <w:p w14:paraId="3609D7F0">
            <w:pPr>
              <w:snapToGrid w:val="0"/>
              <w:jc w:val="center"/>
              <w:rPr>
                <w:rFonts w:hint="eastAsia" w:ascii="宋体" w:hAnsi="宋体"/>
                <w:b/>
                <w:color w:val="auto"/>
                <w:szCs w:val="21"/>
                <w:highlight w:val="none"/>
              </w:rPr>
            </w:pPr>
            <w:r>
              <w:rPr>
                <w:rFonts w:ascii="宋体" w:hAnsi="宋体"/>
                <w:b/>
                <w:color w:val="auto"/>
                <w:szCs w:val="21"/>
                <w:highlight w:val="none"/>
              </w:rPr>
              <w:t>条款号</w:t>
            </w:r>
          </w:p>
        </w:tc>
        <w:tc>
          <w:tcPr>
            <w:tcW w:w="1610" w:type="dxa"/>
            <w:vAlign w:val="center"/>
          </w:tcPr>
          <w:p w14:paraId="32ADDEFD">
            <w:pPr>
              <w:snapToGrid w:val="0"/>
              <w:jc w:val="center"/>
              <w:rPr>
                <w:rFonts w:hint="eastAsia" w:ascii="宋体" w:hAnsi="宋体"/>
                <w:b/>
                <w:color w:val="auto"/>
                <w:szCs w:val="21"/>
                <w:highlight w:val="none"/>
              </w:rPr>
            </w:pPr>
            <w:r>
              <w:rPr>
                <w:rFonts w:ascii="宋体" w:hAnsi="宋体"/>
                <w:b/>
                <w:color w:val="auto"/>
                <w:szCs w:val="21"/>
                <w:highlight w:val="none"/>
              </w:rPr>
              <w:t>评审因素</w:t>
            </w:r>
          </w:p>
        </w:tc>
        <w:tc>
          <w:tcPr>
            <w:tcW w:w="2410" w:type="dxa"/>
            <w:vAlign w:val="center"/>
          </w:tcPr>
          <w:p w14:paraId="535070B7">
            <w:pPr>
              <w:snapToGrid w:val="0"/>
              <w:jc w:val="center"/>
              <w:rPr>
                <w:rFonts w:hint="eastAsia" w:ascii="宋体" w:hAnsi="宋体"/>
                <w:b/>
                <w:color w:val="auto"/>
                <w:szCs w:val="21"/>
                <w:highlight w:val="none"/>
              </w:rPr>
            </w:pPr>
            <w:r>
              <w:rPr>
                <w:rFonts w:hint="eastAsia" w:ascii="宋体" w:hAnsi="宋体" w:cs="宋体"/>
                <w:b/>
                <w:color w:val="auto"/>
                <w:szCs w:val="21"/>
                <w:highlight w:val="none"/>
              </w:rPr>
              <w:t>评审内容</w:t>
            </w:r>
          </w:p>
        </w:tc>
        <w:tc>
          <w:tcPr>
            <w:tcW w:w="4110" w:type="dxa"/>
            <w:vAlign w:val="center"/>
          </w:tcPr>
          <w:p w14:paraId="50011065">
            <w:pPr>
              <w:snapToGrid w:val="0"/>
              <w:jc w:val="center"/>
              <w:rPr>
                <w:rFonts w:hint="eastAsia" w:ascii="宋体" w:hAnsi="宋体"/>
                <w:b/>
                <w:color w:val="auto"/>
                <w:szCs w:val="21"/>
                <w:highlight w:val="none"/>
              </w:rPr>
            </w:pPr>
            <w:r>
              <w:rPr>
                <w:rFonts w:hint="eastAsia" w:ascii="宋体" w:hAnsi="宋体"/>
                <w:b/>
                <w:color w:val="auto"/>
                <w:szCs w:val="21"/>
                <w:highlight w:val="none"/>
              </w:rPr>
              <w:t>评审标准</w:t>
            </w:r>
          </w:p>
        </w:tc>
      </w:tr>
      <w:tr w14:paraId="74DE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4" w:hRule="atLeast"/>
          <w:jc w:val="center"/>
        </w:trPr>
        <w:tc>
          <w:tcPr>
            <w:tcW w:w="937" w:type="dxa"/>
            <w:vAlign w:val="center"/>
          </w:tcPr>
          <w:p w14:paraId="25566F36">
            <w:pPr>
              <w:pStyle w:val="326"/>
              <w:spacing w:before="120" w:beforeLines="50" w:line="360" w:lineRule="auto"/>
              <w:rPr>
                <w:rFonts w:hint="eastAsia"/>
                <w:color w:val="auto"/>
                <w:sz w:val="21"/>
                <w:szCs w:val="21"/>
                <w:highlight w:val="none"/>
                <w:lang w:eastAsia="zh-CN"/>
              </w:rPr>
            </w:pPr>
            <w:r>
              <w:rPr>
                <w:rFonts w:hint="eastAsia"/>
                <w:color w:val="auto"/>
                <w:sz w:val="21"/>
                <w:szCs w:val="21"/>
                <w:highlight w:val="none"/>
                <w:lang w:eastAsia="zh-CN"/>
              </w:rPr>
              <w:t>2</w:t>
            </w:r>
            <w:r>
              <w:rPr>
                <w:color w:val="auto"/>
                <w:sz w:val="21"/>
                <w:szCs w:val="21"/>
                <w:highlight w:val="none"/>
                <w:lang w:eastAsia="zh-CN"/>
              </w:rPr>
              <w:t>.2.3</w:t>
            </w:r>
          </w:p>
        </w:tc>
        <w:tc>
          <w:tcPr>
            <w:tcW w:w="1610" w:type="dxa"/>
            <w:vAlign w:val="center"/>
          </w:tcPr>
          <w:p w14:paraId="7FF521C3">
            <w:pPr>
              <w:pStyle w:val="326"/>
              <w:spacing w:before="0" w:line="360" w:lineRule="auto"/>
              <w:jc w:val="center"/>
              <w:rPr>
                <w:rFonts w:hint="eastAsia"/>
                <w:color w:val="auto"/>
                <w:sz w:val="21"/>
                <w:szCs w:val="21"/>
                <w:highlight w:val="none"/>
                <w:lang w:eastAsia="zh-CN"/>
              </w:rPr>
            </w:pPr>
            <w:r>
              <w:rPr>
                <w:rFonts w:hint="eastAsia"/>
                <w:color w:val="auto"/>
                <w:sz w:val="21"/>
                <w:szCs w:val="21"/>
                <w:highlight w:val="none"/>
                <w:lang w:eastAsia="zh-CN"/>
              </w:rPr>
              <w:t>商务部分</w:t>
            </w:r>
          </w:p>
          <w:p w14:paraId="7A1D2A0D">
            <w:pPr>
              <w:pStyle w:val="326"/>
              <w:spacing w:before="0" w:line="360" w:lineRule="auto"/>
              <w:jc w:val="center"/>
              <w:rPr>
                <w:rFonts w:hint="eastAsia"/>
                <w:color w:val="auto"/>
                <w:sz w:val="21"/>
                <w:szCs w:val="21"/>
                <w:highlight w:val="none"/>
                <w:lang w:eastAsia="zh-CN"/>
              </w:rPr>
            </w:pPr>
            <w:r>
              <w:rPr>
                <w:rFonts w:hint="eastAsia"/>
                <w:color w:val="auto"/>
                <w:sz w:val="21"/>
                <w:szCs w:val="21"/>
                <w:highlight w:val="none"/>
                <w:lang w:eastAsia="zh-CN"/>
              </w:rPr>
              <w:t>评审标准</w:t>
            </w:r>
          </w:p>
          <w:p w14:paraId="4BE32A6F">
            <w:pPr>
              <w:pStyle w:val="326"/>
              <w:spacing w:before="0" w:line="360" w:lineRule="auto"/>
              <w:jc w:val="center"/>
              <w:rPr>
                <w:rFonts w:hint="eastAsia"/>
                <w:color w:val="auto"/>
                <w:sz w:val="21"/>
                <w:szCs w:val="21"/>
                <w:highlight w:val="none"/>
                <w:lang w:eastAsia="zh-CN"/>
              </w:rPr>
            </w:pPr>
            <w:r>
              <w:rPr>
                <w:rFonts w:hint="eastAsia"/>
                <w:color w:val="auto"/>
                <w:sz w:val="21"/>
                <w:szCs w:val="21"/>
                <w:highlight w:val="none"/>
                <w:lang w:eastAsia="zh-CN"/>
              </w:rPr>
              <w:t>（满分30分）</w:t>
            </w:r>
          </w:p>
        </w:tc>
        <w:tc>
          <w:tcPr>
            <w:tcW w:w="2410" w:type="dxa"/>
            <w:vAlign w:val="center"/>
          </w:tcPr>
          <w:p w14:paraId="64DFCBF3">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投标报价</w:t>
            </w:r>
          </w:p>
          <w:p w14:paraId="78A00B21">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评审评分</w:t>
            </w:r>
          </w:p>
          <w:p w14:paraId="2ED7F9BC">
            <w:pPr>
              <w:snapToGrid w:val="0"/>
              <w:spacing w:line="360" w:lineRule="auto"/>
              <w:jc w:val="center"/>
              <w:rPr>
                <w:rFonts w:hint="eastAsia" w:ascii="宋体" w:hAnsi="宋体"/>
                <w:bCs/>
                <w:color w:val="auto"/>
                <w:szCs w:val="21"/>
                <w:highlight w:val="none"/>
              </w:rPr>
            </w:pPr>
            <w:r>
              <w:rPr>
                <w:rFonts w:hint="eastAsia" w:ascii="宋体" w:hAnsi="宋体"/>
                <w:color w:val="auto"/>
                <w:szCs w:val="21"/>
                <w:highlight w:val="none"/>
              </w:rPr>
              <w:t>（满分3</w:t>
            </w:r>
            <w:r>
              <w:rPr>
                <w:rFonts w:ascii="宋体" w:hAnsi="宋体"/>
                <w:color w:val="auto"/>
                <w:szCs w:val="21"/>
                <w:highlight w:val="none"/>
              </w:rPr>
              <w:t>0</w:t>
            </w:r>
            <w:r>
              <w:rPr>
                <w:rFonts w:hint="eastAsia" w:ascii="宋体" w:hAnsi="宋体"/>
                <w:color w:val="auto"/>
                <w:szCs w:val="21"/>
                <w:highlight w:val="none"/>
              </w:rPr>
              <w:t>分）</w:t>
            </w:r>
          </w:p>
        </w:tc>
        <w:tc>
          <w:tcPr>
            <w:tcW w:w="4110" w:type="dxa"/>
            <w:vAlign w:val="center"/>
          </w:tcPr>
          <w:p w14:paraId="2E9467CE">
            <w:pPr>
              <w:pStyle w:val="47"/>
              <w:spacing w:before="0" w:beforeLines="0"/>
              <w:jc w:val="left"/>
              <w:rPr>
                <w:rFonts w:hint="eastAsia"/>
                <w:color w:val="auto"/>
                <w:sz w:val="21"/>
                <w:szCs w:val="21"/>
                <w:highlight w:val="none"/>
              </w:rPr>
            </w:pPr>
            <w:r>
              <w:rPr>
                <w:rFonts w:hint="eastAsia"/>
                <w:color w:val="auto"/>
                <w:sz w:val="21"/>
                <w:szCs w:val="21"/>
                <w:highlight w:val="none"/>
              </w:rPr>
              <w:t>1</w:t>
            </w:r>
            <w:r>
              <w:rPr>
                <w:color w:val="auto"/>
                <w:sz w:val="21"/>
                <w:szCs w:val="21"/>
                <w:highlight w:val="none"/>
              </w:rPr>
              <w:t>.</w:t>
            </w:r>
            <w:r>
              <w:rPr>
                <w:rFonts w:hint="eastAsia"/>
                <w:color w:val="auto"/>
                <w:sz w:val="21"/>
                <w:szCs w:val="21"/>
                <w:highlight w:val="none"/>
              </w:rPr>
              <w:t>商务部分得分以评标价得分计算结果为准。评标价得分应当采用低价优先法进行计算，即满足采购文件要求且评标价最低的为评标基准价，得分为满分。当供应商有价格扣除的情况时，评标价为投标报价扣除后的价格；当供应商没有出现价格扣除的情况时，评标价为其投标报价。</w:t>
            </w:r>
          </w:p>
          <w:p w14:paraId="0E5F20C2">
            <w:pPr>
              <w:pStyle w:val="47"/>
              <w:spacing w:before="0" w:beforeLines="0"/>
              <w:jc w:val="left"/>
              <w:rPr>
                <w:rFonts w:hint="eastAsia"/>
                <w:color w:val="auto"/>
                <w:sz w:val="21"/>
                <w:szCs w:val="21"/>
                <w:highlight w:val="none"/>
              </w:rPr>
            </w:pPr>
            <w:r>
              <w:rPr>
                <w:color w:val="auto"/>
                <w:sz w:val="21"/>
                <w:szCs w:val="21"/>
                <w:highlight w:val="none"/>
              </w:rPr>
              <w:t>2.</w:t>
            </w:r>
            <w:r>
              <w:rPr>
                <w:rFonts w:hint="eastAsia"/>
                <w:color w:val="auto"/>
                <w:sz w:val="21"/>
                <w:szCs w:val="21"/>
                <w:highlight w:val="none"/>
              </w:rPr>
              <w:t>评标价得分计算公式如下：</w:t>
            </w:r>
          </w:p>
          <w:p w14:paraId="72785A8F">
            <w:pPr>
              <w:pStyle w:val="47"/>
              <w:spacing w:before="0" w:beforeLines="0"/>
              <w:jc w:val="left"/>
              <w:rPr>
                <w:rFonts w:hint="eastAsia"/>
                <w:color w:val="auto"/>
                <w:sz w:val="21"/>
                <w:szCs w:val="21"/>
                <w:highlight w:val="none"/>
              </w:rPr>
            </w:pPr>
            <w:r>
              <w:rPr>
                <w:rFonts w:hint="eastAsia"/>
                <w:color w:val="auto"/>
                <w:sz w:val="21"/>
                <w:szCs w:val="21"/>
                <w:highlight w:val="none"/>
              </w:rPr>
              <w:t>评标价得分=(评标基准价／评标价)×3</w:t>
            </w:r>
            <w:r>
              <w:rPr>
                <w:color w:val="auto"/>
                <w:sz w:val="21"/>
                <w:szCs w:val="21"/>
                <w:highlight w:val="none"/>
              </w:rPr>
              <w:t>0</w:t>
            </w:r>
            <w:r>
              <w:rPr>
                <w:rFonts w:hint="eastAsia"/>
                <w:color w:val="auto"/>
                <w:sz w:val="21"/>
                <w:szCs w:val="21"/>
                <w:highlight w:val="none"/>
              </w:rPr>
              <w:t>。</w:t>
            </w:r>
          </w:p>
          <w:p w14:paraId="0E3726F9">
            <w:pPr>
              <w:snapToGrid w:val="0"/>
              <w:spacing w:line="360" w:lineRule="auto"/>
              <w:jc w:val="left"/>
              <w:rPr>
                <w:rFonts w:hint="eastAsia" w:ascii="宋体" w:hAnsi="宋体"/>
                <w:bCs/>
                <w:color w:val="auto"/>
                <w:szCs w:val="21"/>
                <w:highlight w:val="none"/>
              </w:rPr>
            </w:pPr>
            <w:r>
              <w:rPr>
                <w:rFonts w:hint="eastAsia" w:ascii="宋体" w:hAnsi="宋体" w:cs="宋体"/>
                <w:bCs/>
                <w:color w:val="auto"/>
                <w:kern w:val="0"/>
                <w:szCs w:val="21"/>
                <w:highlight w:val="none"/>
              </w:rPr>
              <w:t>注：在评审过程中，不得去掉投标报价中的最高报价和最低报价。</w:t>
            </w:r>
          </w:p>
        </w:tc>
      </w:tr>
      <w:bookmarkEnd w:id="1038"/>
      <w:bookmarkEnd w:id="1039"/>
      <w:bookmarkEnd w:id="1213"/>
    </w:tbl>
    <w:p w14:paraId="24FFFA4A">
      <w:pPr>
        <w:pStyle w:val="2"/>
        <w:rPr>
          <w:color w:val="auto"/>
          <w:highlight w:val="none"/>
        </w:rPr>
      </w:pPr>
      <w:bookmarkStart w:id="1228" w:name="_Toc180143792"/>
      <w:bookmarkStart w:id="1229" w:name="_Toc173742023"/>
      <w:r>
        <w:rPr>
          <w:rFonts w:hint="eastAsia"/>
          <w:color w:val="auto"/>
          <w:highlight w:val="none"/>
        </w:rPr>
        <w:t>二、评标办法正文部分</w:t>
      </w:r>
      <w:bookmarkEnd w:id="1228"/>
      <w:bookmarkEnd w:id="1229"/>
    </w:p>
    <w:p w14:paraId="0B31AAC0">
      <w:pPr>
        <w:spacing w:before="120" w:beforeLines="50" w:line="360" w:lineRule="auto"/>
        <w:rPr>
          <w:rFonts w:hint="eastAsia" w:ascii="宋体" w:hAnsi="宋体"/>
          <w:b/>
          <w:color w:val="auto"/>
          <w:sz w:val="24"/>
          <w:szCs w:val="24"/>
          <w:highlight w:val="none"/>
        </w:rPr>
      </w:pPr>
      <w:bookmarkStart w:id="1230" w:name="_Toc75476308"/>
      <w:bookmarkStart w:id="1231" w:name="_Toc78372775"/>
      <w:bookmarkStart w:id="1232" w:name="_Toc54871518"/>
      <w:bookmarkStart w:id="1233" w:name="_Toc90997775"/>
      <w:bookmarkStart w:id="1234" w:name="_Toc103722688"/>
      <w:bookmarkStart w:id="1235" w:name="_Toc101731137"/>
      <w:r>
        <w:rPr>
          <w:rFonts w:ascii="宋体" w:hAnsi="宋体"/>
          <w:b/>
          <w:color w:val="auto"/>
          <w:sz w:val="24"/>
          <w:szCs w:val="24"/>
          <w:highlight w:val="none"/>
        </w:rPr>
        <w:t>1.评标方法</w:t>
      </w:r>
      <w:bookmarkEnd w:id="1230"/>
      <w:bookmarkEnd w:id="1231"/>
      <w:bookmarkEnd w:id="1232"/>
      <w:bookmarkEnd w:id="1233"/>
      <w:bookmarkEnd w:id="1234"/>
      <w:bookmarkEnd w:id="1235"/>
    </w:p>
    <w:p w14:paraId="0B702E4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本评标办法采用综合评分法。评标、定标方法参照《中华人民共和国政府采购法》、《中华人民共和国政府采购法实施条例》（国务院令第658号）、《政府采购货物和服务招标投标管理办法》（财政部令第87号）等有关法律、法规的规定执行。</w:t>
      </w:r>
    </w:p>
    <w:p w14:paraId="69ABA81D">
      <w:pPr>
        <w:spacing w:line="360" w:lineRule="auto"/>
        <w:ind w:firstLine="420" w:firstLineChars="200"/>
        <w:rPr>
          <w:rFonts w:hint="eastAsia" w:ascii="宋体" w:hAnsi="宋体" w:cs="Arial"/>
          <w:color w:val="auto"/>
          <w:szCs w:val="21"/>
          <w:highlight w:val="none"/>
        </w:rPr>
      </w:pPr>
      <w:bookmarkStart w:id="1236" w:name="_Toc491097871"/>
      <w:bookmarkStart w:id="1237" w:name="_Toc491159087"/>
      <w:bookmarkStart w:id="1238" w:name="_Toc482807898"/>
      <w:bookmarkStart w:id="1239" w:name="_Toc495488559"/>
      <w:bookmarkStart w:id="1240" w:name="_Toc491089868"/>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评标委员会对满足采购文件实质性要求的投标文件，按照本章第2.2.2款规定的评分标准进行打分，并按最终得分由高到低的顺序推荐3名中标候选人。供应商的最终得分</w:t>
      </w:r>
      <w:r>
        <w:rPr>
          <w:rFonts w:hint="eastAsia" w:ascii="宋体" w:hAnsi="宋体" w:cs="Arial"/>
          <w:color w:val="auto"/>
          <w:szCs w:val="21"/>
          <w:highlight w:val="none"/>
        </w:rPr>
        <w:t>相同时，对获得</w:t>
      </w:r>
      <w:r>
        <w:rPr>
          <w:rFonts w:hint="eastAsia" w:ascii="宋体" w:hAnsi="宋体"/>
          <w:color w:val="auto"/>
          <w:szCs w:val="21"/>
          <w:highlight w:val="none"/>
        </w:rPr>
        <w:t>《中国节能产品认证证书》（政府强制采购的节能产品除外）和</w:t>
      </w:r>
      <w:r>
        <w:rPr>
          <w:rFonts w:hint="eastAsia" w:ascii="宋体" w:hAnsi="宋体" w:cs="Arial"/>
          <w:color w:val="auto"/>
          <w:szCs w:val="21"/>
          <w:highlight w:val="none"/>
        </w:rPr>
        <w:t>《中国环境标志产品认证证书》的产品实施优先采购，即获得</w:t>
      </w:r>
      <w:r>
        <w:rPr>
          <w:rFonts w:hint="eastAsia" w:ascii="宋体" w:hAnsi="宋体"/>
          <w:color w:val="auto"/>
          <w:szCs w:val="21"/>
          <w:highlight w:val="none"/>
        </w:rPr>
        <w:t>《中国节能产品认证证书》（政府强制采购的节能产品除外）和</w:t>
      </w:r>
      <w:r>
        <w:rPr>
          <w:rFonts w:hint="eastAsia" w:ascii="宋体" w:hAnsi="宋体" w:cs="Arial"/>
          <w:color w:val="auto"/>
          <w:szCs w:val="21"/>
          <w:highlight w:val="none"/>
        </w:rPr>
        <w:t>《中国环境标志产品认证证书》总数最多者优先（同时获得</w:t>
      </w:r>
      <w:r>
        <w:rPr>
          <w:rFonts w:hint="eastAsia" w:ascii="宋体" w:hAnsi="宋体"/>
          <w:color w:val="auto"/>
          <w:szCs w:val="21"/>
          <w:highlight w:val="none"/>
        </w:rPr>
        <w:t>《中国节能产品认证证书》和</w:t>
      </w:r>
      <w:r>
        <w:rPr>
          <w:rFonts w:hint="eastAsia" w:ascii="宋体" w:hAnsi="宋体" w:cs="Arial"/>
          <w:color w:val="auto"/>
          <w:szCs w:val="21"/>
          <w:highlight w:val="none"/>
        </w:rPr>
        <w:t>《中国环境标志产品认证证书》的产品，按一种类型计算）；若供应商所提供的产品获得</w:t>
      </w:r>
      <w:r>
        <w:rPr>
          <w:rFonts w:hint="eastAsia" w:ascii="宋体" w:hAnsi="宋体"/>
          <w:color w:val="auto"/>
          <w:szCs w:val="21"/>
          <w:highlight w:val="none"/>
        </w:rPr>
        <w:t>《中国节能产品认证证书》和</w:t>
      </w:r>
      <w:r>
        <w:rPr>
          <w:rFonts w:hint="eastAsia" w:ascii="宋体" w:hAnsi="宋体" w:cs="Arial"/>
          <w:color w:val="auto"/>
          <w:szCs w:val="21"/>
          <w:highlight w:val="none"/>
        </w:rPr>
        <w:t>《中国环境标志产品认证证书》的总数相同时，以商务部分得分高的优先；商务部分得分也相同时</w:t>
      </w:r>
      <w:r>
        <w:rPr>
          <w:rFonts w:hint="eastAsia" w:ascii="宋体" w:hAnsi="宋体"/>
          <w:color w:val="auto"/>
          <w:szCs w:val="21"/>
          <w:highlight w:val="none"/>
        </w:rPr>
        <w:t>，</w:t>
      </w:r>
      <w:r>
        <w:rPr>
          <w:rFonts w:hint="eastAsia" w:ascii="宋体" w:hAnsi="宋体" w:cs="Arial"/>
          <w:color w:val="auto"/>
          <w:szCs w:val="21"/>
          <w:highlight w:val="none"/>
        </w:rPr>
        <w:t>以评标委员会成员投票得票高低顺序推荐中标候选人。</w:t>
      </w:r>
    </w:p>
    <w:p w14:paraId="795D5053">
      <w:pPr>
        <w:spacing w:line="360" w:lineRule="auto"/>
        <w:ind w:firstLine="420" w:firstLineChars="200"/>
        <w:rPr>
          <w:rFonts w:hint="eastAsia" w:ascii="宋体" w:hAnsi="宋体" w:cs="Arial"/>
          <w:color w:val="auto"/>
          <w:szCs w:val="21"/>
          <w:highlight w:val="none"/>
        </w:rPr>
      </w:pPr>
      <w:r>
        <w:rPr>
          <w:rFonts w:hint="eastAsia"/>
          <w:color w:val="auto"/>
          <w:szCs w:val="21"/>
          <w:highlight w:val="none"/>
        </w:rPr>
        <w:t>注：本项目核心产品</w:t>
      </w:r>
      <w:r>
        <w:rPr>
          <w:rFonts w:ascii="宋体" w:hAnsi="宋体" w:cs="宋体"/>
          <w:color w:val="auto"/>
          <w:szCs w:val="21"/>
          <w:highlight w:val="none"/>
        </w:rPr>
        <w:t>提供相同品牌且通过资格审查、符合性审查的不同</w:t>
      </w:r>
      <w:r>
        <w:rPr>
          <w:rFonts w:hint="eastAsia" w:ascii="宋体" w:hAnsi="宋体" w:cs="宋体"/>
          <w:color w:val="auto"/>
          <w:szCs w:val="21"/>
          <w:highlight w:val="none"/>
        </w:rPr>
        <w:t>供应商</w:t>
      </w:r>
      <w:r>
        <w:rPr>
          <w:rFonts w:ascii="宋体" w:hAnsi="宋体" w:cs="宋体"/>
          <w:color w:val="auto"/>
          <w:szCs w:val="21"/>
          <w:highlight w:val="none"/>
        </w:rPr>
        <w:t>参加同</w:t>
      </w:r>
      <w:r>
        <w:rPr>
          <w:rFonts w:hint="eastAsia" w:ascii="宋体" w:hAnsi="宋体" w:cs="宋体"/>
          <w:color w:val="auto"/>
          <w:szCs w:val="21"/>
          <w:highlight w:val="none"/>
        </w:rPr>
        <w:t>本项目</w:t>
      </w:r>
      <w:r>
        <w:rPr>
          <w:rFonts w:ascii="宋体" w:hAnsi="宋体" w:cs="宋体"/>
          <w:color w:val="auto"/>
          <w:szCs w:val="21"/>
          <w:highlight w:val="none"/>
        </w:rPr>
        <w:t>投标的，按一家</w:t>
      </w:r>
      <w:r>
        <w:rPr>
          <w:rFonts w:hint="eastAsia" w:ascii="宋体" w:hAnsi="宋体" w:cs="宋体"/>
          <w:color w:val="auto"/>
          <w:szCs w:val="21"/>
          <w:highlight w:val="none"/>
        </w:rPr>
        <w:t>供应商</w:t>
      </w:r>
      <w:r>
        <w:rPr>
          <w:rFonts w:ascii="宋体" w:hAnsi="宋体" w:cs="宋体"/>
          <w:color w:val="auto"/>
          <w:szCs w:val="21"/>
          <w:highlight w:val="none"/>
        </w:rPr>
        <w:t>计算，评审后得分最高的</w:t>
      </w:r>
      <w:r>
        <w:rPr>
          <w:rFonts w:hint="eastAsia"/>
          <w:color w:val="auto"/>
          <w:szCs w:val="21"/>
          <w:highlight w:val="none"/>
        </w:rPr>
        <w:t>核心产品</w:t>
      </w:r>
      <w:r>
        <w:rPr>
          <w:rFonts w:ascii="宋体" w:hAnsi="宋体" w:cs="宋体"/>
          <w:color w:val="auto"/>
          <w:szCs w:val="21"/>
          <w:highlight w:val="none"/>
        </w:rPr>
        <w:t>同品牌</w:t>
      </w:r>
      <w:r>
        <w:rPr>
          <w:rFonts w:hint="eastAsia" w:ascii="宋体" w:hAnsi="宋体" w:cs="宋体"/>
          <w:color w:val="auto"/>
          <w:szCs w:val="21"/>
          <w:highlight w:val="none"/>
        </w:rPr>
        <w:t>供应商</w:t>
      </w:r>
      <w:r>
        <w:rPr>
          <w:rFonts w:ascii="宋体" w:hAnsi="宋体" w:cs="宋体"/>
          <w:color w:val="auto"/>
          <w:szCs w:val="21"/>
          <w:highlight w:val="none"/>
        </w:rPr>
        <w:t>获得中标</w:t>
      </w:r>
      <w:r>
        <w:rPr>
          <w:rFonts w:hint="eastAsia" w:ascii="宋体" w:hAnsi="宋体" w:cs="宋体"/>
          <w:color w:val="auto"/>
          <w:szCs w:val="21"/>
          <w:highlight w:val="none"/>
        </w:rPr>
        <w:t>候选</w:t>
      </w:r>
      <w:r>
        <w:rPr>
          <w:rFonts w:ascii="宋体" w:hAnsi="宋体" w:cs="宋体"/>
          <w:color w:val="auto"/>
          <w:szCs w:val="21"/>
          <w:highlight w:val="none"/>
        </w:rPr>
        <w:t>人推荐资格；评审得分相同的，按</w:t>
      </w:r>
      <w:r>
        <w:rPr>
          <w:rFonts w:hint="eastAsia" w:ascii="宋体" w:hAnsi="宋体" w:cs="宋体"/>
          <w:color w:val="auto"/>
          <w:szCs w:val="21"/>
          <w:highlight w:val="none"/>
        </w:rPr>
        <w:t>以上</w:t>
      </w:r>
      <w:r>
        <w:rPr>
          <w:rFonts w:ascii="宋体" w:hAnsi="宋体" w:cs="宋体"/>
          <w:color w:val="auto"/>
          <w:szCs w:val="21"/>
          <w:highlight w:val="none"/>
        </w:rPr>
        <w:t>规定处理</w:t>
      </w:r>
      <w:r>
        <w:rPr>
          <w:rFonts w:hint="eastAsia" w:ascii="宋体" w:hAnsi="宋体"/>
          <w:color w:val="auto"/>
          <w:szCs w:val="21"/>
          <w:highlight w:val="none"/>
        </w:rPr>
        <w:t>。</w:t>
      </w:r>
    </w:p>
    <w:p w14:paraId="0BDF80A8">
      <w:pPr>
        <w:spacing w:line="360" w:lineRule="auto"/>
        <w:rPr>
          <w:rFonts w:hint="eastAsia" w:ascii="宋体" w:hAnsi="宋体"/>
          <w:b/>
          <w:color w:val="auto"/>
          <w:sz w:val="24"/>
          <w:szCs w:val="24"/>
          <w:highlight w:val="none"/>
        </w:rPr>
      </w:pPr>
      <w:bookmarkStart w:id="1241" w:name="_Toc54871519"/>
      <w:bookmarkStart w:id="1242" w:name="_Toc101731138"/>
      <w:bookmarkStart w:id="1243" w:name="_Toc103722689"/>
      <w:bookmarkStart w:id="1244" w:name="_Toc90997776"/>
      <w:bookmarkStart w:id="1245" w:name="_Toc78372776"/>
      <w:bookmarkStart w:id="1246" w:name="_Toc75476309"/>
      <w:r>
        <w:rPr>
          <w:rFonts w:ascii="宋体" w:hAnsi="宋体"/>
          <w:b/>
          <w:color w:val="auto"/>
          <w:sz w:val="24"/>
          <w:szCs w:val="24"/>
          <w:highlight w:val="none"/>
        </w:rPr>
        <w:t>2.评审标准</w:t>
      </w:r>
      <w:bookmarkEnd w:id="1236"/>
      <w:bookmarkEnd w:id="1237"/>
      <w:bookmarkEnd w:id="1238"/>
      <w:bookmarkEnd w:id="1239"/>
      <w:bookmarkEnd w:id="1240"/>
      <w:bookmarkEnd w:id="1241"/>
      <w:bookmarkEnd w:id="1242"/>
      <w:bookmarkEnd w:id="1243"/>
      <w:bookmarkEnd w:id="1244"/>
      <w:bookmarkEnd w:id="1245"/>
      <w:bookmarkEnd w:id="1246"/>
    </w:p>
    <w:p w14:paraId="1857744A">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2.1 符合性评审标准</w:t>
      </w:r>
    </w:p>
    <w:p w14:paraId="6E150AC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见评标办法前附表。</w:t>
      </w:r>
    </w:p>
    <w:p w14:paraId="384A8014">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2.2 详细评审标准</w:t>
      </w:r>
    </w:p>
    <w:p w14:paraId="1D2063B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.2.1</w:t>
      </w:r>
      <w:r>
        <w:rPr>
          <w:rFonts w:hint="eastAsia" w:ascii="宋体" w:hAnsi="宋体"/>
          <w:color w:val="auto"/>
          <w:szCs w:val="21"/>
          <w:highlight w:val="none"/>
        </w:rPr>
        <w:t>分值构成：见评标办法前附表。</w:t>
      </w:r>
    </w:p>
    <w:p w14:paraId="7E9F601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技术部分评审标准：见评标办法前附表。</w:t>
      </w:r>
    </w:p>
    <w:p w14:paraId="43372E8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商务部分评审标准：见评标办法前附表。</w:t>
      </w:r>
    </w:p>
    <w:p w14:paraId="37018DFF">
      <w:pPr>
        <w:spacing w:line="360" w:lineRule="auto"/>
        <w:rPr>
          <w:rFonts w:hint="eastAsia" w:ascii="宋体" w:hAnsi="宋体"/>
          <w:b/>
          <w:color w:val="auto"/>
          <w:sz w:val="24"/>
          <w:szCs w:val="24"/>
          <w:highlight w:val="none"/>
        </w:rPr>
      </w:pPr>
      <w:bookmarkStart w:id="1247" w:name="_Toc103722690"/>
      <w:bookmarkStart w:id="1248" w:name="_Toc495488560"/>
      <w:bookmarkStart w:id="1249" w:name="_Toc75476310"/>
      <w:bookmarkStart w:id="1250" w:name="_Toc491159088"/>
      <w:bookmarkStart w:id="1251" w:name="_Toc491089869"/>
      <w:bookmarkStart w:id="1252" w:name="_Toc482807899"/>
      <w:bookmarkStart w:id="1253" w:name="_Toc78372777"/>
      <w:bookmarkStart w:id="1254" w:name="_Toc101731139"/>
      <w:bookmarkStart w:id="1255" w:name="_Toc90997777"/>
      <w:bookmarkStart w:id="1256" w:name="_Toc491097872"/>
      <w:bookmarkStart w:id="1257" w:name="_Toc54871520"/>
      <w:r>
        <w:rPr>
          <w:rFonts w:ascii="宋体" w:hAnsi="宋体"/>
          <w:b/>
          <w:color w:val="auto"/>
          <w:sz w:val="24"/>
          <w:szCs w:val="24"/>
          <w:highlight w:val="none"/>
        </w:rPr>
        <w:t>3.评标程序</w:t>
      </w:r>
      <w:bookmarkEnd w:id="1247"/>
      <w:bookmarkEnd w:id="1248"/>
      <w:bookmarkEnd w:id="1249"/>
      <w:bookmarkEnd w:id="1250"/>
      <w:bookmarkEnd w:id="1251"/>
      <w:bookmarkEnd w:id="1252"/>
      <w:bookmarkEnd w:id="1253"/>
      <w:bookmarkEnd w:id="1254"/>
      <w:bookmarkEnd w:id="1255"/>
      <w:bookmarkEnd w:id="1256"/>
      <w:bookmarkEnd w:id="1257"/>
    </w:p>
    <w:p w14:paraId="51B1410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3.1 初步评审</w:t>
      </w:r>
    </w:p>
    <w:p w14:paraId="1817CD9C">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3.1.1符合性审查</w:t>
      </w:r>
    </w:p>
    <w:p w14:paraId="6437920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标委员会依据本章第2.1项规定的符合性审查标准对通过资格审查的所有投标文件进行符合性审查，只有通过符合性审查的投标文件才能进入详细评审；符合性审查过程中，有一项不符合审查标准的，作否决投标处理。</w:t>
      </w:r>
    </w:p>
    <w:p w14:paraId="42E9941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3.2 详细评审</w:t>
      </w:r>
    </w:p>
    <w:p w14:paraId="15E2509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3.2.1 评标委员会按本章第2.2.2款和第2.2.3款规定的量化因素和分值进行打分，并计算出最终得分。</w:t>
      </w:r>
    </w:p>
    <w:p w14:paraId="263B0A8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3.2.2 评分分值计算保留小数点后两位，小数点后第三位“四舍五入”。 </w:t>
      </w:r>
    </w:p>
    <w:p w14:paraId="420F83B5">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3.3 投标文件的澄清、说明或者补正</w:t>
      </w:r>
    </w:p>
    <w:p w14:paraId="683C861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3.3.1在评审过程中，评标委员会对于供应商的投标文件中含义不明确、同类问题表述不一致或者有明显文字和计算错误的内容，应当以书面形式要求供应商做出必要的澄清、说明或者补正。</w:t>
      </w:r>
    </w:p>
    <w:p w14:paraId="74F17AF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3.3.2供应商的澄清、说明或者补正应当采用书面形式并加盖公章，或者由法定代表人或其授权的代表签字。供应商的澄清、说明或者补正不得超出投标文件的范围或改变投标文件的实质性内容（算术性错误修正的除外）。供应商的书面澄清、说明或者补正属于投标文件的组成部分。</w:t>
      </w:r>
    </w:p>
    <w:p w14:paraId="6F08638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3.3.3评标委员会对供应商提交的澄清、说明或者补正有疑问的，可以要求供应商进一步澄清、说明或者补正，直至满足评标委员会的要求。</w:t>
      </w:r>
    </w:p>
    <w:p w14:paraId="2FDEF242">
      <w:pPr>
        <w:spacing w:line="360" w:lineRule="auto"/>
        <w:ind w:firstLine="422" w:firstLineChars="200"/>
        <w:rPr>
          <w:rFonts w:hint="eastAsia" w:ascii="宋体" w:hAnsi="宋体"/>
          <w:b/>
          <w:color w:val="auto"/>
          <w:szCs w:val="21"/>
          <w:highlight w:val="none"/>
        </w:rPr>
      </w:pPr>
      <w:r>
        <w:rPr>
          <w:rFonts w:ascii="宋体" w:hAnsi="宋体"/>
          <w:b/>
          <w:color w:val="auto"/>
          <w:szCs w:val="21"/>
          <w:highlight w:val="none"/>
        </w:rPr>
        <w:t>3.4</w:t>
      </w:r>
      <w:r>
        <w:rPr>
          <w:rFonts w:hint="eastAsia" w:ascii="宋体" w:hAnsi="宋体"/>
          <w:b/>
          <w:color w:val="auto"/>
          <w:szCs w:val="21"/>
          <w:highlight w:val="none"/>
        </w:rPr>
        <w:t>算术性错误修正</w:t>
      </w:r>
    </w:p>
    <w:p w14:paraId="17009B1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供应商的投标文件中投标报价出现前后不一致的，除采购文件另有规定外，评标委员会依法对其进行修正。修正后的投标报价按照本章第3.</w:t>
      </w:r>
      <w:r>
        <w:rPr>
          <w:rFonts w:ascii="宋体" w:hAnsi="宋体"/>
          <w:color w:val="auto"/>
          <w:szCs w:val="21"/>
          <w:highlight w:val="none"/>
        </w:rPr>
        <w:t>3</w:t>
      </w:r>
      <w:r>
        <w:rPr>
          <w:rFonts w:hint="eastAsia" w:ascii="宋体" w:hAnsi="宋体"/>
          <w:color w:val="auto"/>
          <w:szCs w:val="21"/>
          <w:highlight w:val="none"/>
        </w:rPr>
        <w:t>款的规定，经供应商确认后产生约束力，供应商不确认的，其投标无效。</w:t>
      </w:r>
    </w:p>
    <w:p w14:paraId="0D4A2496">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5</w:t>
      </w:r>
      <w:r>
        <w:rPr>
          <w:rFonts w:hint="eastAsia" w:ascii="宋体" w:hAnsi="宋体"/>
          <w:b/>
          <w:color w:val="auto"/>
          <w:szCs w:val="21"/>
          <w:highlight w:val="none"/>
        </w:rPr>
        <w:t xml:space="preserve"> 评标结果</w:t>
      </w:r>
    </w:p>
    <w:p w14:paraId="706A4B8E">
      <w:pPr>
        <w:spacing w:line="360" w:lineRule="auto"/>
        <w:ind w:firstLine="420" w:firstLineChars="200"/>
        <w:rPr>
          <w:rFonts w:hint="eastAsia" w:ascii="宋体" w:hAnsi="宋体" w:cs="Arial"/>
          <w:color w:val="auto"/>
          <w:szCs w:val="21"/>
          <w:highlight w:val="none"/>
        </w:rPr>
      </w:pPr>
      <w:bookmarkStart w:id="1258" w:name="_Toc516762832"/>
      <w:bookmarkStart w:id="1259" w:name="_Toc516389711"/>
      <w:bookmarkStart w:id="1260" w:name="_Toc516654858"/>
      <w:bookmarkStart w:id="1261" w:name="_Toc517962055"/>
      <w:bookmarkStart w:id="1262" w:name="_Toc516331236"/>
      <w:bookmarkStart w:id="1263" w:name="_Toc54871521"/>
      <w:bookmarkStart w:id="1264" w:name="_Toc516389820"/>
      <w:bookmarkStart w:id="1265" w:name="_Toc495488561"/>
      <w:bookmarkStart w:id="1266" w:name="_Toc516674703"/>
      <w:bookmarkStart w:id="1267" w:name="_Toc517891543"/>
      <w:bookmarkStart w:id="1268" w:name="_Toc491097873"/>
      <w:bookmarkStart w:id="1269" w:name="_Toc517710038"/>
      <w:bookmarkStart w:id="1270" w:name="_Toc517710820"/>
      <w:bookmarkStart w:id="1271" w:name="_Toc517978868"/>
      <w:bookmarkStart w:id="1272" w:name="_Toc482807900"/>
      <w:bookmarkStart w:id="1273" w:name="_Toc517710375"/>
      <w:bookmarkStart w:id="1274" w:name="_Toc491159089"/>
      <w:bookmarkStart w:id="1275" w:name="_Toc491089870"/>
      <w:r>
        <w:rPr>
          <w:rFonts w:hint="eastAsia" w:ascii="宋体" w:hAnsi="宋体"/>
          <w:color w:val="auto"/>
          <w:szCs w:val="21"/>
          <w:highlight w:val="none"/>
        </w:rPr>
        <w:t>3.</w:t>
      </w:r>
      <w:r>
        <w:rPr>
          <w:rFonts w:ascii="宋体" w:hAnsi="宋体"/>
          <w:color w:val="auto"/>
          <w:szCs w:val="21"/>
          <w:highlight w:val="none"/>
        </w:rPr>
        <w:t>5</w:t>
      </w:r>
      <w:r>
        <w:rPr>
          <w:rFonts w:hint="eastAsia" w:ascii="宋体" w:hAnsi="宋体"/>
          <w:color w:val="auto"/>
          <w:szCs w:val="21"/>
          <w:highlight w:val="none"/>
        </w:rPr>
        <w:t>.1除第二章“供应商须知前附表”授权评标委员会直接确定中标人外，评标委员会对满足采购文件实质性要求的投标文件，按照本章第2.2.2款规定的评分标准进行打分，并按最终得分由高到低的顺序推荐3名中标候选人。供应商的最终得分</w:t>
      </w:r>
      <w:r>
        <w:rPr>
          <w:rFonts w:hint="eastAsia" w:ascii="宋体" w:hAnsi="宋体" w:cs="Arial"/>
          <w:color w:val="auto"/>
          <w:szCs w:val="21"/>
          <w:highlight w:val="none"/>
        </w:rPr>
        <w:t>相同时，对获得</w:t>
      </w:r>
      <w:r>
        <w:rPr>
          <w:rFonts w:hint="eastAsia" w:ascii="宋体" w:hAnsi="宋体"/>
          <w:color w:val="auto"/>
          <w:szCs w:val="21"/>
          <w:highlight w:val="none"/>
        </w:rPr>
        <w:t>《中国节能产品认证证书》（政府强制采购的节能产品除外）和</w:t>
      </w:r>
      <w:r>
        <w:rPr>
          <w:rFonts w:hint="eastAsia" w:ascii="宋体" w:hAnsi="宋体" w:cs="Arial"/>
          <w:color w:val="auto"/>
          <w:szCs w:val="21"/>
          <w:highlight w:val="none"/>
        </w:rPr>
        <w:t>《中国环境标志产品认证证书》的产品实施优先采购，即获得</w:t>
      </w:r>
      <w:r>
        <w:rPr>
          <w:rFonts w:hint="eastAsia" w:ascii="宋体" w:hAnsi="宋体"/>
          <w:color w:val="auto"/>
          <w:szCs w:val="21"/>
          <w:highlight w:val="none"/>
        </w:rPr>
        <w:t>《中国节能产品认证证书》（政府强制采购的节能产品除外）和</w:t>
      </w:r>
      <w:r>
        <w:rPr>
          <w:rFonts w:hint="eastAsia" w:ascii="宋体" w:hAnsi="宋体" w:cs="Arial"/>
          <w:color w:val="auto"/>
          <w:szCs w:val="21"/>
          <w:highlight w:val="none"/>
        </w:rPr>
        <w:t>《中国环境标志产品认证证书》总数最多者优先（同时获得</w:t>
      </w:r>
      <w:r>
        <w:rPr>
          <w:rFonts w:hint="eastAsia" w:ascii="宋体" w:hAnsi="宋体"/>
          <w:color w:val="auto"/>
          <w:szCs w:val="21"/>
          <w:highlight w:val="none"/>
        </w:rPr>
        <w:t>《中国节能产品认证证书》和</w:t>
      </w:r>
      <w:r>
        <w:rPr>
          <w:rFonts w:hint="eastAsia" w:ascii="宋体" w:hAnsi="宋体" w:cs="Arial"/>
          <w:color w:val="auto"/>
          <w:szCs w:val="21"/>
          <w:highlight w:val="none"/>
        </w:rPr>
        <w:t>《中国环境标志产品认证证书》的产品，按一种类型计算）；若供应商所提供的产品获得</w:t>
      </w:r>
      <w:r>
        <w:rPr>
          <w:rFonts w:hint="eastAsia" w:ascii="宋体" w:hAnsi="宋体"/>
          <w:color w:val="auto"/>
          <w:szCs w:val="21"/>
          <w:highlight w:val="none"/>
        </w:rPr>
        <w:t>《中国节能产品认证证书》和</w:t>
      </w:r>
      <w:r>
        <w:rPr>
          <w:rFonts w:hint="eastAsia" w:ascii="宋体" w:hAnsi="宋体" w:cs="Arial"/>
          <w:color w:val="auto"/>
          <w:szCs w:val="21"/>
          <w:highlight w:val="none"/>
        </w:rPr>
        <w:t>《中国环境标志产品认证证书》的总数相同时，以商务部分得分高的优先；商务部分得分也相同时</w:t>
      </w:r>
      <w:r>
        <w:rPr>
          <w:rFonts w:hint="eastAsia" w:ascii="宋体" w:hAnsi="宋体"/>
          <w:color w:val="auto"/>
          <w:szCs w:val="21"/>
          <w:highlight w:val="none"/>
        </w:rPr>
        <w:t>，</w:t>
      </w:r>
      <w:r>
        <w:rPr>
          <w:rFonts w:hint="eastAsia" w:ascii="宋体" w:hAnsi="宋体" w:cs="Arial"/>
          <w:color w:val="auto"/>
          <w:szCs w:val="21"/>
          <w:highlight w:val="none"/>
        </w:rPr>
        <w:t>以评标委员会成员投票得票高低顺序推荐中标候选人。</w:t>
      </w:r>
    </w:p>
    <w:p w14:paraId="38E1883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5</w:t>
      </w:r>
      <w:r>
        <w:rPr>
          <w:rFonts w:hint="eastAsia" w:ascii="宋体" w:hAnsi="宋体"/>
          <w:color w:val="auto"/>
          <w:szCs w:val="21"/>
          <w:highlight w:val="none"/>
        </w:rPr>
        <w:t>.2 评标委员会完成评标后，应当向采购人提交书面评标报告。</w:t>
      </w:r>
    </w:p>
    <w:p w14:paraId="3F3362BF">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br w:type="page"/>
      </w:r>
    </w:p>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p w14:paraId="31601F24">
      <w:pPr>
        <w:rPr>
          <w:rFonts w:hint="eastAsia" w:ascii="宋体" w:hAnsi="宋体"/>
          <w:b/>
          <w:color w:val="auto"/>
          <w:sz w:val="24"/>
          <w:szCs w:val="24"/>
          <w:highlight w:val="none"/>
        </w:rPr>
      </w:pPr>
      <w:bookmarkStart w:id="1276" w:name="_Toc103722691"/>
      <w:bookmarkStart w:id="1277" w:name="_Toc101731140"/>
      <w:bookmarkStart w:id="1278" w:name="_Toc518130851"/>
      <w:bookmarkStart w:id="1279" w:name="_Toc53845201"/>
      <w:bookmarkStart w:id="1280" w:name="_Toc516654859"/>
      <w:bookmarkStart w:id="1281" w:name="_Toc53941943"/>
      <w:bookmarkStart w:id="1282" w:name="_Toc518141900"/>
      <w:bookmarkStart w:id="1283" w:name="_Toc491097874"/>
      <w:bookmarkStart w:id="1284" w:name="_Toc517978869"/>
      <w:bookmarkStart w:id="1285" w:name="_Toc491159090"/>
      <w:bookmarkStart w:id="1286" w:name="_Toc55384612"/>
      <w:bookmarkStart w:id="1287" w:name="_Toc516389712"/>
      <w:bookmarkStart w:id="1288" w:name="_Toc518130786"/>
      <w:bookmarkStart w:id="1289" w:name="_Toc518141768"/>
      <w:bookmarkStart w:id="1290" w:name="_Toc516762833"/>
      <w:bookmarkStart w:id="1291" w:name="_Toc517891544"/>
      <w:bookmarkStart w:id="1292" w:name="_Toc516389821"/>
      <w:bookmarkStart w:id="1293" w:name="_Toc517962056"/>
      <w:bookmarkStart w:id="1294" w:name="_Toc54871522"/>
      <w:bookmarkStart w:id="1295" w:name="_Toc517710376"/>
      <w:bookmarkStart w:id="1296" w:name="_Toc491089871"/>
      <w:bookmarkStart w:id="1297" w:name="_Toc518140129"/>
      <w:bookmarkStart w:id="1298" w:name="_Toc517710821"/>
      <w:bookmarkStart w:id="1299" w:name="_Toc517710039"/>
      <w:bookmarkStart w:id="1300" w:name="_Toc516674704"/>
      <w:r>
        <w:rPr>
          <w:rFonts w:ascii="宋体" w:hAnsi="宋体"/>
          <w:b/>
          <w:color w:val="auto"/>
          <w:sz w:val="24"/>
          <w:szCs w:val="24"/>
          <w:highlight w:val="none"/>
        </w:rPr>
        <w:t>附件A：</w:t>
      </w:r>
      <w:r>
        <w:rPr>
          <w:rFonts w:hint="eastAsia" w:ascii="宋体" w:hAnsi="宋体"/>
          <w:b/>
          <w:color w:val="auto"/>
          <w:sz w:val="24"/>
          <w:szCs w:val="24"/>
          <w:highlight w:val="none"/>
        </w:rPr>
        <w:t>详细评审程序</w:t>
      </w:r>
      <w:bookmarkEnd w:id="1276"/>
      <w:bookmarkEnd w:id="1277"/>
    </w:p>
    <w:p w14:paraId="4F97752E">
      <w:pPr>
        <w:spacing w:before="120" w:beforeLines="50" w:line="360" w:lineRule="auto"/>
        <w:jc w:val="center"/>
        <w:rPr>
          <w:rFonts w:hint="eastAsia" w:ascii="宋体" w:hAnsi="宋体"/>
          <w:b/>
          <w:color w:val="auto"/>
          <w:szCs w:val="21"/>
          <w:highlight w:val="none"/>
        </w:rPr>
      </w:pPr>
      <w:bookmarkStart w:id="1301" w:name="_Toc90997778"/>
      <w:bookmarkStart w:id="1302" w:name="_Toc70096084"/>
      <w:bookmarkStart w:id="1303" w:name="_Toc74086603"/>
      <w:bookmarkStart w:id="1304" w:name="_Toc75476311"/>
      <w:bookmarkStart w:id="1305" w:name="_Toc78372778"/>
      <w:bookmarkStart w:id="1306" w:name="_Toc70424804"/>
      <w:bookmarkStart w:id="1307" w:name="_Toc73950337"/>
      <w:r>
        <w:rPr>
          <w:rFonts w:ascii="宋体" w:hAnsi="宋体"/>
          <w:b/>
          <w:color w:val="auto"/>
          <w:szCs w:val="21"/>
          <w:highlight w:val="none"/>
        </w:rPr>
        <w:t>详细</w:t>
      </w:r>
      <w:r>
        <w:rPr>
          <w:rFonts w:hint="eastAsia" w:ascii="宋体" w:hAnsi="宋体"/>
          <w:b/>
          <w:color w:val="auto"/>
          <w:szCs w:val="21"/>
          <w:highlight w:val="none"/>
        </w:rPr>
        <w:t>评审</w:t>
      </w:r>
      <w:r>
        <w:rPr>
          <w:rFonts w:ascii="宋体" w:hAnsi="宋体"/>
          <w:b/>
          <w:color w:val="auto"/>
          <w:szCs w:val="21"/>
          <w:highlight w:val="none"/>
        </w:rPr>
        <w:t>程序</w:t>
      </w:r>
      <w:bookmarkEnd w:id="1301"/>
      <w:bookmarkEnd w:id="1302"/>
      <w:bookmarkEnd w:id="1303"/>
      <w:bookmarkEnd w:id="1304"/>
      <w:bookmarkEnd w:id="1305"/>
      <w:bookmarkEnd w:id="1306"/>
      <w:bookmarkEnd w:id="1307"/>
    </w:p>
    <w:p w14:paraId="00773C08">
      <w:pPr>
        <w:spacing w:before="120" w:beforeLines="50" w:line="360" w:lineRule="auto"/>
        <w:rPr>
          <w:rFonts w:hint="eastAsia" w:ascii="宋体" w:hAnsi="宋体"/>
          <w:b/>
          <w:color w:val="auto"/>
          <w:sz w:val="24"/>
          <w:szCs w:val="24"/>
          <w:highlight w:val="none"/>
        </w:rPr>
      </w:pPr>
      <w:bookmarkStart w:id="1308" w:name="_Toc103722692"/>
      <w:bookmarkStart w:id="1309" w:name="_Toc75476312"/>
      <w:bookmarkStart w:id="1310" w:name="_Toc78372779"/>
      <w:bookmarkStart w:id="1311" w:name="_Toc90997779"/>
      <w:bookmarkStart w:id="1312" w:name="_Toc101731141"/>
      <w:r>
        <w:rPr>
          <w:rFonts w:ascii="宋体" w:hAnsi="宋体"/>
          <w:b/>
          <w:color w:val="auto"/>
          <w:sz w:val="24"/>
          <w:szCs w:val="24"/>
          <w:highlight w:val="none"/>
        </w:rPr>
        <w:t>A0.总则</w:t>
      </w:r>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8"/>
      <w:bookmarkEnd w:id="1309"/>
      <w:bookmarkEnd w:id="1310"/>
      <w:bookmarkEnd w:id="1311"/>
      <w:bookmarkEnd w:id="1312"/>
    </w:p>
    <w:p w14:paraId="7946BBF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本附件是本章“评标办法”的组成部分，是对本章第3条所规定的评标程序的进一些细化，评标委员会应当按照本附件所规定的详细程序开展并完成评标工作。</w:t>
      </w:r>
    </w:p>
    <w:p w14:paraId="29A61AB9">
      <w:pPr>
        <w:spacing w:line="360" w:lineRule="auto"/>
        <w:rPr>
          <w:rFonts w:hint="eastAsia" w:ascii="宋体" w:hAnsi="宋体"/>
          <w:b/>
          <w:color w:val="auto"/>
          <w:sz w:val="24"/>
          <w:szCs w:val="24"/>
          <w:highlight w:val="none"/>
        </w:rPr>
      </w:pPr>
      <w:bookmarkStart w:id="1313" w:name="_Toc54871523"/>
      <w:bookmarkStart w:id="1314" w:name="_Toc518141901"/>
      <w:bookmarkStart w:id="1315" w:name="_Toc53845202"/>
      <w:bookmarkStart w:id="1316" w:name="_Toc517710040"/>
      <w:bookmarkStart w:id="1317" w:name="_Toc517962057"/>
      <w:bookmarkStart w:id="1318" w:name="_Toc90997780"/>
      <w:bookmarkStart w:id="1319" w:name="_Toc78372780"/>
      <w:bookmarkStart w:id="1320" w:name="_Toc491159091"/>
      <w:bookmarkStart w:id="1321" w:name="_Toc516674705"/>
      <w:bookmarkStart w:id="1322" w:name="_Toc516654860"/>
      <w:bookmarkStart w:id="1323" w:name="_Toc55384613"/>
      <w:bookmarkStart w:id="1324" w:name="_Toc517891545"/>
      <w:bookmarkStart w:id="1325" w:name="_Toc517710822"/>
      <w:bookmarkStart w:id="1326" w:name="_Toc518140130"/>
      <w:bookmarkStart w:id="1327" w:name="_Toc103722693"/>
      <w:bookmarkStart w:id="1328" w:name="_Toc517978870"/>
      <w:bookmarkStart w:id="1329" w:name="_Toc516389713"/>
      <w:bookmarkStart w:id="1330" w:name="_Toc495488562"/>
      <w:bookmarkStart w:id="1331" w:name="_Toc53941944"/>
      <w:bookmarkStart w:id="1332" w:name="_Toc491089872"/>
      <w:bookmarkStart w:id="1333" w:name="_Toc518130852"/>
      <w:bookmarkStart w:id="1334" w:name="_Toc75476313"/>
      <w:bookmarkStart w:id="1335" w:name="_Toc101731142"/>
      <w:bookmarkStart w:id="1336" w:name="_Toc491097875"/>
      <w:bookmarkStart w:id="1337" w:name="_Toc517710377"/>
      <w:bookmarkStart w:id="1338" w:name="_Toc516762834"/>
      <w:bookmarkStart w:id="1339" w:name="_Toc518141769"/>
      <w:bookmarkStart w:id="1340" w:name="_Toc516389822"/>
      <w:bookmarkStart w:id="1341" w:name="_Toc518130787"/>
      <w:bookmarkStart w:id="1342" w:name="_Toc516331237"/>
      <w:r>
        <w:rPr>
          <w:rFonts w:ascii="宋体" w:hAnsi="宋体"/>
          <w:b/>
          <w:color w:val="auto"/>
          <w:sz w:val="24"/>
          <w:szCs w:val="24"/>
          <w:highlight w:val="none"/>
        </w:rPr>
        <w:t>A1.基本程序</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14:paraId="645BF35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评标活动将按以下五个步骤进行：</w:t>
      </w:r>
    </w:p>
    <w:p w14:paraId="36940D8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（1）评标准备；</w:t>
      </w:r>
    </w:p>
    <w:p w14:paraId="68D8C11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（2）初步评审；</w:t>
      </w:r>
    </w:p>
    <w:p w14:paraId="5E74C4F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（3）详细评审；</w:t>
      </w:r>
    </w:p>
    <w:p w14:paraId="40B5B66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（4）澄清、说明或者补正；</w:t>
      </w:r>
    </w:p>
    <w:p w14:paraId="1623C33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（5）推荐中标候选人或者直接确定中标人及提交评标报告。</w:t>
      </w:r>
    </w:p>
    <w:p w14:paraId="750421F6">
      <w:pPr>
        <w:spacing w:line="360" w:lineRule="auto"/>
        <w:rPr>
          <w:rFonts w:hint="eastAsia" w:ascii="宋体" w:hAnsi="宋体"/>
          <w:b/>
          <w:color w:val="auto"/>
          <w:sz w:val="24"/>
          <w:szCs w:val="24"/>
          <w:highlight w:val="none"/>
        </w:rPr>
      </w:pPr>
      <w:bookmarkStart w:id="1343" w:name="_Toc516762835"/>
      <w:bookmarkStart w:id="1344" w:name="_Toc516389823"/>
      <w:bookmarkStart w:id="1345" w:name="_Toc517710823"/>
      <w:bookmarkStart w:id="1346" w:name="_Toc517710378"/>
      <w:bookmarkStart w:id="1347" w:name="_Toc517978871"/>
      <w:bookmarkStart w:id="1348" w:name="_Toc516674706"/>
      <w:bookmarkStart w:id="1349" w:name="_Toc101731143"/>
      <w:bookmarkStart w:id="1350" w:name="_Toc491159092"/>
      <w:bookmarkStart w:id="1351" w:name="_Toc90997781"/>
      <w:bookmarkStart w:id="1352" w:name="_Toc516654861"/>
      <w:bookmarkStart w:id="1353" w:name="_Toc55384614"/>
      <w:bookmarkStart w:id="1354" w:name="_Toc518130853"/>
      <w:bookmarkStart w:id="1355" w:name="_Toc518130788"/>
      <w:bookmarkStart w:id="1356" w:name="_Toc516331238"/>
      <w:bookmarkStart w:id="1357" w:name="_Toc78372781"/>
      <w:bookmarkStart w:id="1358" w:name="_Toc75476314"/>
      <w:bookmarkStart w:id="1359" w:name="_Toc53941945"/>
      <w:bookmarkStart w:id="1360" w:name="_Toc491097876"/>
      <w:bookmarkStart w:id="1361" w:name="_Toc495488563"/>
      <w:bookmarkStart w:id="1362" w:name="_Toc516389714"/>
      <w:bookmarkStart w:id="1363" w:name="_Toc491089873"/>
      <w:bookmarkStart w:id="1364" w:name="_Toc518141770"/>
      <w:bookmarkStart w:id="1365" w:name="_Toc103722694"/>
      <w:bookmarkStart w:id="1366" w:name="_Toc518141902"/>
      <w:bookmarkStart w:id="1367" w:name="_Toc517962058"/>
      <w:bookmarkStart w:id="1368" w:name="_Toc517891546"/>
      <w:bookmarkStart w:id="1369" w:name="_Toc517710041"/>
      <w:bookmarkStart w:id="1370" w:name="_Toc53845203"/>
      <w:bookmarkStart w:id="1371" w:name="_Toc518140131"/>
      <w:bookmarkStart w:id="1372" w:name="_Toc54871524"/>
      <w:r>
        <w:rPr>
          <w:rFonts w:ascii="宋体" w:hAnsi="宋体"/>
          <w:b/>
          <w:color w:val="auto"/>
          <w:sz w:val="24"/>
          <w:szCs w:val="24"/>
          <w:highlight w:val="none"/>
        </w:rPr>
        <w:t>A2.评标准备</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14:paraId="3A97E18A">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A2.1评标委员会成员签到</w:t>
      </w:r>
    </w:p>
    <w:p w14:paraId="6FB438A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评标委员会成员到达评标现场时应在签到表上签到以证明其出席。</w:t>
      </w:r>
    </w:p>
    <w:p w14:paraId="6FEF6B56">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A2.2评标委员会的分工</w:t>
      </w:r>
    </w:p>
    <w:p w14:paraId="4EF5B37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评标委员会首先推选一名评标委员会主任，并由其负责评标活动的组织领导工作。评标委员会主任在与其他评标委员会成员商议的基础上可以将评标委员会划分为技术组和商务组。</w:t>
      </w:r>
    </w:p>
    <w:p w14:paraId="42F27B07">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A2.3熟悉文件资料</w:t>
      </w:r>
    </w:p>
    <w:p w14:paraId="6B66881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A2.3.1评标委员会主任应组织评标委员会成员认真研究采购文件，了解和熟悉采购目的、采购范围、主要合同条件、质量标准和交货期等要求，掌握评标标准和方法，未在</w:t>
      </w:r>
      <w:r>
        <w:rPr>
          <w:rFonts w:hint="eastAsia" w:ascii="宋体" w:hAnsi="宋体"/>
          <w:snapToGrid w:val="0"/>
          <w:color w:val="auto"/>
          <w:szCs w:val="21"/>
          <w:highlight w:val="none"/>
        </w:rPr>
        <w:t>采购文件</w:t>
      </w:r>
      <w:r>
        <w:rPr>
          <w:rFonts w:hint="eastAsia" w:ascii="宋体" w:hAnsi="宋体"/>
          <w:color w:val="auto"/>
          <w:szCs w:val="21"/>
          <w:highlight w:val="none"/>
        </w:rPr>
        <w:t>中规定的标准和方法不得作为评标的依据。</w:t>
      </w:r>
    </w:p>
    <w:p w14:paraId="5780D92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A2.3.2采购人或代理机构应向评标委员会提供评标所需的信息和数据，包括</w:t>
      </w:r>
      <w:r>
        <w:rPr>
          <w:rFonts w:hint="eastAsia" w:ascii="宋体" w:hAnsi="宋体"/>
          <w:snapToGrid w:val="0"/>
          <w:color w:val="auto"/>
          <w:szCs w:val="21"/>
          <w:highlight w:val="none"/>
        </w:rPr>
        <w:t>采购文件</w:t>
      </w:r>
      <w:r>
        <w:rPr>
          <w:rFonts w:hint="eastAsia" w:ascii="宋体" w:hAnsi="宋体"/>
          <w:color w:val="auto"/>
          <w:szCs w:val="21"/>
          <w:highlight w:val="none"/>
        </w:rPr>
        <w:t>、未在开标会上当场拒绝的各投标文件、开标会记录及各供应商在评标委员会认为必要的其他信息和数据。</w:t>
      </w:r>
    </w:p>
    <w:p w14:paraId="0517FA40">
      <w:pPr>
        <w:spacing w:line="360" w:lineRule="auto"/>
        <w:rPr>
          <w:rFonts w:hint="eastAsia" w:ascii="宋体" w:hAnsi="宋体"/>
          <w:b/>
          <w:color w:val="auto"/>
          <w:sz w:val="24"/>
          <w:szCs w:val="24"/>
          <w:highlight w:val="none"/>
        </w:rPr>
      </w:pPr>
      <w:bookmarkStart w:id="1373" w:name="_Toc517978872"/>
      <w:bookmarkStart w:id="1374" w:name="_Toc55384615"/>
      <w:bookmarkStart w:id="1375" w:name="_Toc517710379"/>
      <w:bookmarkStart w:id="1376" w:name="_Toc75476315"/>
      <w:bookmarkStart w:id="1377" w:name="_Toc53845204"/>
      <w:bookmarkStart w:id="1378" w:name="_Toc517710824"/>
      <w:bookmarkStart w:id="1379" w:name="_Toc518141903"/>
      <w:bookmarkStart w:id="1380" w:name="_Toc491097877"/>
      <w:bookmarkStart w:id="1381" w:name="_Toc53941946"/>
      <w:bookmarkStart w:id="1382" w:name="_Toc516331239"/>
      <w:bookmarkStart w:id="1383" w:name="_Toc518130789"/>
      <w:bookmarkStart w:id="1384" w:name="_Toc518140132"/>
      <w:bookmarkStart w:id="1385" w:name="_Toc495488564"/>
      <w:bookmarkStart w:id="1386" w:name="_Toc517891547"/>
      <w:bookmarkStart w:id="1387" w:name="_Toc516654862"/>
      <w:bookmarkStart w:id="1388" w:name="_Toc516389824"/>
      <w:bookmarkStart w:id="1389" w:name="_Toc103722695"/>
      <w:bookmarkStart w:id="1390" w:name="_Toc78372782"/>
      <w:bookmarkStart w:id="1391" w:name="_Toc491159093"/>
      <w:bookmarkStart w:id="1392" w:name="_Toc90997782"/>
      <w:bookmarkStart w:id="1393" w:name="_Toc517710042"/>
      <w:bookmarkStart w:id="1394" w:name="_Toc101731144"/>
      <w:bookmarkStart w:id="1395" w:name="_Toc491089874"/>
      <w:bookmarkStart w:id="1396" w:name="_Toc516389715"/>
      <w:bookmarkStart w:id="1397" w:name="_Toc54871525"/>
      <w:bookmarkStart w:id="1398" w:name="_Toc516674707"/>
      <w:bookmarkStart w:id="1399" w:name="_Toc517962059"/>
      <w:bookmarkStart w:id="1400" w:name="_Toc516762836"/>
      <w:bookmarkStart w:id="1401" w:name="_Toc518141771"/>
      <w:bookmarkStart w:id="1402" w:name="_Toc518130854"/>
      <w:r>
        <w:rPr>
          <w:rFonts w:ascii="宋体" w:hAnsi="宋体"/>
          <w:b/>
          <w:color w:val="auto"/>
          <w:sz w:val="24"/>
          <w:szCs w:val="24"/>
          <w:highlight w:val="none"/>
        </w:rPr>
        <w:t>A3.初步评审</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p>
    <w:p w14:paraId="03E82280">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A3.1资格审查</w:t>
      </w:r>
    </w:p>
    <w:p w14:paraId="7B80334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根据评标办法前附表中规定的评审因素和评审标准，采购人、采购代理机构对供应商的投标文件进行资格审查，并记录审查结果，通过资格审查的投标文件才能进入符合性审查。</w:t>
      </w:r>
    </w:p>
    <w:p w14:paraId="003C4680">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A3.</w:t>
      </w:r>
      <w:r>
        <w:rPr>
          <w:rFonts w:ascii="宋体" w:hAnsi="宋体"/>
          <w:b/>
          <w:color w:val="auto"/>
          <w:szCs w:val="21"/>
          <w:highlight w:val="none"/>
        </w:rPr>
        <w:t>2</w:t>
      </w:r>
      <w:r>
        <w:rPr>
          <w:rFonts w:hint="eastAsia" w:ascii="宋体" w:hAnsi="宋体"/>
          <w:b/>
          <w:color w:val="auto"/>
          <w:szCs w:val="21"/>
          <w:highlight w:val="none"/>
        </w:rPr>
        <w:t>对投标文件进行基础性数据分析和整理工作（清标）</w:t>
      </w:r>
    </w:p>
    <w:p w14:paraId="23693AF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在不改变供应商投标文件实质性内容的前提下，评标委员会应当对投标文件进行基础性数据分析和整理（简称为“清标”），从而发现并提取其中可能存在的对采购范围理解的偏差、投标报价的算术性错误、错漏项、投标报价构成不合理、不平衡报价等存在明显异常的问题，并就这些问题整理形成清标成果。评标委员会对清标成果审议后，决定需要供应商进行书面澄清、说明或补正的问题，形成质疑问卷，向供应商发出问题澄清通知（质疑问卷）。</w:t>
      </w:r>
    </w:p>
    <w:p w14:paraId="17091FB5">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A3.</w:t>
      </w:r>
      <w:r>
        <w:rPr>
          <w:rFonts w:ascii="宋体" w:hAnsi="宋体"/>
          <w:b/>
          <w:color w:val="auto"/>
          <w:szCs w:val="21"/>
          <w:highlight w:val="none"/>
        </w:rPr>
        <w:t>3</w:t>
      </w:r>
      <w:r>
        <w:rPr>
          <w:rFonts w:hint="eastAsia" w:ascii="宋体" w:hAnsi="宋体"/>
          <w:b/>
          <w:color w:val="auto"/>
          <w:szCs w:val="21"/>
          <w:highlight w:val="none"/>
        </w:rPr>
        <w:t>符合性审查</w:t>
      </w:r>
    </w:p>
    <w:p w14:paraId="5412272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根据评标办法前附表中规定的评审因素和评审标准，评标委员会对供应商的投标文件进行符合性审查，并记录审查结果，通过符合性审查的投标文件才能进入详细评审。</w:t>
      </w:r>
    </w:p>
    <w:p w14:paraId="577549E0">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A3.</w:t>
      </w:r>
      <w:r>
        <w:rPr>
          <w:rFonts w:ascii="宋体" w:hAnsi="宋体"/>
          <w:b/>
          <w:color w:val="auto"/>
          <w:szCs w:val="21"/>
          <w:highlight w:val="none"/>
        </w:rPr>
        <w:t>4</w:t>
      </w:r>
      <w:r>
        <w:rPr>
          <w:rFonts w:hint="eastAsia" w:ascii="宋体" w:hAnsi="宋体"/>
          <w:b/>
          <w:color w:val="auto"/>
          <w:szCs w:val="21"/>
          <w:highlight w:val="none"/>
        </w:rPr>
        <w:t>判断投标是否为否决投标</w:t>
      </w:r>
    </w:p>
    <w:p w14:paraId="49A00B7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评标委员会在评标(包括初步评审和详细评审)过程中，依据本章附件B中规定的否决投标条件判断供应商的投标是否为否决投标。</w:t>
      </w:r>
    </w:p>
    <w:p w14:paraId="1BE59095">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A3.</w:t>
      </w:r>
      <w:r>
        <w:rPr>
          <w:rFonts w:ascii="宋体" w:hAnsi="宋体"/>
          <w:b/>
          <w:color w:val="auto"/>
          <w:szCs w:val="21"/>
          <w:highlight w:val="none"/>
        </w:rPr>
        <w:t>5</w:t>
      </w:r>
      <w:r>
        <w:rPr>
          <w:rFonts w:hint="eastAsia" w:ascii="宋体" w:hAnsi="宋体"/>
          <w:b/>
          <w:color w:val="auto"/>
          <w:szCs w:val="21"/>
          <w:highlight w:val="none"/>
        </w:rPr>
        <w:t>投标文件的澄清、说明或者补正</w:t>
      </w:r>
    </w:p>
    <w:p w14:paraId="50E8534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5</w:t>
      </w:r>
      <w:r>
        <w:rPr>
          <w:rFonts w:hint="eastAsia" w:ascii="宋体" w:hAnsi="宋体"/>
          <w:color w:val="auto"/>
          <w:szCs w:val="21"/>
          <w:highlight w:val="none"/>
        </w:rPr>
        <w:t>.1评审过程中，评标委员会对供应商的投标文件中含义不明确、同类问题表述不一致或者有明显文字和计算错误的内容，应当以书面形式要求供应商做出必要的澄清、说明或者补正。</w:t>
      </w:r>
    </w:p>
    <w:p w14:paraId="7BCEEE7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5</w:t>
      </w:r>
      <w:r>
        <w:rPr>
          <w:rFonts w:hint="eastAsia" w:ascii="宋体" w:hAnsi="宋体"/>
          <w:color w:val="auto"/>
          <w:szCs w:val="21"/>
          <w:highlight w:val="none"/>
        </w:rPr>
        <w:t>.2供应商的澄清、说明或者补正应当采用书面形式，并加盖公章，或者由法定代表人或其授权的代表签字。供应商的澄清、说明或者补正不得超出投标文件的范围或者改变投标文件的实质性内容（算术性错误修正的除外）。供应商的书面澄清、说明或者补正属于投标文件的组成部分。</w:t>
      </w:r>
    </w:p>
    <w:p w14:paraId="4C9FC6E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A3.</w:t>
      </w:r>
      <w:r>
        <w:rPr>
          <w:rFonts w:ascii="宋体" w:hAnsi="宋体"/>
          <w:color w:val="auto"/>
          <w:szCs w:val="21"/>
          <w:highlight w:val="none"/>
        </w:rPr>
        <w:t>5</w:t>
      </w:r>
      <w:r>
        <w:rPr>
          <w:rFonts w:hint="eastAsia" w:ascii="宋体" w:hAnsi="宋体"/>
          <w:color w:val="auto"/>
          <w:szCs w:val="21"/>
          <w:highlight w:val="none"/>
        </w:rPr>
        <w:t>.3评标委员会对供应商提交的澄清、说明或者补正有疑问的，可以要求供应商进一步澄清、说明或者补正，直至满足评标委员会的要求。</w:t>
      </w:r>
    </w:p>
    <w:p w14:paraId="289EDDF2">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A3.</w:t>
      </w:r>
      <w:r>
        <w:rPr>
          <w:rFonts w:ascii="宋体" w:hAnsi="宋体"/>
          <w:b/>
          <w:color w:val="auto"/>
          <w:szCs w:val="21"/>
          <w:highlight w:val="none"/>
        </w:rPr>
        <w:t>6</w:t>
      </w:r>
      <w:r>
        <w:rPr>
          <w:rFonts w:hint="eastAsia" w:ascii="宋体" w:hAnsi="宋体"/>
          <w:b/>
          <w:color w:val="auto"/>
          <w:szCs w:val="21"/>
          <w:highlight w:val="none"/>
        </w:rPr>
        <w:t>算术性错误修正</w:t>
      </w:r>
    </w:p>
    <w:p w14:paraId="71B545B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供应商的投标文件报价出现前后不一致的，除采购文件另有规定外，评标委员会依法对其按照下列规定进行修正：</w:t>
      </w:r>
    </w:p>
    <w:p w14:paraId="524024D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（1）投标文件中的“开标一览表”内容与投标文件中的相应内容不一致的，以“开标一览表”中的内容为准；</w:t>
      </w:r>
    </w:p>
    <w:p w14:paraId="01D14DB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（2）大写金额和小写金额不一致的，以大写金额为准；</w:t>
      </w:r>
    </w:p>
    <w:p w14:paraId="559EBBD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（3）单价金额小数点或者百分比有明显错位的，以“开标一览表”中的投标报价为准，并修改单价；</w:t>
      </w:r>
    </w:p>
    <w:p w14:paraId="4598416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（4）总价金额与按单价汇总金额不一致的，以单价金额计算结果为准。</w:t>
      </w:r>
    </w:p>
    <w:p w14:paraId="7D12F72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同时出现两种以上不一致的，按照前款规定的顺序修正。修正后的报价按照本章第3.3款的规定经供应商确认后产生约束力，供应商不确认的，其投标无效。</w:t>
      </w:r>
    </w:p>
    <w:p w14:paraId="5BA02CA4">
      <w:pPr>
        <w:spacing w:line="360" w:lineRule="auto"/>
        <w:rPr>
          <w:rFonts w:hint="eastAsia" w:ascii="宋体" w:hAnsi="宋体"/>
          <w:b/>
          <w:color w:val="auto"/>
          <w:sz w:val="24"/>
          <w:szCs w:val="24"/>
          <w:highlight w:val="none"/>
        </w:rPr>
      </w:pPr>
      <w:bookmarkStart w:id="1403" w:name="_Toc517710825"/>
      <w:bookmarkStart w:id="1404" w:name="_Toc517978873"/>
      <w:bookmarkStart w:id="1405" w:name="_Toc518130790"/>
      <w:bookmarkStart w:id="1406" w:name="_Toc516389716"/>
      <w:bookmarkStart w:id="1407" w:name="_Toc491159094"/>
      <w:bookmarkStart w:id="1408" w:name="_Toc101731145"/>
      <w:bookmarkStart w:id="1409" w:name="_Toc43397712"/>
      <w:bookmarkStart w:id="1410" w:name="_Toc516762837"/>
      <w:bookmarkStart w:id="1411" w:name="_Toc103722696"/>
      <w:bookmarkStart w:id="1412" w:name="_Toc518141772"/>
      <w:bookmarkStart w:id="1413" w:name="_Toc516674708"/>
      <w:bookmarkStart w:id="1414" w:name="_Toc495488565"/>
      <w:bookmarkStart w:id="1415" w:name="_Toc73367552"/>
      <w:bookmarkStart w:id="1416" w:name="_Toc518140133"/>
      <w:bookmarkStart w:id="1417" w:name="_Toc70096089"/>
      <w:bookmarkStart w:id="1418" w:name="_Toc70424809"/>
      <w:bookmarkStart w:id="1419" w:name="_Toc491089875"/>
      <w:bookmarkStart w:id="1420" w:name="_Toc518130855"/>
      <w:bookmarkStart w:id="1421" w:name="_Toc90997783"/>
      <w:bookmarkStart w:id="1422" w:name="_Toc517962060"/>
      <w:bookmarkStart w:id="1423" w:name="_Toc48922643"/>
      <w:bookmarkStart w:id="1424" w:name="_Toc491097878"/>
      <w:bookmarkStart w:id="1425" w:name="_Toc516654863"/>
      <w:bookmarkStart w:id="1426" w:name="_Toc517891548"/>
      <w:bookmarkStart w:id="1427" w:name="_Toc50551701"/>
      <w:bookmarkStart w:id="1428" w:name="_Toc73950342"/>
      <w:bookmarkStart w:id="1429" w:name="_Toc50054123"/>
      <w:bookmarkStart w:id="1430" w:name="_Toc73472813"/>
      <w:bookmarkStart w:id="1431" w:name="_Toc516331240"/>
      <w:bookmarkStart w:id="1432" w:name="_Toc517710380"/>
      <w:bookmarkStart w:id="1433" w:name="_Toc78372783"/>
      <w:bookmarkStart w:id="1434" w:name="_Toc516389825"/>
      <w:bookmarkStart w:id="1435" w:name="_Toc75476316"/>
      <w:bookmarkStart w:id="1436" w:name="_Toc74086608"/>
      <w:bookmarkStart w:id="1437" w:name="_Toc517710043"/>
      <w:bookmarkStart w:id="1438" w:name="_Toc518141904"/>
      <w:r>
        <w:rPr>
          <w:rFonts w:ascii="宋体" w:hAnsi="宋体"/>
          <w:b/>
          <w:color w:val="auto"/>
          <w:sz w:val="24"/>
          <w:szCs w:val="24"/>
          <w:highlight w:val="none"/>
        </w:rPr>
        <w:t>A4.详细评审</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14:paraId="2ADD867E">
      <w:pPr>
        <w:spacing w:line="360" w:lineRule="auto"/>
        <w:ind w:firstLine="422" w:firstLineChars="200"/>
        <w:rPr>
          <w:rFonts w:hint="eastAsia" w:ascii="宋体" w:hAnsi="宋体"/>
          <w:b/>
          <w:color w:val="auto"/>
          <w:szCs w:val="21"/>
          <w:highlight w:val="none"/>
        </w:rPr>
      </w:pPr>
      <w:r>
        <w:rPr>
          <w:rFonts w:ascii="宋体" w:hAnsi="宋体"/>
          <w:b/>
          <w:color w:val="auto"/>
          <w:szCs w:val="21"/>
          <w:highlight w:val="none"/>
        </w:rPr>
        <w:t>A4.1详细评审的程序</w:t>
      </w:r>
    </w:p>
    <w:p w14:paraId="0F7D4D5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评标委员会按照本章评审规定的程序进行详细评审：</w:t>
      </w:r>
    </w:p>
    <w:p w14:paraId="550DCE7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（1）技术部分评审评分；</w:t>
      </w:r>
    </w:p>
    <w:p w14:paraId="0DB6715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）商务部分评审评分；</w:t>
      </w:r>
    </w:p>
    <w:p w14:paraId="2B27D73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）汇总评分结果。</w:t>
      </w:r>
    </w:p>
    <w:p w14:paraId="327888C3">
      <w:pPr>
        <w:spacing w:line="360" w:lineRule="auto"/>
        <w:ind w:firstLine="422" w:firstLineChars="200"/>
        <w:rPr>
          <w:rFonts w:hint="eastAsia" w:ascii="宋体" w:hAnsi="宋体"/>
          <w:b/>
          <w:color w:val="auto"/>
          <w:szCs w:val="21"/>
          <w:highlight w:val="none"/>
        </w:rPr>
      </w:pPr>
      <w:bookmarkStart w:id="1439" w:name="_Hlk70244435"/>
      <w:r>
        <w:rPr>
          <w:rFonts w:ascii="宋体" w:hAnsi="宋体"/>
          <w:b/>
          <w:color w:val="auto"/>
          <w:szCs w:val="21"/>
          <w:highlight w:val="none"/>
        </w:rPr>
        <w:t>A4.2技术部分</w:t>
      </w:r>
      <w:r>
        <w:rPr>
          <w:rFonts w:hint="eastAsia" w:ascii="宋体" w:hAnsi="宋体"/>
          <w:b/>
          <w:color w:val="auto"/>
          <w:szCs w:val="21"/>
          <w:highlight w:val="none"/>
        </w:rPr>
        <w:t>评审评分</w:t>
      </w:r>
    </w:p>
    <w:p w14:paraId="55237FA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技术部分评分标准：详见评标办法前附表。</w:t>
      </w:r>
    </w:p>
    <w:bookmarkEnd w:id="1439"/>
    <w:p w14:paraId="4DE3EE59">
      <w:pPr>
        <w:spacing w:line="360" w:lineRule="auto"/>
        <w:ind w:firstLine="422" w:firstLineChars="200"/>
        <w:rPr>
          <w:rFonts w:hint="eastAsia" w:ascii="宋体" w:hAnsi="宋体"/>
          <w:b/>
          <w:color w:val="auto"/>
          <w:szCs w:val="21"/>
          <w:highlight w:val="none"/>
        </w:rPr>
      </w:pPr>
      <w:r>
        <w:rPr>
          <w:rFonts w:ascii="宋体" w:hAnsi="宋体"/>
          <w:b/>
          <w:color w:val="auto"/>
          <w:szCs w:val="21"/>
          <w:highlight w:val="none"/>
        </w:rPr>
        <w:t>A4.3</w:t>
      </w:r>
      <w:r>
        <w:rPr>
          <w:rFonts w:hint="eastAsia" w:ascii="宋体" w:hAnsi="宋体"/>
          <w:b/>
          <w:color w:val="auto"/>
          <w:szCs w:val="21"/>
          <w:highlight w:val="none"/>
        </w:rPr>
        <w:t>商务</w:t>
      </w:r>
      <w:r>
        <w:rPr>
          <w:rFonts w:ascii="宋体" w:hAnsi="宋体"/>
          <w:b/>
          <w:color w:val="auto"/>
          <w:szCs w:val="21"/>
          <w:highlight w:val="none"/>
        </w:rPr>
        <w:t>部分评审评分</w:t>
      </w:r>
    </w:p>
    <w:p w14:paraId="3C3BA246">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A4.</w:t>
      </w:r>
      <w:r>
        <w:rPr>
          <w:rFonts w:ascii="宋体" w:hAnsi="宋体"/>
          <w:b/>
          <w:color w:val="auto"/>
          <w:szCs w:val="21"/>
          <w:highlight w:val="none"/>
        </w:rPr>
        <w:t>3</w:t>
      </w:r>
      <w:r>
        <w:rPr>
          <w:rFonts w:hint="eastAsia" w:ascii="宋体" w:hAnsi="宋体"/>
          <w:b/>
          <w:color w:val="auto"/>
          <w:szCs w:val="21"/>
          <w:highlight w:val="none"/>
        </w:rPr>
        <w:t>.1采购项目需要落实的政府采购政策</w:t>
      </w:r>
    </w:p>
    <w:p w14:paraId="56CD3E61">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（1）中小企业</w:t>
      </w:r>
    </w:p>
    <w:p w14:paraId="1ADEFF1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根据《政府采购促进中小企业发展管理办法》（财库〔2020〕46号）和《关于进一步加大政府采购支持中小企业力度的通知》（财库〔20</w:t>
      </w:r>
      <w:r>
        <w:rPr>
          <w:rFonts w:ascii="宋体" w:hAnsi="宋体"/>
          <w:color w:val="auto"/>
          <w:szCs w:val="21"/>
          <w:highlight w:val="none"/>
        </w:rPr>
        <w:t>22</w:t>
      </w:r>
      <w:r>
        <w:rPr>
          <w:rFonts w:hint="eastAsia" w:ascii="宋体" w:hAnsi="宋体"/>
          <w:color w:val="auto"/>
          <w:szCs w:val="21"/>
          <w:highlight w:val="none"/>
        </w:rPr>
        <w:t>〕</w:t>
      </w:r>
      <w:r>
        <w:rPr>
          <w:rFonts w:ascii="宋体" w:hAnsi="宋体"/>
          <w:color w:val="auto"/>
          <w:szCs w:val="21"/>
          <w:highlight w:val="none"/>
        </w:rPr>
        <w:t>19</w:t>
      </w:r>
      <w:r>
        <w:rPr>
          <w:rFonts w:hint="eastAsia" w:ascii="宋体" w:hAnsi="宋体"/>
          <w:color w:val="auto"/>
          <w:szCs w:val="21"/>
          <w:highlight w:val="none"/>
        </w:rPr>
        <w:t>号）的规定，对小型和微型企业给予价格扣除优惠，用扣除后的价格参与评审。</w:t>
      </w:r>
    </w:p>
    <w:p w14:paraId="77ED8FE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政府采购活动中，供应商提供的货物、工程或者服务符合下列情形的，享受中小企业扶持政策： </w:t>
      </w:r>
    </w:p>
    <w:p w14:paraId="6FB6ED6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（一）在货物采购项目中，货物由中小企业制造，即货物由中小企业生产且使用该中小企业商号或者注册商标；评审时，对其价格扣除</w:t>
      </w:r>
      <w:r>
        <w:rPr>
          <w:rFonts w:hint="eastAsia" w:ascii="宋体" w:hAnsi="宋体"/>
          <w:b/>
          <w:bCs/>
          <w:color w:val="auto"/>
          <w:szCs w:val="21"/>
          <w:highlight w:val="none"/>
        </w:rPr>
        <w:t>1</w:t>
      </w:r>
      <w:r>
        <w:rPr>
          <w:rFonts w:ascii="宋体" w:hAnsi="宋体"/>
          <w:b/>
          <w:bCs/>
          <w:color w:val="auto"/>
          <w:szCs w:val="21"/>
          <w:highlight w:val="none"/>
        </w:rPr>
        <w:t>0</w:t>
      </w:r>
      <w:r>
        <w:rPr>
          <w:rFonts w:hint="eastAsia" w:ascii="宋体" w:hAnsi="宋体"/>
          <w:b/>
          <w:bCs/>
          <w:color w:val="auto"/>
          <w:szCs w:val="21"/>
          <w:highlight w:val="none"/>
        </w:rPr>
        <w:t>%</w:t>
      </w:r>
      <w:r>
        <w:rPr>
          <w:rFonts w:hint="eastAsia" w:ascii="宋体" w:hAnsi="宋体"/>
          <w:color w:val="auto"/>
          <w:szCs w:val="21"/>
          <w:highlight w:val="none"/>
        </w:rPr>
        <w:t>的优惠，用扣除后的价格参与评审。</w:t>
      </w:r>
    </w:p>
    <w:p w14:paraId="57BF84A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（二）在服务采购项目中，服务由中小企业承接，即提供服务的人员为中小企业依照</w:t>
      </w:r>
      <w:r>
        <w:rPr>
          <w:rFonts w:hint="eastAsia" w:ascii="宋体" w:hAnsi="宋体" w:cs="仿宋_GB2312"/>
          <w:color w:val="auto"/>
          <w:szCs w:val="21"/>
          <w:highlight w:val="none"/>
        </w:rPr>
        <w:t>《中华人民共和国劳动合同法》</w:t>
      </w:r>
      <w:r>
        <w:rPr>
          <w:rFonts w:hint="eastAsia" w:ascii="宋体" w:hAnsi="宋体"/>
          <w:color w:val="auto"/>
          <w:szCs w:val="21"/>
          <w:highlight w:val="none"/>
        </w:rPr>
        <w:t>订立劳动合同的从业人员；评审时，对其价格扣除</w:t>
      </w:r>
      <w:r>
        <w:rPr>
          <w:rFonts w:hint="eastAsia" w:ascii="宋体" w:hAnsi="宋体"/>
          <w:b/>
          <w:bCs/>
          <w:color w:val="auto"/>
          <w:szCs w:val="21"/>
          <w:highlight w:val="none"/>
        </w:rPr>
        <w:t>1</w:t>
      </w:r>
      <w:r>
        <w:rPr>
          <w:rFonts w:ascii="宋体" w:hAnsi="宋体"/>
          <w:b/>
          <w:bCs/>
          <w:color w:val="auto"/>
          <w:szCs w:val="21"/>
          <w:highlight w:val="none"/>
        </w:rPr>
        <w:t>0</w:t>
      </w:r>
      <w:r>
        <w:rPr>
          <w:rFonts w:hint="eastAsia" w:ascii="宋体" w:hAnsi="宋体"/>
          <w:b/>
          <w:bCs/>
          <w:color w:val="auto"/>
          <w:szCs w:val="21"/>
          <w:highlight w:val="none"/>
        </w:rPr>
        <w:t>%</w:t>
      </w:r>
      <w:r>
        <w:rPr>
          <w:rFonts w:hint="eastAsia" w:ascii="宋体" w:hAnsi="宋体"/>
          <w:color w:val="auto"/>
          <w:szCs w:val="21"/>
          <w:highlight w:val="none"/>
        </w:rPr>
        <w:t>的优惠，用扣除后的价格参与评审。</w:t>
      </w:r>
    </w:p>
    <w:p w14:paraId="6951DA7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（三）在工程采购项目中，工程由中小企业承建，即工程施工单位为中小企业；评审时，应当在采用原报价进行评分的基础上增加其价格得分的</w:t>
      </w:r>
      <w:r>
        <w:rPr>
          <w:rFonts w:hint="eastAsia" w:ascii="宋体" w:hAnsi="宋体"/>
          <w:b/>
          <w:color w:val="auto"/>
          <w:szCs w:val="21"/>
          <w:highlight w:val="none"/>
        </w:rPr>
        <w:t>3%</w:t>
      </w:r>
      <w:r>
        <w:rPr>
          <w:rFonts w:hint="eastAsia" w:ascii="宋体" w:hAnsi="宋体"/>
          <w:color w:val="auto"/>
          <w:szCs w:val="21"/>
          <w:highlight w:val="none"/>
        </w:rPr>
        <w:t>作为其价格分。</w:t>
      </w:r>
    </w:p>
    <w:p w14:paraId="04368CC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在货物采购项目中，供应商提供的货物既有中小企业制造货物，也有大型企业制造货物的，不享受本办法规定的中小企业扶持政策。</w:t>
      </w:r>
    </w:p>
    <w:p w14:paraId="3BC372B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14:paraId="5414370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68F3CD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14:paraId="601DDA4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当按照《政府采购促进中小企业发展管理办法》规定和《统计上大中小微型企业划分办法（2017）》的划分标准，如实填写并提交《中小企业声明函》（声明函格式见第四章“投标文件格式”），未提交声明函的在价格评审时不对价格进行扣除。</w:t>
      </w:r>
    </w:p>
    <w:p w14:paraId="744B84EC">
      <w:pPr>
        <w:rPr>
          <w:rFonts w:hint="eastAsia" w:ascii="宋体" w:hAnsi="宋体"/>
          <w:b/>
          <w:bCs/>
          <w:color w:val="auto"/>
          <w:szCs w:val="21"/>
          <w:highlight w:val="none"/>
        </w:rPr>
      </w:pPr>
      <w:r>
        <w:rPr>
          <w:rFonts w:ascii="宋体" w:hAnsi="宋体"/>
          <w:b/>
          <w:bCs/>
          <w:color w:val="auto"/>
          <w:szCs w:val="21"/>
          <w:highlight w:val="none"/>
        </w:rPr>
        <w:br w:type="page"/>
      </w:r>
    </w:p>
    <w:p w14:paraId="1037353E">
      <w:pPr>
        <w:spacing w:before="120" w:beforeLines="50"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统计上大中小微型企业划分标准</w:t>
      </w:r>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1484"/>
        <w:gridCol w:w="719"/>
        <w:gridCol w:w="1143"/>
        <w:gridCol w:w="1727"/>
        <w:gridCol w:w="1448"/>
        <w:gridCol w:w="1007"/>
      </w:tblGrid>
      <w:tr w14:paraId="55B2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897" w:type="pct"/>
            <w:shd w:val="clear" w:color="auto" w:fill="auto"/>
            <w:vAlign w:val="center"/>
          </w:tcPr>
          <w:p w14:paraId="31024764">
            <w:pPr>
              <w:spacing w:before="120" w:beforeLines="50" w:line="276" w:lineRule="auto"/>
              <w:contextualSpacing/>
              <w:jc w:val="center"/>
              <w:rPr>
                <w:rFonts w:hint="eastAsia" w:ascii="宋体" w:hAnsi="宋体" w:cs="宋体"/>
                <w:b/>
                <w:bCs/>
                <w:color w:val="auto"/>
                <w:szCs w:val="21"/>
                <w:highlight w:val="none"/>
              </w:rPr>
            </w:pPr>
            <w:r>
              <w:rPr>
                <w:rFonts w:hint="eastAsia" w:ascii="宋体" w:hAnsi="宋体" w:cs="宋体"/>
                <w:b/>
                <w:bCs/>
                <w:color w:val="auto"/>
                <w:szCs w:val="21"/>
                <w:highlight w:val="none"/>
              </w:rPr>
              <w:t>行业名称</w:t>
            </w:r>
          </w:p>
        </w:tc>
        <w:tc>
          <w:tcPr>
            <w:tcW w:w="809" w:type="pct"/>
            <w:shd w:val="clear" w:color="auto" w:fill="auto"/>
            <w:vAlign w:val="center"/>
          </w:tcPr>
          <w:p w14:paraId="3F79A630">
            <w:pPr>
              <w:spacing w:before="120" w:beforeLines="50" w:line="276" w:lineRule="auto"/>
              <w:contextualSpacing/>
              <w:jc w:val="center"/>
              <w:rPr>
                <w:rFonts w:hint="eastAsia" w:ascii="宋体" w:hAnsi="宋体" w:cs="宋体"/>
                <w:b/>
                <w:bCs/>
                <w:color w:val="auto"/>
                <w:szCs w:val="21"/>
                <w:highlight w:val="none"/>
              </w:rPr>
            </w:pPr>
            <w:r>
              <w:rPr>
                <w:rFonts w:hint="eastAsia" w:ascii="宋体" w:hAnsi="宋体" w:cs="宋体"/>
                <w:b/>
                <w:bCs/>
                <w:color w:val="auto"/>
                <w:szCs w:val="21"/>
                <w:highlight w:val="none"/>
              </w:rPr>
              <w:t>指标名称</w:t>
            </w:r>
          </w:p>
        </w:tc>
        <w:tc>
          <w:tcPr>
            <w:tcW w:w="392" w:type="pct"/>
            <w:shd w:val="clear" w:color="auto" w:fill="auto"/>
            <w:vAlign w:val="center"/>
          </w:tcPr>
          <w:p w14:paraId="38E957A1">
            <w:pPr>
              <w:spacing w:before="120" w:beforeLines="50" w:line="276" w:lineRule="auto"/>
              <w:contextualSpacing/>
              <w:jc w:val="center"/>
              <w:rPr>
                <w:rFonts w:hint="eastAsia" w:ascii="宋体" w:hAnsi="宋体" w:cs="宋体"/>
                <w:b/>
                <w:bCs/>
                <w:color w:val="auto"/>
                <w:szCs w:val="21"/>
                <w:highlight w:val="none"/>
              </w:rPr>
            </w:pPr>
            <w:r>
              <w:rPr>
                <w:rFonts w:hint="eastAsia" w:ascii="宋体" w:hAnsi="宋体" w:cs="宋体"/>
                <w:b/>
                <w:bCs/>
                <w:color w:val="auto"/>
                <w:szCs w:val="21"/>
                <w:highlight w:val="none"/>
              </w:rPr>
              <w:t>计量</w:t>
            </w:r>
            <w:r>
              <w:rPr>
                <w:rFonts w:hint="eastAsia" w:ascii="宋体" w:hAnsi="宋体" w:cs="宋体"/>
                <w:b/>
                <w:bCs/>
                <w:color w:val="auto"/>
                <w:szCs w:val="21"/>
                <w:highlight w:val="none"/>
              </w:rPr>
              <w:br w:type="textWrapping"/>
            </w:r>
            <w:r>
              <w:rPr>
                <w:rFonts w:hint="eastAsia" w:ascii="宋体" w:hAnsi="宋体" w:cs="宋体"/>
                <w:b/>
                <w:bCs/>
                <w:color w:val="auto"/>
                <w:szCs w:val="21"/>
                <w:highlight w:val="none"/>
              </w:rPr>
              <w:t>单位</w:t>
            </w:r>
          </w:p>
        </w:tc>
        <w:tc>
          <w:tcPr>
            <w:tcW w:w="623" w:type="pct"/>
            <w:shd w:val="clear" w:color="auto" w:fill="auto"/>
            <w:vAlign w:val="center"/>
          </w:tcPr>
          <w:p w14:paraId="6AD38D4F">
            <w:pPr>
              <w:spacing w:before="120" w:beforeLines="50" w:line="276" w:lineRule="auto"/>
              <w:contextualSpacing/>
              <w:jc w:val="center"/>
              <w:rPr>
                <w:rFonts w:hint="eastAsia" w:ascii="宋体" w:hAnsi="宋体" w:cs="宋体"/>
                <w:b/>
                <w:bCs/>
                <w:color w:val="auto"/>
                <w:szCs w:val="21"/>
                <w:highlight w:val="none"/>
              </w:rPr>
            </w:pPr>
            <w:r>
              <w:rPr>
                <w:rFonts w:hint="eastAsia" w:ascii="宋体" w:hAnsi="宋体" w:cs="宋体"/>
                <w:b/>
                <w:bCs/>
                <w:color w:val="auto"/>
                <w:szCs w:val="21"/>
                <w:highlight w:val="none"/>
              </w:rPr>
              <w:t>大型</w:t>
            </w:r>
          </w:p>
        </w:tc>
        <w:tc>
          <w:tcPr>
            <w:tcW w:w="941" w:type="pct"/>
            <w:shd w:val="clear" w:color="auto" w:fill="auto"/>
            <w:vAlign w:val="center"/>
          </w:tcPr>
          <w:p w14:paraId="50E0F706">
            <w:pPr>
              <w:spacing w:before="120" w:beforeLines="50" w:line="276" w:lineRule="auto"/>
              <w:contextualSpacing/>
              <w:jc w:val="center"/>
              <w:rPr>
                <w:rFonts w:hint="eastAsia" w:ascii="宋体" w:hAnsi="宋体" w:cs="宋体"/>
                <w:b/>
                <w:bCs/>
                <w:color w:val="auto"/>
                <w:szCs w:val="21"/>
                <w:highlight w:val="none"/>
              </w:rPr>
            </w:pPr>
            <w:r>
              <w:rPr>
                <w:rFonts w:hint="eastAsia" w:ascii="宋体" w:hAnsi="宋体" w:cs="宋体"/>
                <w:b/>
                <w:bCs/>
                <w:color w:val="auto"/>
                <w:szCs w:val="21"/>
                <w:highlight w:val="none"/>
              </w:rPr>
              <w:t>中型</w:t>
            </w:r>
          </w:p>
        </w:tc>
        <w:tc>
          <w:tcPr>
            <w:tcW w:w="789" w:type="pct"/>
            <w:shd w:val="clear" w:color="auto" w:fill="auto"/>
            <w:vAlign w:val="center"/>
          </w:tcPr>
          <w:p w14:paraId="61718D99">
            <w:pPr>
              <w:spacing w:before="120" w:beforeLines="50" w:line="276" w:lineRule="auto"/>
              <w:contextualSpacing/>
              <w:jc w:val="center"/>
              <w:rPr>
                <w:rFonts w:hint="eastAsia" w:ascii="宋体" w:hAnsi="宋体" w:cs="宋体"/>
                <w:b/>
                <w:bCs/>
                <w:color w:val="auto"/>
                <w:szCs w:val="21"/>
                <w:highlight w:val="none"/>
              </w:rPr>
            </w:pPr>
            <w:r>
              <w:rPr>
                <w:rFonts w:hint="eastAsia" w:ascii="宋体" w:hAnsi="宋体" w:cs="宋体"/>
                <w:b/>
                <w:bCs/>
                <w:color w:val="auto"/>
                <w:szCs w:val="21"/>
                <w:highlight w:val="none"/>
              </w:rPr>
              <w:t>小型</w:t>
            </w:r>
          </w:p>
        </w:tc>
        <w:tc>
          <w:tcPr>
            <w:tcW w:w="549" w:type="pct"/>
            <w:shd w:val="clear" w:color="auto" w:fill="auto"/>
            <w:vAlign w:val="center"/>
          </w:tcPr>
          <w:p w14:paraId="5C52206A">
            <w:pPr>
              <w:spacing w:before="120" w:beforeLines="50" w:line="276" w:lineRule="auto"/>
              <w:contextualSpacing/>
              <w:jc w:val="center"/>
              <w:rPr>
                <w:rFonts w:hint="eastAsia" w:ascii="宋体" w:hAnsi="宋体" w:cs="宋体"/>
                <w:b/>
                <w:bCs/>
                <w:color w:val="auto"/>
                <w:szCs w:val="21"/>
                <w:highlight w:val="none"/>
              </w:rPr>
            </w:pPr>
            <w:r>
              <w:rPr>
                <w:rFonts w:hint="eastAsia" w:ascii="宋体" w:hAnsi="宋体" w:cs="宋体"/>
                <w:b/>
                <w:bCs/>
                <w:color w:val="auto"/>
                <w:szCs w:val="21"/>
                <w:highlight w:val="none"/>
              </w:rPr>
              <w:t>微型</w:t>
            </w:r>
          </w:p>
        </w:tc>
      </w:tr>
      <w:tr w14:paraId="26F7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897" w:type="pct"/>
            <w:shd w:val="clear" w:color="auto" w:fill="auto"/>
            <w:vAlign w:val="center"/>
          </w:tcPr>
          <w:p w14:paraId="388D3CFC">
            <w:pPr>
              <w:spacing w:before="120" w:beforeLines="50" w:line="276" w:lineRule="auto"/>
              <w:contextualSpacing/>
              <w:rPr>
                <w:rFonts w:hint="eastAsia" w:ascii="宋体" w:hAnsi="宋体" w:cs="宋体"/>
                <w:color w:val="auto"/>
                <w:szCs w:val="21"/>
                <w:highlight w:val="none"/>
              </w:rPr>
            </w:pPr>
            <w:r>
              <w:rPr>
                <w:rFonts w:hint="eastAsia" w:ascii="宋体" w:hAnsi="宋体" w:cs="宋体"/>
                <w:color w:val="auto"/>
                <w:szCs w:val="21"/>
                <w:highlight w:val="none"/>
              </w:rPr>
              <w:t>农、林、牧、渔业</w:t>
            </w:r>
          </w:p>
        </w:tc>
        <w:tc>
          <w:tcPr>
            <w:tcW w:w="809" w:type="pct"/>
            <w:shd w:val="clear" w:color="auto" w:fill="auto"/>
            <w:vAlign w:val="center"/>
          </w:tcPr>
          <w:p w14:paraId="1D69644B">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营业收入(Y)</w:t>
            </w:r>
          </w:p>
        </w:tc>
        <w:tc>
          <w:tcPr>
            <w:tcW w:w="392" w:type="pct"/>
            <w:shd w:val="clear" w:color="auto" w:fill="auto"/>
            <w:vAlign w:val="center"/>
          </w:tcPr>
          <w:p w14:paraId="6F39556E">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623" w:type="pct"/>
            <w:shd w:val="clear" w:color="auto" w:fill="auto"/>
            <w:vAlign w:val="center"/>
          </w:tcPr>
          <w:p w14:paraId="058F420B">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Y≥20000</w:t>
            </w:r>
          </w:p>
        </w:tc>
        <w:tc>
          <w:tcPr>
            <w:tcW w:w="941" w:type="pct"/>
            <w:shd w:val="clear" w:color="auto" w:fill="auto"/>
            <w:vAlign w:val="center"/>
          </w:tcPr>
          <w:p w14:paraId="63E554D2">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500≤Y＜20000</w:t>
            </w:r>
          </w:p>
        </w:tc>
        <w:tc>
          <w:tcPr>
            <w:tcW w:w="789" w:type="pct"/>
            <w:shd w:val="clear" w:color="auto" w:fill="auto"/>
            <w:vAlign w:val="center"/>
          </w:tcPr>
          <w:p w14:paraId="6FF3D84C">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50≤Y＜500</w:t>
            </w:r>
          </w:p>
        </w:tc>
        <w:tc>
          <w:tcPr>
            <w:tcW w:w="549" w:type="pct"/>
            <w:shd w:val="clear" w:color="auto" w:fill="auto"/>
            <w:vAlign w:val="center"/>
          </w:tcPr>
          <w:p w14:paraId="78BDDDE8">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Y＜50</w:t>
            </w:r>
          </w:p>
        </w:tc>
      </w:tr>
      <w:tr w14:paraId="5B89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897" w:type="pct"/>
            <w:vMerge w:val="restart"/>
            <w:shd w:val="clear" w:color="auto" w:fill="auto"/>
            <w:vAlign w:val="center"/>
          </w:tcPr>
          <w:p w14:paraId="6E152811">
            <w:pPr>
              <w:spacing w:before="120" w:beforeLines="50" w:line="276" w:lineRule="auto"/>
              <w:contextualSpacing/>
              <w:rPr>
                <w:rFonts w:hint="eastAsia" w:ascii="宋体" w:hAnsi="宋体" w:cs="宋体"/>
                <w:color w:val="auto"/>
                <w:szCs w:val="21"/>
                <w:highlight w:val="none"/>
              </w:rPr>
            </w:pPr>
            <w:r>
              <w:rPr>
                <w:rFonts w:hint="eastAsia" w:ascii="宋体" w:hAnsi="宋体" w:cs="宋体"/>
                <w:color w:val="auto"/>
                <w:szCs w:val="21"/>
                <w:highlight w:val="none"/>
              </w:rPr>
              <w:t>工业 *</w:t>
            </w:r>
          </w:p>
        </w:tc>
        <w:tc>
          <w:tcPr>
            <w:tcW w:w="809" w:type="pct"/>
            <w:shd w:val="clear" w:color="auto" w:fill="auto"/>
            <w:vAlign w:val="center"/>
          </w:tcPr>
          <w:p w14:paraId="3CAF161A">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从业人员(X)</w:t>
            </w:r>
          </w:p>
        </w:tc>
        <w:tc>
          <w:tcPr>
            <w:tcW w:w="392" w:type="pct"/>
            <w:shd w:val="clear" w:color="auto" w:fill="auto"/>
            <w:vAlign w:val="center"/>
          </w:tcPr>
          <w:p w14:paraId="23EFBC16">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623" w:type="pct"/>
            <w:shd w:val="clear" w:color="auto" w:fill="auto"/>
            <w:vAlign w:val="center"/>
          </w:tcPr>
          <w:p w14:paraId="3F0F6D43">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X≥1000</w:t>
            </w:r>
          </w:p>
        </w:tc>
        <w:tc>
          <w:tcPr>
            <w:tcW w:w="941" w:type="pct"/>
            <w:shd w:val="clear" w:color="auto" w:fill="auto"/>
            <w:vAlign w:val="center"/>
          </w:tcPr>
          <w:p w14:paraId="4DDF71F0">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300≤X＜1000</w:t>
            </w:r>
          </w:p>
        </w:tc>
        <w:tc>
          <w:tcPr>
            <w:tcW w:w="789" w:type="pct"/>
            <w:shd w:val="clear" w:color="auto" w:fill="auto"/>
            <w:vAlign w:val="center"/>
          </w:tcPr>
          <w:p w14:paraId="1022F2C9">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20≤X＜300</w:t>
            </w:r>
          </w:p>
        </w:tc>
        <w:tc>
          <w:tcPr>
            <w:tcW w:w="549" w:type="pct"/>
            <w:shd w:val="clear" w:color="auto" w:fill="auto"/>
            <w:vAlign w:val="center"/>
          </w:tcPr>
          <w:p w14:paraId="27C8C065">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X＜20</w:t>
            </w:r>
          </w:p>
        </w:tc>
      </w:tr>
      <w:tr w14:paraId="5D557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897" w:type="pct"/>
            <w:vMerge w:val="continue"/>
            <w:vAlign w:val="center"/>
          </w:tcPr>
          <w:p w14:paraId="49A8D1E7">
            <w:pPr>
              <w:spacing w:before="120" w:beforeLines="50" w:line="276" w:lineRule="auto"/>
              <w:contextualSpacing/>
              <w:rPr>
                <w:rFonts w:hint="eastAsia" w:ascii="宋体" w:hAnsi="宋体" w:cs="宋体"/>
                <w:color w:val="auto"/>
                <w:szCs w:val="21"/>
                <w:highlight w:val="none"/>
              </w:rPr>
            </w:pPr>
          </w:p>
        </w:tc>
        <w:tc>
          <w:tcPr>
            <w:tcW w:w="809" w:type="pct"/>
            <w:shd w:val="clear" w:color="auto" w:fill="auto"/>
            <w:vAlign w:val="center"/>
          </w:tcPr>
          <w:p w14:paraId="6C896C9F">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营业收入(Y)</w:t>
            </w:r>
          </w:p>
        </w:tc>
        <w:tc>
          <w:tcPr>
            <w:tcW w:w="392" w:type="pct"/>
            <w:shd w:val="clear" w:color="auto" w:fill="auto"/>
            <w:vAlign w:val="center"/>
          </w:tcPr>
          <w:p w14:paraId="6F190A91">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623" w:type="pct"/>
            <w:shd w:val="clear" w:color="auto" w:fill="auto"/>
            <w:vAlign w:val="center"/>
          </w:tcPr>
          <w:p w14:paraId="2EB751CA">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Y≥40000</w:t>
            </w:r>
          </w:p>
        </w:tc>
        <w:tc>
          <w:tcPr>
            <w:tcW w:w="941" w:type="pct"/>
            <w:shd w:val="clear" w:color="auto" w:fill="auto"/>
            <w:vAlign w:val="center"/>
          </w:tcPr>
          <w:p w14:paraId="49C988A0">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2000≤Y＜40000</w:t>
            </w:r>
          </w:p>
        </w:tc>
        <w:tc>
          <w:tcPr>
            <w:tcW w:w="789" w:type="pct"/>
            <w:shd w:val="clear" w:color="auto" w:fill="auto"/>
            <w:vAlign w:val="center"/>
          </w:tcPr>
          <w:p w14:paraId="538B3E96">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300≤Y＜2000</w:t>
            </w:r>
          </w:p>
        </w:tc>
        <w:tc>
          <w:tcPr>
            <w:tcW w:w="549" w:type="pct"/>
            <w:shd w:val="clear" w:color="auto" w:fill="auto"/>
            <w:vAlign w:val="center"/>
          </w:tcPr>
          <w:p w14:paraId="1FECDFE1">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Y＜300</w:t>
            </w:r>
          </w:p>
        </w:tc>
      </w:tr>
      <w:tr w14:paraId="525D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897" w:type="pct"/>
            <w:vMerge w:val="restart"/>
            <w:shd w:val="clear" w:color="auto" w:fill="auto"/>
            <w:vAlign w:val="center"/>
          </w:tcPr>
          <w:p w14:paraId="32C25686">
            <w:pPr>
              <w:spacing w:before="120" w:beforeLines="50" w:line="276" w:lineRule="auto"/>
              <w:contextualSpacing/>
              <w:rPr>
                <w:rFonts w:hint="eastAsia" w:ascii="宋体" w:hAnsi="宋体" w:cs="宋体"/>
                <w:color w:val="auto"/>
                <w:szCs w:val="21"/>
                <w:highlight w:val="none"/>
              </w:rPr>
            </w:pPr>
            <w:r>
              <w:rPr>
                <w:rFonts w:hint="eastAsia" w:ascii="宋体" w:hAnsi="宋体" w:cs="宋体"/>
                <w:color w:val="auto"/>
                <w:szCs w:val="21"/>
                <w:highlight w:val="none"/>
              </w:rPr>
              <w:t>建筑业</w:t>
            </w:r>
          </w:p>
        </w:tc>
        <w:tc>
          <w:tcPr>
            <w:tcW w:w="809" w:type="pct"/>
            <w:shd w:val="clear" w:color="auto" w:fill="auto"/>
            <w:vAlign w:val="center"/>
          </w:tcPr>
          <w:p w14:paraId="647E1643">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营业收入(Y)</w:t>
            </w:r>
          </w:p>
        </w:tc>
        <w:tc>
          <w:tcPr>
            <w:tcW w:w="392" w:type="pct"/>
            <w:shd w:val="clear" w:color="auto" w:fill="auto"/>
            <w:vAlign w:val="center"/>
          </w:tcPr>
          <w:p w14:paraId="54290266">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623" w:type="pct"/>
            <w:shd w:val="clear" w:color="auto" w:fill="auto"/>
            <w:vAlign w:val="center"/>
          </w:tcPr>
          <w:p w14:paraId="444DD8C6">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Y≥80000</w:t>
            </w:r>
          </w:p>
        </w:tc>
        <w:tc>
          <w:tcPr>
            <w:tcW w:w="941" w:type="pct"/>
            <w:shd w:val="clear" w:color="auto" w:fill="auto"/>
            <w:vAlign w:val="center"/>
          </w:tcPr>
          <w:p w14:paraId="7981F5F9">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6000≤Y＜80000</w:t>
            </w:r>
          </w:p>
        </w:tc>
        <w:tc>
          <w:tcPr>
            <w:tcW w:w="789" w:type="pct"/>
            <w:shd w:val="clear" w:color="auto" w:fill="auto"/>
            <w:vAlign w:val="center"/>
          </w:tcPr>
          <w:p w14:paraId="09C64DB1">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300≤Y＜6000</w:t>
            </w:r>
          </w:p>
        </w:tc>
        <w:tc>
          <w:tcPr>
            <w:tcW w:w="549" w:type="pct"/>
            <w:shd w:val="clear" w:color="auto" w:fill="auto"/>
            <w:vAlign w:val="center"/>
          </w:tcPr>
          <w:p w14:paraId="179F3913">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Y＜300</w:t>
            </w:r>
          </w:p>
        </w:tc>
      </w:tr>
      <w:tr w14:paraId="771A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897" w:type="pct"/>
            <w:vMerge w:val="continue"/>
            <w:vAlign w:val="center"/>
          </w:tcPr>
          <w:p w14:paraId="5EE414EF">
            <w:pPr>
              <w:spacing w:before="120" w:beforeLines="50" w:line="276" w:lineRule="auto"/>
              <w:contextualSpacing/>
              <w:rPr>
                <w:rFonts w:hint="eastAsia" w:ascii="宋体" w:hAnsi="宋体" w:cs="宋体"/>
                <w:color w:val="auto"/>
                <w:szCs w:val="21"/>
                <w:highlight w:val="none"/>
              </w:rPr>
            </w:pPr>
          </w:p>
        </w:tc>
        <w:tc>
          <w:tcPr>
            <w:tcW w:w="809" w:type="pct"/>
            <w:shd w:val="clear" w:color="auto" w:fill="auto"/>
            <w:vAlign w:val="center"/>
          </w:tcPr>
          <w:p w14:paraId="6F040284">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资产总额(Z)</w:t>
            </w:r>
          </w:p>
        </w:tc>
        <w:tc>
          <w:tcPr>
            <w:tcW w:w="392" w:type="pct"/>
            <w:shd w:val="clear" w:color="auto" w:fill="auto"/>
            <w:vAlign w:val="center"/>
          </w:tcPr>
          <w:p w14:paraId="07E17F29">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623" w:type="pct"/>
            <w:shd w:val="clear" w:color="auto" w:fill="auto"/>
            <w:vAlign w:val="center"/>
          </w:tcPr>
          <w:p w14:paraId="70D80F73">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Z≥80000</w:t>
            </w:r>
          </w:p>
        </w:tc>
        <w:tc>
          <w:tcPr>
            <w:tcW w:w="941" w:type="pct"/>
            <w:shd w:val="clear" w:color="auto" w:fill="auto"/>
            <w:vAlign w:val="center"/>
          </w:tcPr>
          <w:p w14:paraId="2BD59A87">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5000≤Z＜80000</w:t>
            </w:r>
          </w:p>
        </w:tc>
        <w:tc>
          <w:tcPr>
            <w:tcW w:w="789" w:type="pct"/>
            <w:shd w:val="clear" w:color="auto" w:fill="auto"/>
            <w:vAlign w:val="center"/>
          </w:tcPr>
          <w:p w14:paraId="3C95E850">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300≤Z＜5000</w:t>
            </w:r>
          </w:p>
        </w:tc>
        <w:tc>
          <w:tcPr>
            <w:tcW w:w="549" w:type="pct"/>
            <w:shd w:val="clear" w:color="auto" w:fill="auto"/>
            <w:vAlign w:val="center"/>
          </w:tcPr>
          <w:p w14:paraId="5DFE1289">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Z＜300</w:t>
            </w:r>
          </w:p>
        </w:tc>
      </w:tr>
      <w:tr w14:paraId="490E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897" w:type="pct"/>
            <w:vMerge w:val="restart"/>
            <w:shd w:val="clear" w:color="auto" w:fill="auto"/>
            <w:vAlign w:val="center"/>
          </w:tcPr>
          <w:p w14:paraId="3D221B49">
            <w:pPr>
              <w:spacing w:before="120" w:beforeLines="50" w:line="276" w:lineRule="auto"/>
              <w:contextualSpacing/>
              <w:rPr>
                <w:rFonts w:hint="eastAsia" w:ascii="宋体" w:hAnsi="宋体" w:cs="宋体"/>
                <w:color w:val="auto"/>
                <w:szCs w:val="21"/>
                <w:highlight w:val="none"/>
              </w:rPr>
            </w:pPr>
            <w:r>
              <w:rPr>
                <w:rFonts w:hint="eastAsia" w:ascii="宋体" w:hAnsi="宋体" w:cs="宋体"/>
                <w:color w:val="auto"/>
                <w:szCs w:val="21"/>
                <w:highlight w:val="none"/>
              </w:rPr>
              <w:t>批发业</w:t>
            </w:r>
          </w:p>
        </w:tc>
        <w:tc>
          <w:tcPr>
            <w:tcW w:w="809" w:type="pct"/>
            <w:shd w:val="clear" w:color="auto" w:fill="auto"/>
            <w:vAlign w:val="center"/>
          </w:tcPr>
          <w:p w14:paraId="607D9CA7">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从业人员(X)</w:t>
            </w:r>
          </w:p>
        </w:tc>
        <w:tc>
          <w:tcPr>
            <w:tcW w:w="392" w:type="pct"/>
            <w:shd w:val="clear" w:color="auto" w:fill="auto"/>
            <w:vAlign w:val="center"/>
          </w:tcPr>
          <w:p w14:paraId="4DEFAA67">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623" w:type="pct"/>
            <w:shd w:val="clear" w:color="auto" w:fill="auto"/>
            <w:vAlign w:val="center"/>
          </w:tcPr>
          <w:p w14:paraId="7E69154B">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X≥200</w:t>
            </w:r>
          </w:p>
        </w:tc>
        <w:tc>
          <w:tcPr>
            <w:tcW w:w="941" w:type="pct"/>
            <w:shd w:val="clear" w:color="auto" w:fill="auto"/>
            <w:vAlign w:val="center"/>
          </w:tcPr>
          <w:p w14:paraId="2062E352">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20≤X＜200</w:t>
            </w:r>
          </w:p>
        </w:tc>
        <w:tc>
          <w:tcPr>
            <w:tcW w:w="789" w:type="pct"/>
            <w:shd w:val="clear" w:color="auto" w:fill="auto"/>
            <w:vAlign w:val="center"/>
          </w:tcPr>
          <w:p w14:paraId="0CB78B0C">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5≤X＜20</w:t>
            </w:r>
          </w:p>
        </w:tc>
        <w:tc>
          <w:tcPr>
            <w:tcW w:w="549" w:type="pct"/>
            <w:shd w:val="clear" w:color="auto" w:fill="auto"/>
            <w:vAlign w:val="center"/>
          </w:tcPr>
          <w:p w14:paraId="785DFF0F">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X＜5</w:t>
            </w:r>
          </w:p>
        </w:tc>
      </w:tr>
      <w:tr w14:paraId="33A7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jc w:val="center"/>
        </w:trPr>
        <w:tc>
          <w:tcPr>
            <w:tcW w:w="897" w:type="pct"/>
            <w:vMerge w:val="continue"/>
            <w:vAlign w:val="center"/>
          </w:tcPr>
          <w:p w14:paraId="5742DEA5">
            <w:pPr>
              <w:spacing w:before="120" w:beforeLines="50" w:line="276" w:lineRule="auto"/>
              <w:contextualSpacing/>
              <w:rPr>
                <w:rFonts w:hint="eastAsia" w:ascii="宋体" w:hAnsi="宋体" w:cs="宋体"/>
                <w:color w:val="auto"/>
                <w:szCs w:val="21"/>
                <w:highlight w:val="none"/>
              </w:rPr>
            </w:pPr>
          </w:p>
        </w:tc>
        <w:tc>
          <w:tcPr>
            <w:tcW w:w="809" w:type="pct"/>
            <w:shd w:val="clear" w:color="auto" w:fill="auto"/>
            <w:vAlign w:val="center"/>
          </w:tcPr>
          <w:p w14:paraId="3B643642">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营业收入(Y)</w:t>
            </w:r>
          </w:p>
        </w:tc>
        <w:tc>
          <w:tcPr>
            <w:tcW w:w="392" w:type="pct"/>
            <w:shd w:val="clear" w:color="auto" w:fill="auto"/>
            <w:vAlign w:val="center"/>
          </w:tcPr>
          <w:p w14:paraId="0E826569">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623" w:type="pct"/>
            <w:shd w:val="clear" w:color="auto" w:fill="auto"/>
            <w:vAlign w:val="center"/>
          </w:tcPr>
          <w:p w14:paraId="3B79220B">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Y≥40000</w:t>
            </w:r>
          </w:p>
        </w:tc>
        <w:tc>
          <w:tcPr>
            <w:tcW w:w="941" w:type="pct"/>
            <w:shd w:val="clear" w:color="auto" w:fill="auto"/>
            <w:vAlign w:val="center"/>
          </w:tcPr>
          <w:p w14:paraId="311BE2FA">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5000≤Y＜40000</w:t>
            </w:r>
          </w:p>
        </w:tc>
        <w:tc>
          <w:tcPr>
            <w:tcW w:w="789" w:type="pct"/>
            <w:shd w:val="clear" w:color="auto" w:fill="auto"/>
            <w:vAlign w:val="center"/>
          </w:tcPr>
          <w:p w14:paraId="15DF68A4">
            <w:pPr>
              <w:spacing w:before="120" w:beforeLines="50" w:line="276" w:lineRule="auto"/>
              <w:ind w:left="-2" w:leftChars="-1"/>
              <w:contextualSpacing/>
              <w:jc w:val="center"/>
              <w:rPr>
                <w:rFonts w:hint="eastAsia" w:ascii="宋体" w:hAnsi="宋体" w:cs="宋体"/>
                <w:color w:val="auto"/>
                <w:szCs w:val="21"/>
                <w:highlight w:val="none"/>
              </w:rPr>
            </w:pPr>
            <w:r>
              <w:rPr>
                <w:rFonts w:hint="eastAsia" w:ascii="宋体" w:hAnsi="宋体" w:cs="宋体"/>
                <w:color w:val="auto"/>
                <w:szCs w:val="21"/>
                <w:highlight w:val="none"/>
              </w:rPr>
              <w:t>1000≤Y＜5000</w:t>
            </w:r>
          </w:p>
        </w:tc>
        <w:tc>
          <w:tcPr>
            <w:tcW w:w="549" w:type="pct"/>
            <w:shd w:val="clear" w:color="auto" w:fill="auto"/>
            <w:vAlign w:val="center"/>
          </w:tcPr>
          <w:p w14:paraId="36BE0A8F">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Y＜1000</w:t>
            </w:r>
          </w:p>
        </w:tc>
      </w:tr>
      <w:tr w14:paraId="5D51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897" w:type="pct"/>
            <w:vMerge w:val="restart"/>
            <w:shd w:val="clear" w:color="auto" w:fill="auto"/>
            <w:vAlign w:val="center"/>
          </w:tcPr>
          <w:p w14:paraId="4B1CE36D">
            <w:pPr>
              <w:spacing w:before="120" w:beforeLines="50" w:line="276" w:lineRule="auto"/>
              <w:contextualSpacing/>
              <w:rPr>
                <w:rFonts w:hint="eastAsia" w:ascii="宋体" w:hAnsi="宋体" w:cs="宋体"/>
                <w:color w:val="auto"/>
                <w:szCs w:val="21"/>
                <w:highlight w:val="none"/>
              </w:rPr>
            </w:pPr>
            <w:r>
              <w:rPr>
                <w:rFonts w:hint="eastAsia" w:ascii="宋体" w:hAnsi="宋体" w:cs="宋体"/>
                <w:color w:val="auto"/>
                <w:szCs w:val="21"/>
                <w:highlight w:val="none"/>
              </w:rPr>
              <w:t>零售业</w:t>
            </w:r>
          </w:p>
        </w:tc>
        <w:tc>
          <w:tcPr>
            <w:tcW w:w="809" w:type="pct"/>
            <w:shd w:val="clear" w:color="auto" w:fill="auto"/>
            <w:vAlign w:val="center"/>
          </w:tcPr>
          <w:p w14:paraId="2E4DAAB6">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从业人员(X)</w:t>
            </w:r>
          </w:p>
        </w:tc>
        <w:tc>
          <w:tcPr>
            <w:tcW w:w="392" w:type="pct"/>
            <w:shd w:val="clear" w:color="auto" w:fill="auto"/>
            <w:vAlign w:val="center"/>
          </w:tcPr>
          <w:p w14:paraId="749AC0FC">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623" w:type="pct"/>
            <w:shd w:val="clear" w:color="auto" w:fill="auto"/>
            <w:vAlign w:val="center"/>
          </w:tcPr>
          <w:p w14:paraId="6FEA7E94">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X≥300</w:t>
            </w:r>
          </w:p>
        </w:tc>
        <w:tc>
          <w:tcPr>
            <w:tcW w:w="941" w:type="pct"/>
            <w:shd w:val="clear" w:color="auto" w:fill="auto"/>
            <w:vAlign w:val="center"/>
          </w:tcPr>
          <w:p w14:paraId="1206D780">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50≤X＜300</w:t>
            </w:r>
          </w:p>
        </w:tc>
        <w:tc>
          <w:tcPr>
            <w:tcW w:w="789" w:type="pct"/>
            <w:shd w:val="clear" w:color="auto" w:fill="auto"/>
            <w:vAlign w:val="center"/>
          </w:tcPr>
          <w:p w14:paraId="2B85F3FC">
            <w:pPr>
              <w:spacing w:before="120" w:beforeLines="50" w:line="276" w:lineRule="auto"/>
              <w:ind w:left="-2" w:leftChars="-1"/>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10≤X＜50 </w:t>
            </w:r>
          </w:p>
        </w:tc>
        <w:tc>
          <w:tcPr>
            <w:tcW w:w="549" w:type="pct"/>
            <w:shd w:val="clear" w:color="auto" w:fill="auto"/>
            <w:vAlign w:val="center"/>
          </w:tcPr>
          <w:p w14:paraId="4CEDE403">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X＜10</w:t>
            </w:r>
          </w:p>
        </w:tc>
      </w:tr>
      <w:tr w14:paraId="6AD7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897" w:type="pct"/>
            <w:vMerge w:val="continue"/>
            <w:vAlign w:val="center"/>
          </w:tcPr>
          <w:p w14:paraId="0BB6E428">
            <w:pPr>
              <w:spacing w:before="120" w:beforeLines="50" w:line="276" w:lineRule="auto"/>
              <w:contextualSpacing/>
              <w:rPr>
                <w:rFonts w:hint="eastAsia" w:ascii="宋体" w:hAnsi="宋体" w:cs="宋体"/>
                <w:color w:val="auto"/>
                <w:szCs w:val="21"/>
                <w:highlight w:val="none"/>
              </w:rPr>
            </w:pPr>
          </w:p>
        </w:tc>
        <w:tc>
          <w:tcPr>
            <w:tcW w:w="809" w:type="pct"/>
            <w:shd w:val="clear" w:color="auto" w:fill="auto"/>
            <w:vAlign w:val="center"/>
          </w:tcPr>
          <w:p w14:paraId="025B7886">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营业收入(Y)</w:t>
            </w:r>
          </w:p>
        </w:tc>
        <w:tc>
          <w:tcPr>
            <w:tcW w:w="392" w:type="pct"/>
            <w:shd w:val="clear" w:color="auto" w:fill="auto"/>
            <w:vAlign w:val="center"/>
          </w:tcPr>
          <w:p w14:paraId="0A2B63AE">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623" w:type="pct"/>
            <w:shd w:val="clear" w:color="auto" w:fill="auto"/>
            <w:vAlign w:val="center"/>
          </w:tcPr>
          <w:p w14:paraId="3D9BCA21">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Y≥20000</w:t>
            </w:r>
          </w:p>
        </w:tc>
        <w:tc>
          <w:tcPr>
            <w:tcW w:w="941" w:type="pct"/>
            <w:shd w:val="clear" w:color="auto" w:fill="auto"/>
            <w:vAlign w:val="center"/>
          </w:tcPr>
          <w:p w14:paraId="1CA61C23">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500≤Y＜20000</w:t>
            </w:r>
          </w:p>
        </w:tc>
        <w:tc>
          <w:tcPr>
            <w:tcW w:w="789" w:type="pct"/>
            <w:shd w:val="clear" w:color="auto" w:fill="auto"/>
            <w:vAlign w:val="center"/>
          </w:tcPr>
          <w:p w14:paraId="2B923233">
            <w:pPr>
              <w:spacing w:before="120" w:beforeLines="50" w:line="276" w:lineRule="auto"/>
              <w:ind w:left="-2" w:leftChars="-1"/>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100≤Y＜500 </w:t>
            </w:r>
          </w:p>
        </w:tc>
        <w:tc>
          <w:tcPr>
            <w:tcW w:w="549" w:type="pct"/>
            <w:shd w:val="clear" w:color="auto" w:fill="auto"/>
            <w:vAlign w:val="center"/>
          </w:tcPr>
          <w:p w14:paraId="229C8CF2">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Y＜100</w:t>
            </w:r>
          </w:p>
        </w:tc>
      </w:tr>
      <w:tr w14:paraId="0EF3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897" w:type="pct"/>
            <w:vMerge w:val="restart"/>
            <w:shd w:val="clear" w:color="auto" w:fill="auto"/>
            <w:vAlign w:val="center"/>
          </w:tcPr>
          <w:p w14:paraId="7698C0B1">
            <w:pPr>
              <w:spacing w:before="120" w:beforeLines="50" w:line="276" w:lineRule="auto"/>
              <w:contextualSpacing/>
              <w:rPr>
                <w:rFonts w:hint="eastAsia" w:ascii="宋体" w:hAnsi="宋体" w:cs="宋体"/>
                <w:color w:val="auto"/>
                <w:szCs w:val="21"/>
                <w:highlight w:val="none"/>
              </w:rPr>
            </w:pPr>
            <w:r>
              <w:rPr>
                <w:rFonts w:hint="eastAsia" w:ascii="宋体" w:hAnsi="宋体" w:cs="宋体"/>
                <w:color w:val="auto"/>
                <w:szCs w:val="21"/>
                <w:highlight w:val="none"/>
              </w:rPr>
              <w:t>交通运输业 *</w:t>
            </w:r>
          </w:p>
        </w:tc>
        <w:tc>
          <w:tcPr>
            <w:tcW w:w="809" w:type="pct"/>
            <w:shd w:val="clear" w:color="auto" w:fill="auto"/>
            <w:vAlign w:val="center"/>
          </w:tcPr>
          <w:p w14:paraId="5D254B4C">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从业人员(X)</w:t>
            </w:r>
          </w:p>
        </w:tc>
        <w:tc>
          <w:tcPr>
            <w:tcW w:w="392" w:type="pct"/>
            <w:shd w:val="clear" w:color="auto" w:fill="auto"/>
            <w:vAlign w:val="center"/>
          </w:tcPr>
          <w:p w14:paraId="7AC68C54">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623" w:type="pct"/>
            <w:shd w:val="clear" w:color="auto" w:fill="auto"/>
            <w:vAlign w:val="center"/>
          </w:tcPr>
          <w:p w14:paraId="2E027E09">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X≥1000</w:t>
            </w:r>
          </w:p>
        </w:tc>
        <w:tc>
          <w:tcPr>
            <w:tcW w:w="941" w:type="pct"/>
            <w:shd w:val="clear" w:color="auto" w:fill="auto"/>
            <w:vAlign w:val="center"/>
          </w:tcPr>
          <w:p w14:paraId="30A9DB23">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300≤X＜1000</w:t>
            </w:r>
          </w:p>
        </w:tc>
        <w:tc>
          <w:tcPr>
            <w:tcW w:w="789" w:type="pct"/>
            <w:shd w:val="clear" w:color="auto" w:fill="auto"/>
            <w:vAlign w:val="center"/>
          </w:tcPr>
          <w:p w14:paraId="7F48AC92">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20≤X＜300</w:t>
            </w:r>
          </w:p>
        </w:tc>
        <w:tc>
          <w:tcPr>
            <w:tcW w:w="549" w:type="pct"/>
            <w:shd w:val="clear" w:color="auto" w:fill="auto"/>
            <w:vAlign w:val="center"/>
          </w:tcPr>
          <w:p w14:paraId="22115B98">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X＜20</w:t>
            </w:r>
          </w:p>
        </w:tc>
      </w:tr>
      <w:tr w14:paraId="7226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897" w:type="pct"/>
            <w:vMerge w:val="continue"/>
            <w:vAlign w:val="center"/>
          </w:tcPr>
          <w:p w14:paraId="34854ED5">
            <w:pPr>
              <w:spacing w:before="120" w:beforeLines="50" w:line="276" w:lineRule="auto"/>
              <w:contextualSpacing/>
              <w:rPr>
                <w:rFonts w:hint="eastAsia" w:ascii="宋体" w:hAnsi="宋体" w:cs="宋体"/>
                <w:color w:val="auto"/>
                <w:szCs w:val="21"/>
                <w:highlight w:val="none"/>
              </w:rPr>
            </w:pPr>
          </w:p>
        </w:tc>
        <w:tc>
          <w:tcPr>
            <w:tcW w:w="809" w:type="pct"/>
            <w:shd w:val="clear" w:color="auto" w:fill="auto"/>
            <w:vAlign w:val="center"/>
          </w:tcPr>
          <w:p w14:paraId="792E033D">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营业收入(Y)</w:t>
            </w:r>
          </w:p>
        </w:tc>
        <w:tc>
          <w:tcPr>
            <w:tcW w:w="392" w:type="pct"/>
            <w:shd w:val="clear" w:color="auto" w:fill="auto"/>
            <w:vAlign w:val="center"/>
          </w:tcPr>
          <w:p w14:paraId="753F2E66">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623" w:type="pct"/>
            <w:shd w:val="clear" w:color="auto" w:fill="auto"/>
            <w:vAlign w:val="center"/>
          </w:tcPr>
          <w:p w14:paraId="13E3E6FC">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Y≥30000</w:t>
            </w:r>
          </w:p>
        </w:tc>
        <w:tc>
          <w:tcPr>
            <w:tcW w:w="941" w:type="pct"/>
            <w:shd w:val="clear" w:color="auto" w:fill="auto"/>
            <w:vAlign w:val="center"/>
          </w:tcPr>
          <w:p w14:paraId="292102A0">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3000≤Y＜30000</w:t>
            </w:r>
          </w:p>
        </w:tc>
        <w:tc>
          <w:tcPr>
            <w:tcW w:w="789" w:type="pct"/>
            <w:shd w:val="clear" w:color="auto" w:fill="auto"/>
            <w:vAlign w:val="center"/>
          </w:tcPr>
          <w:p w14:paraId="726E8CFD">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200≤Y＜3000</w:t>
            </w:r>
          </w:p>
        </w:tc>
        <w:tc>
          <w:tcPr>
            <w:tcW w:w="549" w:type="pct"/>
            <w:shd w:val="clear" w:color="auto" w:fill="auto"/>
            <w:vAlign w:val="center"/>
          </w:tcPr>
          <w:p w14:paraId="1623B016">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Y＜200</w:t>
            </w:r>
          </w:p>
        </w:tc>
      </w:tr>
      <w:tr w14:paraId="5741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897" w:type="pct"/>
            <w:vMerge w:val="restart"/>
            <w:shd w:val="clear" w:color="auto" w:fill="auto"/>
            <w:vAlign w:val="center"/>
          </w:tcPr>
          <w:p w14:paraId="5CF6C6A8">
            <w:pPr>
              <w:spacing w:before="120" w:beforeLines="50" w:line="276" w:lineRule="auto"/>
              <w:contextualSpacing/>
              <w:rPr>
                <w:rFonts w:hint="eastAsia" w:ascii="宋体" w:hAnsi="宋体" w:cs="宋体"/>
                <w:color w:val="auto"/>
                <w:szCs w:val="21"/>
                <w:highlight w:val="none"/>
              </w:rPr>
            </w:pPr>
            <w:r>
              <w:rPr>
                <w:rFonts w:hint="eastAsia" w:ascii="宋体" w:hAnsi="宋体" w:cs="宋体"/>
                <w:color w:val="auto"/>
                <w:szCs w:val="21"/>
                <w:highlight w:val="none"/>
              </w:rPr>
              <w:t>仓储业</w:t>
            </w:r>
          </w:p>
        </w:tc>
        <w:tc>
          <w:tcPr>
            <w:tcW w:w="809" w:type="pct"/>
            <w:shd w:val="clear" w:color="auto" w:fill="auto"/>
            <w:vAlign w:val="center"/>
          </w:tcPr>
          <w:p w14:paraId="02301073">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从业人员(X)</w:t>
            </w:r>
          </w:p>
        </w:tc>
        <w:tc>
          <w:tcPr>
            <w:tcW w:w="392" w:type="pct"/>
            <w:shd w:val="clear" w:color="auto" w:fill="auto"/>
            <w:vAlign w:val="center"/>
          </w:tcPr>
          <w:p w14:paraId="08F3B118">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623" w:type="pct"/>
            <w:shd w:val="clear" w:color="auto" w:fill="auto"/>
            <w:vAlign w:val="center"/>
          </w:tcPr>
          <w:p w14:paraId="07DDAABC">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X≥200</w:t>
            </w:r>
          </w:p>
        </w:tc>
        <w:tc>
          <w:tcPr>
            <w:tcW w:w="941" w:type="pct"/>
            <w:shd w:val="clear" w:color="auto" w:fill="auto"/>
            <w:vAlign w:val="center"/>
          </w:tcPr>
          <w:p w14:paraId="5DEB9D91">
            <w:pPr>
              <w:spacing w:before="120" w:beforeLines="50" w:line="276" w:lineRule="auto"/>
              <w:ind w:left="-107" w:leftChars="-51"/>
              <w:contextualSpacing/>
              <w:jc w:val="center"/>
              <w:rPr>
                <w:rFonts w:hint="eastAsia" w:ascii="宋体" w:hAnsi="宋体" w:cs="宋体"/>
                <w:color w:val="auto"/>
                <w:szCs w:val="21"/>
                <w:highlight w:val="none"/>
              </w:rPr>
            </w:pPr>
            <w:r>
              <w:rPr>
                <w:rFonts w:hint="eastAsia" w:ascii="宋体" w:hAnsi="宋体" w:cs="宋体"/>
                <w:color w:val="auto"/>
                <w:szCs w:val="21"/>
                <w:highlight w:val="none"/>
              </w:rPr>
              <w:t>100≤X＜200</w:t>
            </w:r>
          </w:p>
        </w:tc>
        <w:tc>
          <w:tcPr>
            <w:tcW w:w="789" w:type="pct"/>
            <w:shd w:val="clear" w:color="auto" w:fill="auto"/>
            <w:vAlign w:val="center"/>
          </w:tcPr>
          <w:p w14:paraId="3308A5DC">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20≤X＜100</w:t>
            </w:r>
          </w:p>
        </w:tc>
        <w:tc>
          <w:tcPr>
            <w:tcW w:w="549" w:type="pct"/>
            <w:shd w:val="clear" w:color="auto" w:fill="auto"/>
            <w:vAlign w:val="center"/>
          </w:tcPr>
          <w:p w14:paraId="6DCFC83A">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X＜20</w:t>
            </w:r>
          </w:p>
        </w:tc>
      </w:tr>
      <w:tr w14:paraId="7EB2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897" w:type="pct"/>
            <w:vMerge w:val="continue"/>
            <w:vAlign w:val="center"/>
          </w:tcPr>
          <w:p w14:paraId="014FA114">
            <w:pPr>
              <w:spacing w:before="120" w:beforeLines="50" w:line="276" w:lineRule="auto"/>
              <w:contextualSpacing/>
              <w:rPr>
                <w:rFonts w:hint="eastAsia" w:ascii="宋体" w:hAnsi="宋体" w:cs="宋体"/>
                <w:color w:val="auto"/>
                <w:szCs w:val="21"/>
                <w:highlight w:val="none"/>
              </w:rPr>
            </w:pPr>
          </w:p>
        </w:tc>
        <w:tc>
          <w:tcPr>
            <w:tcW w:w="809" w:type="pct"/>
            <w:shd w:val="clear" w:color="auto" w:fill="auto"/>
            <w:vAlign w:val="center"/>
          </w:tcPr>
          <w:p w14:paraId="66E32014">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营业收入(Y)</w:t>
            </w:r>
          </w:p>
        </w:tc>
        <w:tc>
          <w:tcPr>
            <w:tcW w:w="392" w:type="pct"/>
            <w:shd w:val="clear" w:color="auto" w:fill="auto"/>
            <w:vAlign w:val="center"/>
          </w:tcPr>
          <w:p w14:paraId="325298BA">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623" w:type="pct"/>
            <w:shd w:val="clear" w:color="auto" w:fill="auto"/>
            <w:vAlign w:val="center"/>
          </w:tcPr>
          <w:p w14:paraId="25B9E75F">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Y≥30000</w:t>
            </w:r>
          </w:p>
        </w:tc>
        <w:tc>
          <w:tcPr>
            <w:tcW w:w="941" w:type="pct"/>
            <w:shd w:val="clear" w:color="auto" w:fill="auto"/>
            <w:vAlign w:val="center"/>
          </w:tcPr>
          <w:p w14:paraId="67EDEC25">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1000≤Y＜30000</w:t>
            </w:r>
          </w:p>
        </w:tc>
        <w:tc>
          <w:tcPr>
            <w:tcW w:w="789" w:type="pct"/>
            <w:shd w:val="clear" w:color="auto" w:fill="auto"/>
            <w:vAlign w:val="center"/>
          </w:tcPr>
          <w:p w14:paraId="2D892FF8">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100≤Y＜1000</w:t>
            </w:r>
          </w:p>
        </w:tc>
        <w:tc>
          <w:tcPr>
            <w:tcW w:w="549" w:type="pct"/>
            <w:shd w:val="clear" w:color="auto" w:fill="auto"/>
            <w:vAlign w:val="center"/>
          </w:tcPr>
          <w:p w14:paraId="0301FF7C">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Y＜100</w:t>
            </w:r>
          </w:p>
        </w:tc>
      </w:tr>
      <w:tr w14:paraId="0780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897" w:type="pct"/>
            <w:vMerge w:val="restart"/>
            <w:shd w:val="clear" w:color="auto" w:fill="auto"/>
            <w:vAlign w:val="center"/>
          </w:tcPr>
          <w:p w14:paraId="30A089C1">
            <w:pPr>
              <w:spacing w:before="120" w:beforeLines="50" w:line="276" w:lineRule="auto"/>
              <w:contextualSpacing/>
              <w:rPr>
                <w:rFonts w:hint="eastAsia" w:ascii="宋体" w:hAnsi="宋体" w:cs="宋体"/>
                <w:color w:val="auto"/>
                <w:szCs w:val="21"/>
                <w:highlight w:val="none"/>
              </w:rPr>
            </w:pPr>
            <w:r>
              <w:rPr>
                <w:rFonts w:hint="eastAsia" w:ascii="宋体" w:hAnsi="宋体" w:cs="宋体"/>
                <w:color w:val="auto"/>
                <w:szCs w:val="21"/>
                <w:highlight w:val="none"/>
              </w:rPr>
              <w:t>邮政业</w:t>
            </w:r>
          </w:p>
        </w:tc>
        <w:tc>
          <w:tcPr>
            <w:tcW w:w="809" w:type="pct"/>
            <w:shd w:val="clear" w:color="auto" w:fill="auto"/>
            <w:vAlign w:val="center"/>
          </w:tcPr>
          <w:p w14:paraId="19D16DE2">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从业人员(X)</w:t>
            </w:r>
          </w:p>
        </w:tc>
        <w:tc>
          <w:tcPr>
            <w:tcW w:w="392" w:type="pct"/>
            <w:shd w:val="clear" w:color="auto" w:fill="auto"/>
            <w:vAlign w:val="center"/>
          </w:tcPr>
          <w:p w14:paraId="1271367E">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623" w:type="pct"/>
            <w:shd w:val="clear" w:color="auto" w:fill="auto"/>
            <w:vAlign w:val="center"/>
          </w:tcPr>
          <w:p w14:paraId="1C444CE1">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X≥1000</w:t>
            </w:r>
          </w:p>
        </w:tc>
        <w:tc>
          <w:tcPr>
            <w:tcW w:w="941" w:type="pct"/>
            <w:shd w:val="clear" w:color="auto" w:fill="auto"/>
            <w:vAlign w:val="center"/>
          </w:tcPr>
          <w:p w14:paraId="034603B2">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300≤X＜1000</w:t>
            </w:r>
          </w:p>
        </w:tc>
        <w:tc>
          <w:tcPr>
            <w:tcW w:w="789" w:type="pct"/>
            <w:shd w:val="clear" w:color="auto" w:fill="auto"/>
            <w:vAlign w:val="center"/>
          </w:tcPr>
          <w:p w14:paraId="300880BB">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20≤X＜300</w:t>
            </w:r>
          </w:p>
        </w:tc>
        <w:tc>
          <w:tcPr>
            <w:tcW w:w="549" w:type="pct"/>
            <w:shd w:val="clear" w:color="auto" w:fill="auto"/>
            <w:vAlign w:val="center"/>
          </w:tcPr>
          <w:p w14:paraId="513F6133">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X＜20</w:t>
            </w:r>
          </w:p>
        </w:tc>
      </w:tr>
      <w:tr w14:paraId="7473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897" w:type="pct"/>
            <w:vMerge w:val="continue"/>
            <w:vAlign w:val="center"/>
          </w:tcPr>
          <w:p w14:paraId="6FB2418D">
            <w:pPr>
              <w:spacing w:before="120" w:beforeLines="50" w:line="276" w:lineRule="auto"/>
              <w:contextualSpacing/>
              <w:rPr>
                <w:rFonts w:hint="eastAsia" w:ascii="宋体" w:hAnsi="宋体" w:cs="宋体"/>
                <w:color w:val="auto"/>
                <w:szCs w:val="21"/>
                <w:highlight w:val="none"/>
              </w:rPr>
            </w:pPr>
          </w:p>
        </w:tc>
        <w:tc>
          <w:tcPr>
            <w:tcW w:w="809" w:type="pct"/>
            <w:shd w:val="clear" w:color="auto" w:fill="auto"/>
            <w:vAlign w:val="center"/>
          </w:tcPr>
          <w:p w14:paraId="2489BAC1">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营业收入(Y)</w:t>
            </w:r>
          </w:p>
        </w:tc>
        <w:tc>
          <w:tcPr>
            <w:tcW w:w="392" w:type="pct"/>
            <w:shd w:val="clear" w:color="auto" w:fill="auto"/>
            <w:vAlign w:val="center"/>
          </w:tcPr>
          <w:p w14:paraId="52CE53C1">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623" w:type="pct"/>
            <w:shd w:val="clear" w:color="auto" w:fill="auto"/>
            <w:vAlign w:val="center"/>
          </w:tcPr>
          <w:p w14:paraId="5070048E">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Y≥30000</w:t>
            </w:r>
          </w:p>
        </w:tc>
        <w:tc>
          <w:tcPr>
            <w:tcW w:w="941" w:type="pct"/>
            <w:shd w:val="clear" w:color="auto" w:fill="auto"/>
            <w:vAlign w:val="center"/>
          </w:tcPr>
          <w:p w14:paraId="746B9592">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2000≤Y＜30000</w:t>
            </w:r>
          </w:p>
        </w:tc>
        <w:tc>
          <w:tcPr>
            <w:tcW w:w="789" w:type="pct"/>
            <w:shd w:val="clear" w:color="auto" w:fill="auto"/>
            <w:vAlign w:val="center"/>
          </w:tcPr>
          <w:p w14:paraId="5E560802">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100≤Y＜2000</w:t>
            </w:r>
          </w:p>
        </w:tc>
        <w:tc>
          <w:tcPr>
            <w:tcW w:w="549" w:type="pct"/>
            <w:shd w:val="clear" w:color="auto" w:fill="auto"/>
            <w:vAlign w:val="center"/>
          </w:tcPr>
          <w:p w14:paraId="257E2C3D">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Y＜100</w:t>
            </w:r>
          </w:p>
        </w:tc>
      </w:tr>
      <w:tr w14:paraId="1E61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897" w:type="pct"/>
            <w:vMerge w:val="restart"/>
            <w:shd w:val="clear" w:color="auto" w:fill="auto"/>
            <w:vAlign w:val="center"/>
          </w:tcPr>
          <w:p w14:paraId="1EA9D66D">
            <w:pPr>
              <w:spacing w:before="120" w:beforeLines="50" w:line="276" w:lineRule="auto"/>
              <w:contextualSpacing/>
              <w:rPr>
                <w:rFonts w:hint="eastAsia" w:ascii="宋体" w:hAnsi="宋体" w:cs="宋体"/>
                <w:color w:val="auto"/>
                <w:szCs w:val="21"/>
                <w:highlight w:val="none"/>
              </w:rPr>
            </w:pPr>
            <w:r>
              <w:rPr>
                <w:rFonts w:hint="eastAsia" w:ascii="宋体" w:hAnsi="宋体" w:cs="宋体"/>
                <w:color w:val="auto"/>
                <w:szCs w:val="21"/>
                <w:highlight w:val="none"/>
              </w:rPr>
              <w:t>住宿业</w:t>
            </w:r>
          </w:p>
        </w:tc>
        <w:tc>
          <w:tcPr>
            <w:tcW w:w="809" w:type="pct"/>
            <w:shd w:val="clear" w:color="auto" w:fill="auto"/>
            <w:vAlign w:val="center"/>
          </w:tcPr>
          <w:p w14:paraId="7493DCCD">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从业人员(X)</w:t>
            </w:r>
          </w:p>
        </w:tc>
        <w:tc>
          <w:tcPr>
            <w:tcW w:w="392" w:type="pct"/>
            <w:shd w:val="clear" w:color="auto" w:fill="auto"/>
            <w:vAlign w:val="center"/>
          </w:tcPr>
          <w:p w14:paraId="678A9011">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623" w:type="pct"/>
            <w:shd w:val="clear" w:color="auto" w:fill="auto"/>
            <w:vAlign w:val="center"/>
          </w:tcPr>
          <w:p w14:paraId="49C5D615">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X≥300</w:t>
            </w:r>
          </w:p>
        </w:tc>
        <w:tc>
          <w:tcPr>
            <w:tcW w:w="941" w:type="pct"/>
            <w:shd w:val="clear" w:color="auto" w:fill="auto"/>
            <w:vAlign w:val="center"/>
          </w:tcPr>
          <w:p w14:paraId="45B2D1C6">
            <w:pPr>
              <w:spacing w:before="120" w:beforeLines="50" w:line="276" w:lineRule="auto"/>
              <w:ind w:left="-107" w:leftChars="-51"/>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100≤X＜300 </w:t>
            </w:r>
          </w:p>
        </w:tc>
        <w:tc>
          <w:tcPr>
            <w:tcW w:w="789" w:type="pct"/>
            <w:shd w:val="clear" w:color="auto" w:fill="auto"/>
            <w:vAlign w:val="center"/>
          </w:tcPr>
          <w:p w14:paraId="78267337">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10≤X＜100</w:t>
            </w:r>
          </w:p>
        </w:tc>
        <w:tc>
          <w:tcPr>
            <w:tcW w:w="549" w:type="pct"/>
            <w:shd w:val="clear" w:color="auto" w:fill="auto"/>
            <w:vAlign w:val="center"/>
          </w:tcPr>
          <w:p w14:paraId="761F0076">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X＜10</w:t>
            </w:r>
          </w:p>
        </w:tc>
      </w:tr>
      <w:tr w14:paraId="5195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897" w:type="pct"/>
            <w:vMerge w:val="continue"/>
            <w:vAlign w:val="center"/>
          </w:tcPr>
          <w:p w14:paraId="20C042BE">
            <w:pPr>
              <w:spacing w:before="120" w:beforeLines="50" w:line="276" w:lineRule="auto"/>
              <w:contextualSpacing/>
              <w:rPr>
                <w:rFonts w:hint="eastAsia" w:ascii="宋体" w:hAnsi="宋体" w:cs="宋体"/>
                <w:color w:val="auto"/>
                <w:szCs w:val="21"/>
                <w:highlight w:val="none"/>
              </w:rPr>
            </w:pPr>
          </w:p>
        </w:tc>
        <w:tc>
          <w:tcPr>
            <w:tcW w:w="809" w:type="pct"/>
            <w:shd w:val="clear" w:color="auto" w:fill="auto"/>
            <w:vAlign w:val="center"/>
          </w:tcPr>
          <w:p w14:paraId="0ACD309E">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营业收入(Y)</w:t>
            </w:r>
          </w:p>
        </w:tc>
        <w:tc>
          <w:tcPr>
            <w:tcW w:w="392" w:type="pct"/>
            <w:shd w:val="clear" w:color="auto" w:fill="auto"/>
            <w:vAlign w:val="center"/>
          </w:tcPr>
          <w:p w14:paraId="7CCEDCB6">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623" w:type="pct"/>
            <w:shd w:val="clear" w:color="auto" w:fill="auto"/>
            <w:vAlign w:val="center"/>
          </w:tcPr>
          <w:p w14:paraId="26F61E9D">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Y≥10000</w:t>
            </w:r>
          </w:p>
        </w:tc>
        <w:tc>
          <w:tcPr>
            <w:tcW w:w="941" w:type="pct"/>
            <w:shd w:val="clear" w:color="auto" w:fill="auto"/>
            <w:vAlign w:val="center"/>
          </w:tcPr>
          <w:p w14:paraId="4B014779">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2000≤Y＜10000</w:t>
            </w:r>
          </w:p>
        </w:tc>
        <w:tc>
          <w:tcPr>
            <w:tcW w:w="789" w:type="pct"/>
            <w:shd w:val="clear" w:color="auto" w:fill="auto"/>
            <w:vAlign w:val="center"/>
          </w:tcPr>
          <w:p w14:paraId="0B1FD004">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100≤Y＜2000</w:t>
            </w:r>
          </w:p>
        </w:tc>
        <w:tc>
          <w:tcPr>
            <w:tcW w:w="549" w:type="pct"/>
            <w:shd w:val="clear" w:color="auto" w:fill="auto"/>
            <w:vAlign w:val="center"/>
          </w:tcPr>
          <w:p w14:paraId="5E7BE1DF">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Y＜100</w:t>
            </w:r>
          </w:p>
        </w:tc>
      </w:tr>
      <w:tr w14:paraId="492B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897" w:type="pct"/>
            <w:vMerge w:val="restart"/>
            <w:shd w:val="clear" w:color="auto" w:fill="auto"/>
            <w:vAlign w:val="center"/>
          </w:tcPr>
          <w:p w14:paraId="60EA0686">
            <w:pPr>
              <w:spacing w:before="120" w:beforeLines="50" w:line="276" w:lineRule="auto"/>
              <w:contextualSpacing/>
              <w:rPr>
                <w:rFonts w:hint="eastAsia" w:ascii="宋体" w:hAnsi="宋体" w:cs="宋体"/>
                <w:color w:val="auto"/>
                <w:szCs w:val="21"/>
                <w:highlight w:val="none"/>
              </w:rPr>
            </w:pPr>
            <w:r>
              <w:rPr>
                <w:rFonts w:hint="eastAsia" w:ascii="宋体" w:hAnsi="宋体" w:cs="宋体"/>
                <w:color w:val="auto"/>
                <w:szCs w:val="21"/>
                <w:highlight w:val="none"/>
              </w:rPr>
              <w:t>餐饮业</w:t>
            </w:r>
          </w:p>
        </w:tc>
        <w:tc>
          <w:tcPr>
            <w:tcW w:w="809" w:type="pct"/>
            <w:shd w:val="clear" w:color="auto" w:fill="auto"/>
            <w:vAlign w:val="center"/>
          </w:tcPr>
          <w:p w14:paraId="0D0929A2">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从业人员(X)</w:t>
            </w:r>
          </w:p>
        </w:tc>
        <w:tc>
          <w:tcPr>
            <w:tcW w:w="392" w:type="pct"/>
            <w:shd w:val="clear" w:color="auto" w:fill="auto"/>
            <w:vAlign w:val="center"/>
          </w:tcPr>
          <w:p w14:paraId="338EF55B">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623" w:type="pct"/>
            <w:shd w:val="clear" w:color="auto" w:fill="auto"/>
            <w:vAlign w:val="center"/>
          </w:tcPr>
          <w:p w14:paraId="0E67852B">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X≥300</w:t>
            </w:r>
          </w:p>
        </w:tc>
        <w:tc>
          <w:tcPr>
            <w:tcW w:w="941" w:type="pct"/>
            <w:shd w:val="clear" w:color="auto" w:fill="auto"/>
            <w:vAlign w:val="center"/>
          </w:tcPr>
          <w:p w14:paraId="346C85AF">
            <w:pPr>
              <w:spacing w:before="120" w:beforeLines="50" w:line="276" w:lineRule="auto"/>
              <w:ind w:left="-107" w:leftChars="-51"/>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100≤X＜300 </w:t>
            </w:r>
          </w:p>
        </w:tc>
        <w:tc>
          <w:tcPr>
            <w:tcW w:w="789" w:type="pct"/>
            <w:shd w:val="clear" w:color="auto" w:fill="auto"/>
            <w:vAlign w:val="center"/>
          </w:tcPr>
          <w:p w14:paraId="425153DB">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10≤X＜100</w:t>
            </w:r>
          </w:p>
        </w:tc>
        <w:tc>
          <w:tcPr>
            <w:tcW w:w="549" w:type="pct"/>
            <w:shd w:val="clear" w:color="auto" w:fill="auto"/>
            <w:vAlign w:val="center"/>
          </w:tcPr>
          <w:p w14:paraId="450AC4C3">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X＜10</w:t>
            </w:r>
          </w:p>
        </w:tc>
      </w:tr>
      <w:tr w14:paraId="6693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897" w:type="pct"/>
            <w:vMerge w:val="continue"/>
            <w:vAlign w:val="center"/>
          </w:tcPr>
          <w:p w14:paraId="1AB3C4DD">
            <w:pPr>
              <w:spacing w:before="120" w:beforeLines="50" w:line="276" w:lineRule="auto"/>
              <w:contextualSpacing/>
              <w:rPr>
                <w:rFonts w:hint="eastAsia" w:ascii="宋体" w:hAnsi="宋体" w:cs="宋体"/>
                <w:color w:val="auto"/>
                <w:szCs w:val="21"/>
                <w:highlight w:val="none"/>
              </w:rPr>
            </w:pPr>
          </w:p>
        </w:tc>
        <w:tc>
          <w:tcPr>
            <w:tcW w:w="809" w:type="pct"/>
            <w:shd w:val="clear" w:color="auto" w:fill="auto"/>
            <w:vAlign w:val="center"/>
          </w:tcPr>
          <w:p w14:paraId="7D9402AF">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营业收入(Y)</w:t>
            </w:r>
          </w:p>
        </w:tc>
        <w:tc>
          <w:tcPr>
            <w:tcW w:w="392" w:type="pct"/>
            <w:shd w:val="clear" w:color="auto" w:fill="auto"/>
            <w:vAlign w:val="center"/>
          </w:tcPr>
          <w:p w14:paraId="323800D1">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623" w:type="pct"/>
            <w:shd w:val="clear" w:color="auto" w:fill="auto"/>
            <w:vAlign w:val="center"/>
          </w:tcPr>
          <w:p w14:paraId="2984148A">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Y≥10000</w:t>
            </w:r>
          </w:p>
        </w:tc>
        <w:tc>
          <w:tcPr>
            <w:tcW w:w="941" w:type="pct"/>
            <w:shd w:val="clear" w:color="auto" w:fill="auto"/>
            <w:vAlign w:val="center"/>
          </w:tcPr>
          <w:p w14:paraId="4B14B7F7">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2000≤Y＜10000</w:t>
            </w:r>
          </w:p>
        </w:tc>
        <w:tc>
          <w:tcPr>
            <w:tcW w:w="789" w:type="pct"/>
            <w:shd w:val="clear" w:color="auto" w:fill="auto"/>
            <w:vAlign w:val="center"/>
          </w:tcPr>
          <w:p w14:paraId="74E263A8">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100≤Y＜2000</w:t>
            </w:r>
          </w:p>
        </w:tc>
        <w:tc>
          <w:tcPr>
            <w:tcW w:w="549" w:type="pct"/>
            <w:shd w:val="clear" w:color="auto" w:fill="auto"/>
            <w:vAlign w:val="center"/>
          </w:tcPr>
          <w:p w14:paraId="2C161792">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Y＜100</w:t>
            </w:r>
          </w:p>
        </w:tc>
      </w:tr>
      <w:tr w14:paraId="79F1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897" w:type="pct"/>
            <w:vMerge w:val="restart"/>
            <w:shd w:val="clear" w:color="auto" w:fill="auto"/>
            <w:vAlign w:val="center"/>
          </w:tcPr>
          <w:p w14:paraId="34452434">
            <w:pPr>
              <w:spacing w:before="120" w:beforeLines="50" w:line="276" w:lineRule="auto"/>
              <w:contextualSpacing/>
              <w:rPr>
                <w:rFonts w:hint="eastAsia" w:ascii="宋体" w:hAnsi="宋体" w:cs="宋体"/>
                <w:color w:val="auto"/>
                <w:szCs w:val="21"/>
                <w:highlight w:val="none"/>
              </w:rPr>
            </w:pPr>
            <w:r>
              <w:rPr>
                <w:rFonts w:hint="eastAsia" w:ascii="宋体" w:hAnsi="宋体" w:cs="宋体"/>
                <w:color w:val="auto"/>
                <w:szCs w:val="21"/>
                <w:highlight w:val="none"/>
              </w:rPr>
              <w:t>信息传输业 *</w:t>
            </w:r>
          </w:p>
        </w:tc>
        <w:tc>
          <w:tcPr>
            <w:tcW w:w="809" w:type="pct"/>
            <w:shd w:val="clear" w:color="auto" w:fill="auto"/>
            <w:vAlign w:val="center"/>
          </w:tcPr>
          <w:p w14:paraId="5B8AB249">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从业人员(X)</w:t>
            </w:r>
          </w:p>
        </w:tc>
        <w:tc>
          <w:tcPr>
            <w:tcW w:w="392" w:type="pct"/>
            <w:shd w:val="clear" w:color="auto" w:fill="auto"/>
            <w:vAlign w:val="center"/>
          </w:tcPr>
          <w:p w14:paraId="72E67ABA">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623" w:type="pct"/>
            <w:shd w:val="clear" w:color="auto" w:fill="auto"/>
            <w:vAlign w:val="center"/>
          </w:tcPr>
          <w:p w14:paraId="0EFF141B">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X≥2000</w:t>
            </w:r>
          </w:p>
        </w:tc>
        <w:tc>
          <w:tcPr>
            <w:tcW w:w="941" w:type="pct"/>
            <w:shd w:val="clear" w:color="auto" w:fill="auto"/>
            <w:vAlign w:val="center"/>
          </w:tcPr>
          <w:p w14:paraId="6AB2FDE3">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100≤X＜2000</w:t>
            </w:r>
          </w:p>
        </w:tc>
        <w:tc>
          <w:tcPr>
            <w:tcW w:w="789" w:type="pct"/>
            <w:shd w:val="clear" w:color="auto" w:fill="auto"/>
            <w:vAlign w:val="center"/>
          </w:tcPr>
          <w:p w14:paraId="6FC2E280">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10≤X＜100</w:t>
            </w:r>
          </w:p>
        </w:tc>
        <w:tc>
          <w:tcPr>
            <w:tcW w:w="549" w:type="pct"/>
            <w:shd w:val="clear" w:color="auto" w:fill="auto"/>
            <w:vAlign w:val="center"/>
          </w:tcPr>
          <w:p w14:paraId="22783E11">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X＜10</w:t>
            </w:r>
          </w:p>
        </w:tc>
      </w:tr>
      <w:tr w14:paraId="6A76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jc w:val="center"/>
        </w:trPr>
        <w:tc>
          <w:tcPr>
            <w:tcW w:w="897" w:type="pct"/>
            <w:vMerge w:val="continue"/>
            <w:vAlign w:val="center"/>
          </w:tcPr>
          <w:p w14:paraId="4B32A999">
            <w:pPr>
              <w:spacing w:before="120" w:beforeLines="50" w:line="276" w:lineRule="auto"/>
              <w:contextualSpacing/>
              <w:rPr>
                <w:rFonts w:hint="eastAsia" w:ascii="宋体" w:hAnsi="宋体" w:cs="宋体"/>
                <w:color w:val="auto"/>
                <w:szCs w:val="21"/>
                <w:highlight w:val="none"/>
              </w:rPr>
            </w:pPr>
          </w:p>
        </w:tc>
        <w:tc>
          <w:tcPr>
            <w:tcW w:w="809" w:type="pct"/>
            <w:shd w:val="clear" w:color="auto" w:fill="auto"/>
            <w:vAlign w:val="center"/>
          </w:tcPr>
          <w:p w14:paraId="71A13436">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营业收入(Y)</w:t>
            </w:r>
          </w:p>
        </w:tc>
        <w:tc>
          <w:tcPr>
            <w:tcW w:w="392" w:type="pct"/>
            <w:shd w:val="clear" w:color="auto" w:fill="auto"/>
            <w:vAlign w:val="center"/>
          </w:tcPr>
          <w:p w14:paraId="505CEF75">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623" w:type="pct"/>
            <w:shd w:val="clear" w:color="auto" w:fill="auto"/>
            <w:vAlign w:val="center"/>
          </w:tcPr>
          <w:p w14:paraId="185B2E74">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Y≥100000</w:t>
            </w:r>
          </w:p>
        </w:tc>
        <w:tc>
          <w:tcPr>
            <w:tcW w:w="941" w:type="pct"/>
            <w:shd w:val="clear" w:color="auto" w:fill="auto"/>
            <w:vAlign w:val="center"/>
          </w:tcPr>
          <w:p w14:paraId="7D11CE89">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1000≤Y＜100000</w:t>
            </w:r>
          </w:p>
        </w:tc>
        <w:tc>
          <w:tcPr>
            <w:tcW w:w="789" w:type="pct"/>
            <w:shd w:val="clear" w:color="auto" w:fill="auto"/>
            <w:vAlign w:val="center"/>
          </w:tcPr>
          <w:p w14:paraId="2F2D5907">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100≤Y＜1000</w:t>
            </w:r>
          </w:p>
        </w:tc>
        <w:tc>
          <w:tcPr>
            <w:tcW w:w="549" w:type="pct"/>
            <w:shd w:val="clear" w:color="auto" w:fill="auto"/>
            <w:vAlign w:val="center"/>
          </w:tcPr>
          <w:p w14:paraId="79BD33BC">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Y＜100</w:t>
            </w:r>
          </w:p>
        </w:tc>
      </w:tr>
      <w:tr w14:paraId="082F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897" w:type="pct"/>
            <w:vMerge w:val="restart"/>
            <w:shd w:val="clear" w:color="auto" w:fill="auto"/>
            <w:vAlign w:val="center"/>
          </w:tcPr>
          <w:p w14:paraId="684F55F8">
            <w:pPr>
              <w:spacing w:before="120" w:beforeLines="50" w:line="276" w:lineRule="auto"/>
              <w:contextualSpacing/>
              <w:rPr>
                <w:rFonts w:hint="eastAsia" w:ascii="宋体" w:hAnsi="宋体" w:cs="宋体"/>
                <w:color w:val="auto"/>
                <w:szCs w:val="21"/>
                <w:highlight w:val="none"/>
              </w:rPr>
            </w:pPr>
            <w:r>
              <w:rPr>
                <w:rFonts w:hint="eastAsia" w:ascii="宋体" w:hAnsi="宋体" w:cs="宋体"/>
                <w:color w:val="auto"/>
                <w:szCs w:val="21"/>
                <w:highlight w:val="none"/>
              </w:rPr>
              <w:t>软件和信息技术服务业</w:t>
            </w:r>
          </w:p>
        </w:tc>
        <w:tc>
          <w:tcPr>
            <w:tcW w:w="809" w:type="pct"/>
            <w:shd w:val="clear" w:color="auto" w:fill="auto"/>
            <w:vAlign w:val="center"/>
          </w:tcPr>
          <w:p w14:paraId="46A1FFD5">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从业人员(X)</w:t>
            </w:r>
          </w:p>
        </w:tc>
        <w:tc>
          <w:tcPr>
            <w:tcW w:w="392" w:type="pct"/>
            <w:shd w:val="clear" w:color="auto" w:fill="auto"/>
            <w:vAlign w:val="center"/>
          </w:tcPr>
          <w:p w14:paraId="4FE06811">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623" w:type="pct"/>
            <w:shd w:val="clear" w:color="auto" w:fill="auto"/>
            <w:vAlign w:val="center"/>
          </w:tcPr>
          <w:p w14:paraId="6F053E46">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X≥300</w:t>
            </w:r>
          </w:p>
        </w:tc>
        <w:tc>
          <w:tcPr>
            <w:tcW w:w="941" w:type="pct"/>
            <w:shd w:val="clear" w:color="auto" w:fill="auto"/>
            <w:vAlign w:val="center"/>
          </w:tcPr>
          <w:p w14:paraId="3732E510">
            <w:pPr>
              <w:spacing w:before="120" w:beforeLines="50" w:line="276" w:lineRule="auto"/>
              <w:ind w:left="-107" w:leftChars="-51"/>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100≤X＜300 </w:t>
            </w:r>
          </w:p>
        </w:tc>
        <w:tc>
          <w:tcPr>
            <w:tcW w:w="789" w:type="pct"/>
            <w:shd w:val="clear" w:color="auto" w:fill="auto"/>
            <w:vAlign w:val="center"/>
          </w:tcPr>
          <w:p w14:paraId="368A645D">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10≤X＜100</w:t>
            </w:r>
          </w:p>
        </w:tc>
        <w:tc>
          <w:tcPr>
            <w:tcW w:w="549" w:type="pct"/>
            <w:shd w:val="clear" w:color="auto" w:fill="auto"/>
            <w:vAlign w:val="center"/>
          </w:tcPr>
          <w:p w14:paraId="76391D8C">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X＜10</w:t>
            </w:r>
          </w:p>
        </w:tc>
      </w:tr>
      <w:tr w14:paraId="16AC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jc w:val="center"/>
        </w:trPr>
        <w:tc>
          <w:tcPr>
            <w:tcW w:w="897" w:type="pct"/>
            <w:vMerge w:val="continue"/>
            <w:vAlign w:val="center"/>
          </w:tcPr>
          <w:p w14:paraId="1FA585AF">
            <w:pPr>
              <w:spacing w:before="120" w:beforeLines="50" w:line="276" w:lineRule="auto"/>
              <w:contextualSpacing/>
              <w:rPr>
                <w:rFonts w:hint="eastAsia" w:ascii="宋体" w:hAnsi="宋体" w:cs="宋体"/>
                <w:color w:val="auto"/>
                <w:szCs w:val="21"/>
                <w:highlight w:val="none"/>
              </w:rPr>
            </w:pPr>
          </w:p>
        </w:tc>
        <w:tc>
          <w:tcPr>
            <w:tcW w:w="809" w:type="pct"/>
            <w:shd w:val="clear" w:color="auto" w:fill="auto"/>
            <w:vAlign w:val="center"/>
          </w:tcPr>
          <w:p w14:paraId="2C065F65">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营业收入(Y)</w:t>
            </w:r>
          </w:p>
        </w:tc>
        <w:tc>
          <w:tcPr>
            <w:tcW w:w="392" w:type="pct"/>
            <w:shd w:val="clear" w:color="auto" w:fill="auto"/>
            <w:vAlign w:val="center"/>
          </w:tcPr>
          <w:p w14:paraId="0B8670D9">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623" w:type="pct"/>
            <w:shd w:val="clear" w:color="auto" w:fill="auto"/>
            <w:vAlign w:val="center"/>
          </w:tcPr>
          <w:p w14:paraId="3FA3EF6D">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Y≥10000</w:t>
            </w:r>
          </w:p>
        </w:tc>
        <w:tc>
          <w:tcPr>
            <w:tcW w:w="941" w:type="pct"/>
            <w:shd w:val="clear" w:color="auto" w:fill="auto"/>
            <w:vAlign w:val="center"/>
          </w:tcPr>
          <w:p w14:paraId="0F250417">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1000≤Y＜10000</w:t>
            </w:r>
          </w:p>
        </w:tc>
        <w:tc>
          <w:tcPr>
            <w:tcW w:w="789" w:type="pct"/>
            <w:shd w:val="clear" w:color="auto" w:fill="auto"/>
            <w:vAlign w:val="center"/>
          </w:tcPr>
          <w:p w14:paraId="1A1A9184">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50≤Y＜1000</w:t>
            </w:r>
          </w:p>
        </w:tc>
        <w:tc>
          <w:tcPr>
            <w:tcW w:w="549" w:type="pct"/>
            <w:shd w:val="clear" w:color="auto" w:fill="auto"/>
            <w:vAlign w:val="center"/>
          </w:tcPr>
          <w:p w14:paraId="084D4069">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Y＜50</w:t>
            </w:r>
          </w:p>
        </w:tc>
      </w:tr>
      <w:tr w14:paraId="6BC5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97" w:type="pct"/>
            <w:vMerge w:val="restart"/>
            <w:shd w:val="clear" w:color="auto" w:fill="auto"/>
            <w:vAlign w:val="center"/>
          </w:tcPr>
          <w:p w14:paraId="7958DE40">
            <w:pPr>
              <w:spacing w:before="120" w:beforeLines="50" w:line="276" w:lineRule="auto"/>
              <w:contextualSpacing/>
              <w:rPr>
                <w:rFonts w:hint="eastAsia" w:ascii="宋体" w:hAnsi="宋体" w:cs="宋体"/>
                <w:color w:val="auto"/>
                <w:szCs w:val="21"/>
                <w:highlight w:val="none"/>
              </w:rPr>
            </w:pPr>
            <w:r>
              <w:rPr>
                <w:rFonts w:hint="eastAsia" w:ascii="宋体" w:hAnsi="宋体" w:cs="宋体"/>
                <w:color w:val="auto"/>
                <w:szCs w:val="21"/>
                <w:highlight w:val="none"/>
              </w:rPr>
              <w:t>房地产开发经营</w:t>
            </w:r>
          </w:p>
        </w:tc>
        <w:tc>
          <w:tcPr>
            <w:tcW w:w="809" w:type="pct"/>
            <w:shd w:val="clear" w:color="auto" w:fill="auto"/>
            <w:vAlign w:val="center"/>
          </w:tcPr>
          <w:p w14:paraId="615336A2">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营业收入(Y)</w:t>
            </w:r>
          </w:p>
        </w:tc>
        <w:tc>
          <w:tcPr>
            <w:tcW w:w="392" w:type="pct"/>
            <w:shd w:val="clear" w:color="auto" w:fill="auto"/>
            <w:vAlign w:val="center"/>
          </w:tcPr>
          <w:p w14:paraId="5063C895">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623" w:type="pct"/>
            <w:shd w:val="clear" w:color="auto" w:fill="auto"/>
            <w:vAlign w:val="center"/>
          </w:tcPr>
          <w:p w14:paraId="1F12CCE7">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Y≥200000</w:t>
            </w:r>
          </w:p>
        </w:tc>
        <w:tc>
          <w:tcPr>
            <w:tcW w:w="941" w:type="pct"/>
            <w:shd w:val="clear" w:color="auto" w:fill="auto"/>
            <w:vAlign w:val="center"/>
          </w:tcPr>
          <w:p w14:paraId="2F4B8C6A">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1000≤Y＜200000</w:t>
            </w:r>
          </w:p>
        </w:tc>
        <w:tc>
          <w:tcPr>
            <w:tcW w:w="789" w:type="pct"/>
            <w:shd w:val="clear" w:color="auto" w:fill="auto"/>
            <w:vAlign w:val="center"/>
          </w:tcPr>
          <w:p w14:paraId="005697D4">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100≤Y＜1000</w:t>
            </w:r>
          </w:p>
        </w:tc>
        <w:tc>
          <w:tcPr>
            <w:tcW w:w="549" w:type="pct"/>
            <w:shd w:val="clear" w:color="auto" w:fill="auto"/>
            <w:vAlign w:val="center"/>
          </w:tcPr>
          <w:p w14:paraId="150B40E9">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Y＜100</w:t>
            </w:r>
          </w:p>
        </w:tc>
      </w:tr>
      <w:tr w14:paraId="2BF7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897" w:type="pct"/>
            <w:vMerge w:val="continue"/>
            <w:vAlign w:val="center"/>
          </w:tcPr>
          <w:p w14:paraId="25289A4A">
            <w:pPr>
              <w:spacing w:before="120" w:beforeLines="50" w:line="276" w:lineRule="auto"/>
              <w:contextualSpacing/>
              <w:rPr>
                <w:rFonts w:hint="eastAsia" w:ascii="宋体" w:hAnsi="宋体" w:cs="宋体"/>
                <w:color w:val="auto"/>
                <w:szCs w:val="21"/>
                <w:highlight w:val="none"/>
              </w:rPr>
            </w:pPr>
          </w:p>
        </w:tc>
        <w:tc>
          <w:tcPr>
            <w:tcW w:w="809" w:type="pct"/>
            <w:shd w:val="clear" w:color="auto" w:fill="auto"/>
            <w:vAlign w:val="center"/>
          </w:tcPr>
          <w:p w14:paraId="21B3C9FF">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资产总额(Z)</w:t>
            </w:r>
          </w:p>
        </w:tc>
        <w:tc>
          <w:tcPr>
            <w:tcW w:w="392" w:type="pct"/>
            <w:shd w:val="clear" w:color="auto" w:fill="auto"/>
            <w:vAlign w:val="center"/>
          </w:tcPr>
          <w:p w14:paraId="09590F8F">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623" w:type="pct"/>
            <w:shd w:val="clear" w:color="auto" w:fill="auto"/>
            <w:vAlign w:val="center"/>
          </w:tcPr>
          <w:p w14:paraId="38B6A536">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Z≥10000</w:t>
            </w:r>
          </w:p>
        </w:tc>
        <w:tc>
          <w:tcPr>
            <w:tcW w:w="941" w:type="pct"/>
            <w:shd w:val="clear" w:color="auto" w:fill="auto"/>
            <w:vAlign w:val="center"/>
          </w:tcPr>
          <w:p w14:paraId="51ECCE4D">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5000≤Z＜10000</w:t>
            </w:r>
          </w:p>
        </w:tc>
        <w:tc>
          <w:tcPr>
            <w:tcW w:w="789" w:type="pct"/>
            <w:shd w:val="clear" w:color="auto" w:fill="auto"/>
            <w:vAlign w:val="center"/>
          </w:tcPr>
          <w:p w14:paraId="04B336F8">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2000≤Z＜5000   </w:t>
            </w:r>
          </w:p>
        </w:tc>
        <w:tc>
          <w:tcPr>
            <w:tcW w:w="549" w:type="pct"/>
            <w:shd w:val="clear" w:color="auto" w:fill="auto"/>
            <w:vAlign w:val="center"/>
          </w:tcPr>
          <w:p w14:paraId="6A507725">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Z＜2000</w:t>
            </w:r>
          </w:p>
        </w:tc>
      </w:tr>
      <w:tr w14:paraId="1BE7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897" w:type="pct"/>
            <w:vMerge w:val="restart"/>
            <w:shd w:val="clear" w:color="auto" w:fill="auto"/>
            <w:vAlign w:val="center"/>
          </w:tcPr>
          <w:p w14:paraId="5BF3F4F5">
            <w:pPr>
              <w:spacing w:before="120" w:beforeLines="50" w:line="276" w:lineRule="auto"/>
              <w:contextualSpacing/>
              <w:rPr>
                <w:rFonts w:hint="eastAsia" w:ascii="宋体" w:hAnsi="宋体" w:cs="宋体"/>
                <w:color w:val="auto"/>
                <w:szCs w:val="21"/>
                <w:highlight w:val="none"/>
              </w:rPr>
            </w:pPr>
            <w:r>
              <w:rPr>
                <w:rFonts w:hint="eastAsia" w:ascii="宋体" w:hAnsi="宋体" w:cs="宋体"/>
                <w:color w:val="auto"/>
                <w:szCs w:val="21"/>
                <w:highlight w:val="none"/>
              </w:rPr>
              <w:t>物业管理</w:t>
            </w:r>
          </w:p>
        </w:tc>
        <w:tc>
          <w:tcPr>
            <w:tcW w:w="809" w:type="pct"/>
            <w:shd w:val="clear" w:color="auto" w:fill="auto"/>
            <w:vAlign w:val="center"/>
          </w:tcPr>
          <w:p w14:paraId="3909397D">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从业人员(X)</w:t>
            </w:r>
          </w:p>
        </w:tc>
        <w:tc>
          <w:tcPr>
            <w:tcW w:w="392" w:type="pct"/>
            <w:shd w:val="clear" w:color="auto" w:fill="auto"/>
            <w:vAlign w:val="center"/>
          </w:tcPr>
          <w:p w14:paraId="31EF4C20">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623" w:type="pct"/>
            <w:shd w:val="clear" w:color="auto" w:fill="auto"/>
            <w:vAlign w:val="center"/>
          </w:tcPr>
          <w:p w14:paraId="444827B0">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X≥1000</w:t>
            </w:r>
          </w:p>
        </w:tc>
        <w:tc>
          <w:tcPr>
            <w:tcW w:w="941" w:type="pct"/>
            <w:shd w:val="clear" w:color="auto" w:fill="auto"/>
            <w:vAlign w:val="center"/>
          </w:tcPr>
          <w:p w14:paraId="1F277065">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300≤X＜1000</w:t>
            </w:r>
          </w:p>
        </w:tc>
        <w:tc>
          <w:tcPr>
            <w:tcW w:w="789" w:type="pct"/>
            <w:shd w:val="clear" w:color="auto" w:fill="auto"/>
            <w:vAlign w:val="center"/>
          </w:tcPr>
          <w:p w14:paraId="470F83EB">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100≤X＜300 </w:t>
            </w:r>
          </w:p>
        </w:tc>
        <w:tc>
          <w:tcPr>
            <w:tcW w:w="549" w:type="pct"/>
            <w:shd w:val="clear" w:color="auto" w:fill="auto"/>
            <w:vAlign w:val="center"/>
          </w:tcPr>
          <w:p w14:paraId="3944B52C">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X＜100</w:t>
            </w:r>
          </w:p>
        </w:tc>
      </w:tr>
      <w:tr w14:paraId="0CDF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jc w:val="center"/>
        </w:trPr>
        <w:tc>
          <w:tcPr>
            <w:tcW w:w="897" w:type="pct"/>
            <w:vMerge w:val="continue"/>
            <w:vAlign w:val="center"/>
          </w:tcPr>
          <w:p w14:paraId="10CC0C5C">
            <w:pPr>
              <w:spacing w:before="120" w:beforeLines="50" w:line="276" w:lineRule="auto"/>
              <w:contextualSpacing/>
              <w:rPr>
                <w:rFonts w:hint="eastAsia" w:ascii="宋体" w:hAnsi="宋体" w:cs="宋体"/>
                <w:color w:val="auto"/>
                <w:szCs w:val="21"/>
                <w:highlight w:val="none"/>
              </w:rPr>
            </w:pPr>
          </w:p>
        </w:tc>
        <w:tc>
          <w:tcPr>
            <w:tcW w:w="809" w:type="pct"/>
            <w:shd w:val="clear" w:color="auto" w:fill="auto"/>
            <w:vAlign w:val="center"/>
          </w:tcPr>
          <w:p w14:paraId="7F02E7BB">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营业收入(Y)</w:t>
            </w:r>
          </w:p>
        </w:tc>
        <w:tc>
          <w:tcPr>
            <w:tcW w:w="392" w:type="pct"/>
            <w:shd w:val="clear" w:color="auto" w:fill="auto"/>
            <w:vAlign w:val="center"/>
          </w:tcPr>
          <w:p w14:paraId="2D80E79F">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623" w:type="pct"/>
            <w:shd w:val="clear" w:color="auto" w:fill="auto"/>
            <w:vAlign w:val="center"/>
          </w:tcPr>
          <w:p w14:paraId="45428DD0">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Y≥5000</w:t>
            </w:r>
          </w:p>
        </w:tc>
        <w:tc>
          <w:tcPr>
            <w:tcW w:w="941" w:type="pct"/>
            <w:shd w:val="clear" w:color="auto" w:fill="auto"/>
            <w:vAlign w:val="center"/>
          </w:tcPr>
          <w:p w14:paraId="2547303E">
            <w:pPr>
              <w:spacing w:before="120" w:beforeLines="50" w:line="276" w:lineRule="auto"/>
              <w:ind w:left="-107" w:leftChars="-51"/>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1000≤Y＜5000 </w:t>
            </w:r>
          </w:p>
        </w:tc>
        <w:tc>
          <w:tcPr>
            <w:tcW w:w="789" w:type="pct"/>
            <w:shd w:val="clear" w:color="auto" w:fill="auto"/>
            <w:vAlign w:val="center"/>
          </w:tcPr>
          <w:p w14:paraId="37127F89">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500≤Y＜1000</w:t>
            </w:r>
          </w:p>
        </w:tc>
        <w:tc>
          <w:tcPr>
            <w:tcW w:w="549" w:type="pct"/>
            <w:shd w:val="clear" w:color="auto" w:fill="auto"/>
            <w:vAlign w:val="center"/>
          </w:tcPr>
          <w:p w14:paraId="5BB36969">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Y＜500</w:t>
            </w:r>
          </w:p>
        </w:tc>
      </w:tr>
      <w:tr w14:paraId="5EF2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897" w:type="pct"/>
            <w:vMerge w:val="restart"/>
            <w:shd w:val="clear" w:color="auto" w:fill="auto"/>
            <w:vAlign w:val="center"/>
          </w:tcPr>
          <w:p w14:paraId="7D3AB10B">
            <w:pPr>
              <w:spacing w:before="120" w:beforeLines="50" w:line="276" w:lineRule="auto"/>
              <w:contextualSpacing/>
              <w:rPr>
                <w:rFonts w:hint="eastAsia" w:ascii="宋体" w:hAnsi="宋体" w:cs="宋体"/>
                <w:color w:val="auto"/>
                <w:szCs w:val="21"/>
                <w:highlight w:val="none"/>
              </w:rPr>
            </w:pPr>
            <w:r>
              <w:rPr>
                <w:rFonts w:hint="eastAsia" w:ascii="宋体" w:hAnsi="宋体" w:cs="宋体"/>
                <w:color w:val="auto"/>
                <w:szCs w:val="21"/>
                <w:highlight w:val="none"/>
              </w:rPr>
              <w:t>租赁和商务服务业</w:t>
            </w:r>
          </w:p>
        </w:tc>
        <w:tc>
          <w:tcPr>
            <w:tcW w:w="809" w:type="pct"/>
            <w:shd w:val="clear" w:color="auto" w:fill="auto"/>
            <w:vAlign w:val="center"/>
          </w:tcPr>
          <w:p w14:paraId="4FA6F90B">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从业人员(X)</w:t>
            </w:r>
          </w:p>
        </w:tc>
        <w:tc>
          <w:tcPr>
            <w:tcW w:w="392" w:type="pct"/>
            <w:shd w:val="clear" w:color="auto" w:fill="auto"/>
            <w:vAlign w:val="center"/>
          </w:tcPr>
          <w:p w14:paraId="53ACF330">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623" w:type="pct"/>
            <w:shd w:val="clear" w:color="auto" w:fill="auto"/>
            <w:vAlign w:val="center"/>
          </w:tcPr>
          <w:p w14:paraId="2CFA4A43">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X≥300</w:t>
            </w:r>
          </w:p>
        </w:tc>
        <w:tc>
          <w:tcPr>
            <w:tcW w:w="941" w:type="pct"/>
            <w:shd w:val="clear" w:color="auto" w:fill="auto"/>
            <w:vAlign w:val="center"/>
          </w:tcPr>
          <w:p w14:paraId="18FFAD4E">
            <w:pPr>
              <w:spacing w:before="120" w:beforeLines="50" w:line="276" w:lineRule="auto"/>
              <w:ind w:left="-107" w:leftChars="-51"/>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100≤X＜300 </w:t>
            </w:r>
          </w:p>
        </w:tc>
        <w:tc>
          <w:tcPr>
            <w:tcW w:w="789" w:type="pct"/>
            <w:shd w:val="clear" w:color="auto" w:fill="auto"/>
            <w:vAlign w:val="center"/>
          </w:tcPr>
          <w:p w14:paraId="23A84F52">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10≤X＜100</w:t>
            </w:r>
          </w:p>
        </w:tc>
        <w:tc>
          <w:tcPr>
            <w:tcW w:w="549" w:type="pct"/>
            <w:shd w:val="clear" w:color="auto" w:fill="auto"/>
            <w:vAlign w:val="center"/>
          </w:tcPr>
          <w:p w14:paraId="0AF7C94B">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X＜10</w:t>
            </w:r>
          </w:p>
        </w:tc>
      </w:tr>
      <w:tr w14:paraId="3AAE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897" w:type="pct"/>
            <w:vMerge w:val="continue"/>
            <w:vAlign w:val="center"/>
          </w:tcPr>
          <w:p w14:paraId="060A4DC0">
            <w:pPr>
              <w:spacing w:before="120" w:beforeLines="50" w:line="276" w:lineRule="auto"/>
              <w:contextualSpacing/>
              <w:rPr>
                <w:rFonts w:hint="eastAsia" w:ascii="宋体" w:hAnsi="宋体" w:cs="宋体"/>
                <w:color w:val="auto"/>
                <w:szCs w:val="21"/>
                <w:highlight w:val="none"/>
              </w:rPr>
            </w:pPr>
          </w:p>
        </w:tc>
        <w:tc>
          <w:tcPr>
            <w:tcW w:w="809" w:type="pct"/>
            <w:shd w:val="clear" w:color="auto" w:fill="auto"/>
            <w:vAlign w:val="center"/>
          </w:tcPr>
          <w:p w14:paraId="545570A7">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资产总额(Z)</w:t>
            </w:r>
          </w:p>
        </w:tc>
        <w:tc>
          <w:tcPr>
            <w:tcW w:w="392" w:type="pct"/>
            <w:shd w:val="clear" w:color="auto" w:fill="auto"/>
            <w:vAlign w:val="center"/>
          </w:tcPr>
          <w:p w14:paraId="6CCF8F75">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万元</w:t>
            </w:r>
          </w:p>
        </w:tc>
        <w:tc>
          <w:tcPr>
            <w:tcW w:w="623" w:type="pct"/>
            <w:shd w:val="clear" w:color="auto" w:fill="auto"/>
            <w:vAlign w:val="center"/>
          </w:tcPr>
          <w:p w14:paraId="71BF5EB5">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Z≥120000</w:t>
            </w:r>
          </w:p>
        </w:tc>
        <w:tc>
          <w:tcPr>
            <w:tcW w:w="941" w:type="pct"/>
            <w:shd w:val="clear" w:color="auto" w:fill="auto"/>
            <w:vAlign w:val="center"/>
          </w:tcPr>
          <w:p w14:paraId="55A13279">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8000≤Z＜120000</w:t>
            </w:r>
          </w:p>
        </w:tc>
        <w:tc>
          <w:tcPr>
            <w:tcW w:w="789" w:type="pct"/>
            <w:shd w:val="clear" w:color="auto" w:fill="auto"/>
            <w:vAlign w:val="center"/>
          </w:tcPr>
          <w:p w14:paraId="241A3B61">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100≤Z＜8000</w:t>
            </w:r>
          </w:p>
        </w:tc>
        <w:tc>
          <w:tcPr>
            <w:tcW w:w="549" w:type="pct"/>
            <w:shd w:val="clear" w:color="auto" w:fill="auto"/>
            <w:vAlign w:val="center"/>
          </w:tcPr>
          <w:p w14:paraId="1D64AF8A">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Z＜100</w:t>
            </w:r>
          </w:p>
        </w:tc>
      </w:tr>
      <w:tr w14:paraId="5F6D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897" w:type="pct"/>
            <w:shd w:val="clear" w:color="auto" w:fill="auto"/>
            <w:vAlign w:val="center"/>
          </w:tcPr>
          <w:p w14:paraId="653592FB">
            <w:pPr>
              <w:spacing w:before="120" w:beforeLines="50" w:line="276" w:lineRule="auto"/>
              <w:contextualSpacing/>
              <w:rPr>
                <w:rFonts w:hint="eastAsia" w:ascii="宋体" w:hAnsi="宋体" w:cs="宋体"/>
                <w:color w:val="auto"/>
                <w:szCs w:val="21"/>
                <w:highlight w:val="none"/>
              </w:rPr>
            </w:pPr>
            <w:r>
              <w:rPr>
                <w:rFonts w:hint="eastAsia" w:ascii="宋体" w:hAnsi="宋体" w:cs="宋体"/>
                <w:color w:val="auto"/>
                <w:szCs w:val="21"/>
                <w:highlight w:val="none"/>
              </w:rPr>
              <w:t>其他未列明行业 *</w:t>
            </w:r>
          </w:p>
        </w:tc>
        <w:tc>
          <w:tcPr>
            <w:tcW w:w="809" w:type="pct"/>
            <w:shd w:val="clear" w:color="auto" w:fill="auto"/>
            <w:vAlign w:val="center"/>
          </w:tcPr>
          <w:p w14:paraId="53548884">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从业人员(X)</w:t>
            </w:r>
          </w:p>
        </w:tc>
        <w:tc>
          <w:tcPr>
            <w:tcW w:w="392" w:type="pct"/>
            <w:shd w:val="clear" w:color="auto" w:fill="auto"/>
            <w:vAlign w:val="center"/>
          </w:tcPr>
          <w:p w14:paraId="6D0607EB">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人</w:t>
            </w:r>
          </w:p>
        </w:tc>
        <w:tc>
          <w:tcPr>
            <w:tcW w:w="623" w:type="pct"/>
            <w:shd w:val="clear" w:color="auto" w:fill="auto"/>
            <w:vAlign w:val="center"/>
          </w:tcPr>
          <w:p w14:paraId="1B6AA5A7">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X≥300</w:t>
            </w:r>
          </w:p>
        </w:tc>
        <w:tc>
          <w:tcPr>
            <w:tcW w:w="941" w:type="pct"/>
            <w:shd w:val="clear" w:color="auto" w:fill="auto"/>
            <w:vAlign w:val="center"/>
          </w:tcPr>
          <w:p w14:paraId="6561C511">
            <w:pPr>
              <w:spacing w:before="120" w:beforeLines="50" w:line="276" w:lineRule="auto"/>
              <w:ind w:left="-107" w:leftChars="-51"/>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100≤X＜300 </w:t>
            </w:r>
          </w:p>
        </w:tc>
        <w:tc>
          <w:tcPr>
            <w:tcW w:w="789" w:type="pct"/>
            <w:shd w:val="clear" w:color="auto" w:fill="auto"/>
            <w:vAlign w:val="center"/>
          </w:tcPr>
          <w:p w14:paraId="72D20F5D">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 xml:space="preserve"> 10≤X＜100</w:t>
            </w:r>
          </w:p>
        </w:tc>
        <w:tc>
          <w:tcPr>
            <w:tcW w:w="549" w:type="pct"/>
            <w:shd w:val="clear" w:color="auto" w:fill="auto"/>
            <w:vAlign w:val="center"/>
          </w:tcPr>
          <w:p w14:paraId="7FA45C17">
            <w:pPr>
              <w:spacing w:before="120" w:beforeLines="50" w:line="276" w:lineRule="auto"/>
              <w:contextualSpacing/>
              <w:jc w:val="center"/>
              <w:rPr>
                <w:rFonts w:hint="eastAsia" w:ascii="宋体" w:hAnsi="宋体" w:cs="宋体"/>
                <w:color w:val="auto"/>
                <w:szCs w:val="21"/>
                <w:highlight w:val="none"/>
              </w:rPr>
            </w:pPr>
            <w:r>
              <w:rPr>
                <w:rFonts w:hint="eastAsia" w:ascii="宋体" w:hAnsi="宋体" w:cs="宋体"/>
                <w:color w:val="auto"/>
                <w:szCs w:val="21"/>
                <w:highlight w:val="none"/>
              </w:rPr>
              <w:t>X＜10</w:t>
            </w:r>
          </w:p>
        </w:tc>
      </w:tr>
    </w:tbl>
    <w:p w14:paraId="1572E087">
      <w:pPr>
        <w:spacing w:before="120" w:beforeLines="50"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说明：</w:t>
      </w:r>
    </w:p>
    <w:p w14:paraId="731C49A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1.大型、中型和小型企业须同时满足所列指标的下限，否则下划一档；微型企业只须满足所列指标中的一项即可。</w:t>
      </w:r>
    </w:p>
    <w:p w14:paraId="1F423E6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B60817B">
      <w:pPr>
        <w:spacing w:line="360" w:lineRule="auto"/>
        <w:ind w:firstLine="420"/>
        <w:rPr>
          <w:rFonts w:hint="eastAsia" w:ascii="宋体" w:hAnsi="宋体"/>
          <w:b/>
          <w:color w:val="auto"/>
          <w:szCs w:val="21"/>
          <w:highlight w:val="none"/>
        </w:rPr>
      </w:pPr>
      <w:r>
        <w:rPr>
          <w:rFonts w:hint="eastAsia" w:ascii="宋体" w:hAnsi="宋体"/>
          <w:color w:val="auto"/>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0542EE3">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（2）监狱企业</w:t>
      </w:r>
    </w:p>
    <w:p w14:paraId="4897A73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根据《财政部司法部关于政府采购支持监狱企业发展有关问题的通知》（财库〔2014〕68号）文的规定，在政府采购活动中，监狱企业视同小型、微型企业，评审时报价同小型、微型企业的报价扣除方式进行扣除，用扣除后的报价参与评审。监狱企业是指由司法部认定的为罪犯、戒毒人员提供生产项目和劳动对象，且全部产权属于司法部监狱管理局、戒毒管理局、直属煤矿管理局，各省、自治区、直辖市监狱管理局、戒毒管理局，各地(设区的 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CF5A56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未提交监狱企业的证明文件的在价格评审时不对价格进行扣除。（注：提供相关证明文件的复印件。）</w:t>
      </w:r>
    </w:p>
    <w:p w14:paraId="76D7D08F">
      <w:pPr>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注：监狱企业、残疾人福利性单位属于小型、微型企业的，不重复享受政策。</w:t>
      </w:r>
    </w:p>
    <w:p w14:paraId="5069044C">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（3）残疾人福利性单位</w:t>
      </w:r>
    </w:p>
    <w:p w14:paraId="67D6A54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根据《财政部 民政部 中国残疾人联合会关于促进残疾人就业政府采购政策的通知》（财库〔2017〕141号）文的规定，在政府采购活动中，残疾人福利性单位视同小型、微型企业，评审时报价同小型、微型企业的报价扣除方式进行扣除，用扣除后的报价参与评审。享受政府采购支持政策的残疾人福利性单位应当同时满足以下条件： </w:t>
      </w:r>
    </w:p>
    <w:p w14:paraId="3090AF6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①安置的残疾人占本单位在职职工人数的比例不低于25%（含25%），并且安置的残疾人人数不少于10 人（含10人）； </w:t>
      </w:r>
    </w:p>
    <w:p w14:paraId="39A5C4E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②依法与安置的每位残疾人签订了一年以上（含一年）的劳动合同或服务协议； </w:t>
      </w:r>
    </w:p>
    <w:p w14:paraId="277ECA0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③为安置的每位残疾人按月足额缴纳了基本养老保险、基本医疗保险、失业保险、工伤保险和生育保 险等社会保险费； </w:t>
      </w:r>
    </w:p>
    <w:p w14:paraId="461828C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④通过银行等金融机构向安置的每位残疾人，按月支付了不低于单位所在区县适用的经省级人民政府 批准的月最低工资标准的工资； </w:t>
      </w:r>
    </w:p>
    <w:p w14:paraId="27E259A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⑤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195337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符合条件的残疾人福利性单位在参加政府采购活动时，应当提供《残疾人福利性单位声明函》（声明函格式见第四章“投标文件格式”），未提交声明函的在价格评审时不对价格进行扣除。</w:t>
      </w:r>
    </w:p>
    <w:p w14:paraId="43E3CB4C">
      <w:pPr>
        <w:pStyle w:val="28"/>
        <w:tabs>
          <w:tab w:val="left" w:pos="2472"/>
        </w:tabs>
        <w:spacing w:line="360" w:lineRule="auto"/>
        <w:rPr>
          <w:rFonts w:hint="eastAsia" w:hAnsi="宋体"/>
          <w:b/>
          <w:color w:val="auto"/>
          <w:highlight w:val="none"/>
        </w:rPr>
      </w:pPr>
      <w:r>
        <w:rPr>
          <w:rFonts w:hint="eastAsia" w:hAnsi="宋体"/>
          <w:b/>
          <w:color w:val="auto"/>
          <w:highlight w:val="none"/>
        </w:rPr>
        <w:t>注：监狱企业、残疾人福利性单位属于小型、微型企业的，不重复享受政策。</w:t>
      </w:r>
    </w:p>
    <w:p w14:paraId="14FAFA81">
      <w:pPr>
        <w:pStyle w:val="21"/>
        <w:rPr>
          <w:rFonts w:hint="eastAsia"/>
          <w:color w:val="auto"/>
          <w:highlight w:val="none"/>
        </w:rPr>
      </w:pPr>
      <w:r>
        <w:rPr>
          <w:rFonts w:hint="eastAsia"/>
          <w:color w:val="auto"/>
          <w:highlight w:val="none"/>
        </w:rPr>
        <w:t>（4）节能产品和环境标志产品</w:t>
      </w:r>
    </w:p>
    <w:p w14:paraId="7B68DCCF">
      <w:pPr>
        <w:pStyle w:val="21"/>
        <w:rPr>
          <w:rFonts w:hint="eastAsia"/>
          <w:color w:val="auto"/>
          <w:highlight w:val="none"/>
        </w:rPr>
      </w:pPr>
      <w:r>
        <w:rPr>
          <w:rFonts w:hint="eastAsia"/>
          <w:color w:val="auto"/>
          <w:highlight w:val="none"/>
        </w:rPr>
        <w:t>根据《财政部 发展改革委 生态环境部 市场监管总局关于调整优化节能产品、环境标志产品政府采购执行机制的通知》（财库〔2019〕9号）文的规定，若供应商拟提供的产品属于品目清单范围内的，采购人将依据国家确定的认证机构出具，且处于有效期之内的《中国节能产品认证证书》、《中国环境标志产品认证证书》，对获得证书的产品实施优先采购。</w:t>
      </w:r>
    </w:p>
    <w:p w14:paraId="00EBE904">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A4.</w:t>
      </w:r>
      <w:r>
        <w:rPr>
          <w:rFonts w:ascii="宋体" w:hAnsi="宋体"/>
          <w:b/>
          <w:color w:val="auto"/>
          <w:szCs w:val="21"/>
          <w:highlight w:val="none"/>
        </w:rPr>
        <w:t>3</w:t>
      </w:r>
      <w:r>
        <w:rPr>
          <w:rFonts w:hint="eastAsia" w:ascii="宋体" w:hAnsi="宋体"/>
          <w:b/>
          <w:color w:val="auto"/>
          <w:szCs w:val="21"/>
          <w:highlight w:val="none"/>
        </w:rPr>
        <w:t>.2商务部分评审评分</w:t>
      </w:r>
    </w:p>
    <w:p w14:paraId="7556DCA5">
      <w:pPr>
        <w:spacing w:line="360" w:lineRule="auto"/>
        <w:ind w:firstLine="420" w:firstLineChars="200"/>
        <w:rPr>
          <w:rFonts w:hint="eastAsia" w:ascii="宋体" w:hAnsi="宋体" w:cs="仿宋"/>
          <w:color w:val="auto"/>
          <w:szCs w:val="21"/>
          <w:highlight w:val="none"/>
        </w:rPr>
      </w:pPr>
      <w:r>
        <w:rPr>
          <w:rFonts w:hint="eastAsia" w:ascii="宋体" w:hAnsi="宋体" w:cs="仿宋"/>
          <w:color w:val="auto"/>
          <w:szCs w:val="21"/>
          <w:highlight w:val="none"/>
        </w:rPr>
        <w:t>商务部分评分标准：详见评标办法前附表。</w:t>
      </w:r>
    </w:p>
    <w:p w14:paraId="205BADDD">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A4.</w:t>
      </w:r>
      <w:r>
        <w:rPr>
          <w:rFonts w:ascii="宋体" w:hAnsi="宋体"/>
          <w:b/>
          <w:color w:val="auto"/>
          <w:szCs w:val="21"/>
          <w:highlight w:val="none"/>
        </w:rPr>
        <w:t>4</w:t>
      </w:r>
      <w:r>
        <w:rPr>
          <w:rFonts w:hint="eastAsia" w:ascii="宋体" w:hAnsi="宋体"/>
          <w:b/>
          <w:color w:val="auto"/>
          <w:szCs w:val="21"/>
          <w:highlight w:val="none"/>
        </w:rPr>
        <w:t>评分要求和统计分数原则</w:t>
      </w:r>
    </w:p>
    <w:p w14:paraId="7829C95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（1）评标委员会评委应首先对各供应商投标文件进行评审，并按</w:t>
      </w:r>
      <w:r>
        <w:rPr>
          <w:rFonts w:hint="eastAsia" w:ascii="宋体" w:hAnsi="宋体"/>
          <w:snapToGrid w:val="0"/>
          <w:color w:val="auto"/>
          <w:szCs w:val="21"/>
          <w:highlight w:val="none"/>
        </w:rPr>
        <w:t>采购文件</w:t>
      </w:r>
      <w:r>
        <w:rPr>
          <w:rFonts w:hint="eastAsia" w:ascii="宋体" w:hAnsi="宋体"/>
          <w:color w:val="auto"/>
          <w:szCs w:val="21"/>
          <w:highlight w:val="none"/>
        </w:rPr>
        <w:t>规定分值评分，采用插入法评分。</w:t>
      </w:r>
    </w:p>
    <w:p w14:paraId="761D97B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技术部分评审中，各评委应自主评分并签章确认。各评委的评分应在评标委员会内进行公示，某个评委分值汇总计算错误的、分项评分超出评分标准范围的、对客观评审因素评分与所有评委不一致的、经评标委员会认定评分畸高或畸低的，应及时制止和纠正。若拒不修正的，上报财政监管部门处理。</w:t>
      </w:r>
    </w:p>
    <w:p w14:paraId="68535A8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（3）统计分数原则：所有评委的打分通过计算平均分值为供应商的技术部分得分（保留小数点后两位），商务部分得分由各供应商的评标价计算后得出。</w:t>
      </w:r>
    </w:p>
    <w:p w14:paraId="60C47BF4">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A4.</w:t>
      </w:r>
      <w:r>
        <w:rPr>
          <w:rFonts w:ascii="宋体" w:hAnsi="宋体"/>
          <w:b/>
          <w:color w:val="auto"/>
          <w:szCs w:val="21"/>
          <w:highlight w:val="none"/>
        </w:rPr>
        <w:t>5</w:t>
      </w:r>
      <w:r>
        <w:rPr>
          <w:rFonts w:hint="eastAsia" w:ascii="宋体" w:hAnsi="宋体"/>
          <w:b/>
          <w:color w:val="auto"/>
          <w:szCs w:val="21"/>
          <w:highlight w:val="none"/>
        </w:rPr>
        <w:t>汇总评分结果</w:t>
      </w:r>
    </w:p>
    <w:p w14:paraId="6CD41F19">
      <w:pPr>
        <w:spacing w:line="360" w:lineRule="auto"/>
        <w:ind w:firstLine="422" w:firstLineChars="200"/>
        <w:textAlignment w:val="baseline"/>
        <w:rPr>
          <w:rFonts w:hint="eastAsia" w:ascii="宋体" w:hAnsi="宋体"/>
          <w:b/>
          <w:color w:val="auto"/>
          <w:szCs w:val="21"/>
          <w:highlight w:val="none"/>
        </w:rPr>
      </w:pPr>
      <w:r>
        <w:rPr>
          <w:rFonts w:hint="eastAsia" w:ascii="宋体" w:hAnsi="宋体"/>
          <w:b/>
          <w:color w:val="auto"/>
          <w:szCs w:val="21"/>
          <w:highlight w:val="none"/>
        </w:rPr>
        <w:t>汇总评分结果公式：Z=S+J，式中：Z为供应商的最终得分；S为供应商的商务部分得分；J为供应商的技术部分得分。</w:t>
      </w:r>
    </w:p>
    <w:p w14:paraId="20B9EBA9">
      <w:pPr>
        <w:spacing w:line="360" w:lineRule="auto"/>
        <w:ind w:firstLine="422" w:firstLineChars="200"/>
        <w:rPr>
          <w:rFonts w:hint="eastAsia" w:ascii="宋体" w:hAnsi="宋体"/>
          <w:b/>
          <w:color w:val="auto"/>
          <w:szCs w:val="21"/>
          <w:highlight w:val="none"/>
        </w:rPr>
      </w:pPr>
      <w:bookmarkStart w:id="1440" w:name="_Toc491089876"/>
      <w:bookmarkStart w:id="1441" w:name="_Toc103722697"/>
      <w:bookmarkStart w:id="1442" w:name="_Toc101731146"/>
      <w:bookmarkStart w:id="1443" w:name="_Toc90997784"/>
      <w:bookmarkStart w:id="1444" w:name="_Toc516674709"/>
      <w:bookmarkStart w:id="1445" w:name="_Toc78372784"/>
      <w:bookmarkStart w:id="1446" w:name="_Toc518130791"/>
      <w:bookmarkStart w:id="1447" w:name="_Toc517710826"/>
      <w:bookmarkStart w:id="1448" w:name="_Toc517891549"/>
      <w:bookmarkStart w:id="1449" w:name="_Toc516389826"/>
      <w:bookmarkStart w:id="1450" w:name="_Toc495488566"/>
      <w:bookmarkStart w:id="1451" w:name="_Toc54871527"/>
      <w:bookmarkStart w:id="1452" w:name="_Toc53845206"/>
      <w:bookmarkStart w:id="1453" w:name="_Toc517962061"/>
      <w:bookmarkStart w:id="1454" w:name="_Toc517710044"/>
      <w:bookmarkStart w:id="1455" w:name="_Toc516389717"/>
      <w:bookmarkStart w:id="1456" w:name="_Toc55384617"/>
      <w:bookmarkStart w:id="1457" w:name="_Toc517978874"/>
      <w:bookmarkStart w:id="1458" w:name="_Toc518130856"/>
      <w:bookmarkStart w:id="1459" w:name="_Toc491097879"/>
      <w:bookmarkStart w:id="1460" w:name="_Toc518140134"/>
      <w:bookmarkStart w:id="1461" w:name="_Toc491159095"/>
      <w:bookmarkStart w:id="1462" w:name="_Toc517710381"/>
      <w:bookmarkStart w:id="1463" w:name="_Toc518141773"/>
      <w:bookmarkStart w:id="1464" w:name="_Toc75476317"/>
      <w:bookmarkStart w:id="1465" w:name="_Toc516654864"/>
      <w:bookmarkStart w:id="1466" w:name="_Toc516331241"/>
      <w:bookmarkStart w:id="1467" w:name="_Toc53941948"/>
      <w:bookmarkStart w:id="1468" w:name="_Toc518141905"/>
      <w:bookmarkStart w:id="1469" w:name="_Toc516762838"/>
      <w:bookmarkStart w:id="1470" w:name="_Toc491089877"/>
      <w:bookmarkStart w:id="1471" w:name="_Toc491159096"/>
      <w:bookmarkStart w:id="1472" w:name="_Toc491097880"/>
      <w:r>
        <w:rPr>
          <w:rFonts w:ascii="宋体" w:hAnsi="宋体"/>
          <w:b/>
          <w:color w:val="auto"/>
          <w:szCs w:val="21"/>
          <w:highlight w:val="none"/>
        </w:rPr>
        <w:t>A5.推荐</w:t>
      </w:r>
      <w:r>
        <w:rPr>
          <w:rFonts w:hint="eastAsia" w:ascii="宋体" w:hAnsi="宋体"/>
          <w:b/>
          <w:color w:val="auto"/>
          <w:szCs w:val="21"/>
          <w:highlight w:val="none"/>
        </w:rPr>
        <w:t>中标</w:t>
      </w:r>
      <w:r>
        <w:rPr>
          <w:rFonts w:ascii="宋体" w:hAnsi="宋体"/>
          <w:b/>
          <w:color w:val="auto"/>
          <w:szCs w:val="21"/>
          <w:highlight w:val="none"/>
        </w:rPr>
        <w:t>候选人</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p>
    <w:p w14:paraId="17926353">
      <w:pPr>
        <w:spacing w:line="360" w:lineRule="auto"/>
        <w:ind w:firstLine="422" w:firstLineChars="200"/>
        <w:rPr>
          <w:rFonts w:hint="eastAsia" w:ascii="宋体" w:hAnsi="宋体"/>
          <w:b/>
          <w:color w:val="auto"/>
          <w:szCs w:val="21"/>
          <w:highlight w:val="none"/>
        </w:rPr>
      </w:pPr>
      <w:r>
        <w:rPr>
          <w:rFonts w:ascii="宋体" w:hAnsi="宋体"/>
          <w:b/>
          <w:color w:val="auto"/>
          <w:szCs w:val="21"/>
          <w:highlight w:val="none"/>
        </w:rPr>
        <w:t>A5.</w:t>
      </w:r>
      <w:r>
        <w:rPr>
          <w:rFonts w:hint="eastAsia" w:ascii="宋体" w:hAnsi="宋体"/>
          <w:b/>
          <w:color w:val="auto"/>
          <w:szCs w:val="21"/>
          <w:highlight w:val="none"/>
        </w:rPr>
        <w:t>1</w:t>
      </w:r>
      <w:r>
        <w:rPr>
          <w:rFonts w:ascii="宋体" w:hAnsi="宋体"/>
          <w:b/>
          <w:color w:val="auto"/>
          <w:szCs w:val="21"/>
          <w:highlight w:val="none"/>
        </w:rPr>
        <w:t>推荐</w:t>
      </w:r>
      <w:r>
        <w:rPr>
          <w:rFonts w:hint="eastAsia" w:ascii="宋体" w:hAnsi="宋体"/>
          <w:b/>
          <w:color w:val="auto"/>
          <w:szCs w:val="21"/>
          <w:highlight w:val="none"/>
        </w:rPr>
        <w:t>中标</w:t>
      </w:r>
      <w:r>
        <w:rPr>
          <w:rFonts w:ascii="宋体" w:hAnsi="宋体"/>
          <w:b/>
          <w:color w:val="auto"/>
          <w:szCs w:val="21"/>
          <w:highlight w:val="none"/>
        </w:rPr>
        <w:t>候选人</w:t>
      </w:r>
    </w:p>
    <w:p w14:paraId="65F9321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评标委员会在推荐中标候选人时，应遵照以下原则：</w:t>
      </w:r>
    </w:p>
    <w:p w14:paraId="24031BA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（1）评标委员会按照最终得分由高到低的次序排列，并根据第二章“供应商须知前附表”第7.1款规定的中标候选人数量，将排序在前的供应商推荐为中标候选人；</w:t>
      </w:r>
    </w:p>
    <w:p w14:paraId="2649CA1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（2）如果评标委员会根据本章否决投标条件的规定作否决投标处理后，根据政府采购法实施条例：有效供应商数不足三家时，采购人需重新组织招标。</w:t>
      </w:r>
    </w:p>
    <w:p w14:paraId="77D99835">
      <w:pPr>
        <w:spacing w:line="360" w:lineRule="auto"/>
        <w:ind w:firstLine="422" w:firstLineChars="200"/>
        <w:rPr>
          <w:rFonts w:hint="eastAsia" w:ascii="宋体" w:hAnsi="宋体"/>
          <w:b/>
          <w:color w:val="auto"/>
          <w:szCs w:val="21"/>
          <w:highlight w:val="none"/>
        </w:rPr>
      </w:pPr>
      <w:r>
        <w:rPr>
          <w:rFonts w:ascii="宋体" w:hAnsi="宋体"/>
          <w:b/>
          <w:color w:val="auto"/>
          <w:szCs w:val="21"/>
          <w:highlight w:val="none"/>
        </w:rPr>
        <w:t>A5.</w:t>
      </w:r>
      <w:r>
        <w:rPr>
          <w:rFonts w:hint="eastAsia" w:ascii="宋体" w:hAnsi="宋体"/>
          <w:b/>
          <w:color w:val="auto"/>
          <w:szCs w:val="21"/>
          <w:highlight w:val="none"/>
        </w:rPr>
        <w:t>2</w:t>
      </w:r>
      <w:r>
        <w:rPr>
          <w:rFonts w:ascii="宋体" w:hAnsi="宋体"/>
          <w:b/>
          <w:color w:val="auto"/>
          <w:szCs w:val="21"/>
          <w:highlight w:val="none"/>
        </w:rPr>
        <w:t>编制及提交评标报告</w:t>
      </w:r>
    </w:p>
    <w:p w14:paraId="71B125A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评标委员会根据本章第3.</w:t>
      </w:r>
      <w:r>
        <w:rPr>
          <w:rFonts w:ascii="宋体" w:hAnsi="宋体"/>
          <w:color w:val="auto"/>
          <w:szCs w:val="21"/>
          <w:highlight w:val="none"/>
        </w:rPr>
        <w:t>5</w:t>
      </w:r>
      <w:r>
        <w:rPr>
          <w:rFonts w:hint="eastAsia" w:ascii="宋体" w:hAnsi="宋体"/>
          <w:color w:val="auto"/>
          <w:szCs w:val="21"/>
          <w:highlight w:val="none"/>
        </w:rPr>
        <w:t>.2项规定向采购人提交评标报告。评标报告应当由全体评标委员会成员签章，并于评标结束时抄送有关行政监督部门。</w:t>
      </w:r>
    </w:p>
    <w:p w14:paraId="33FDA5C6">
      <w:pPr>
        <w:spacing w:line="360" w:lineRule="auto"/>
        <w:ind w:firstLine="422" w:firstLineChars="200"/>
        <w:rPr>
          <w:rFonts w:hint="eastAsia" w:ascii="宋体" w:hAnsi="宋体"/>
          <w:b/>
          <w:color w:val="auto"/>
          <w:szCs w:val="21"/>
          <w:highlight w:val="none"/>
        </w:rPr>
      </w:pPr>
      <w:bookmarkStart w:id="1473" w:name="_Toc518130792"/>
      <w:bookmarkStart w:id="1474" w:name="_Toc517710045"/>
      <w:bookmarkStart w:id="1475" w:name="_Toc517962062"/>
      <w:bookmarkStart w:id="1476" w:name="_Toc516762839"/>
      <w:bookmarkStart w:id="1477" w:name="_Toc101731147"/>
      <w:bookmarkStart w:id="1478" w:name="_Toc90997785"/>
      <w:bookmarkStart w:id="1479" w:name="_Toc54871528"/>
      <w:bookmarkStart w:id="1480" w:name="_Toc516389718"/>
      <w:bookmarkStart w:id="1481" w:name="_Toc518130857"/>
      <w:bookmarkStart w:id="1482" w:name="_Toc517710827"/>
      <w:bookmarkStart w:id="1483" w:name="_Toc516674710"/>
      <w:bookmarkStart w:id="1484" w:name="_Toc55384618"/>
      <w:bookmarkStart w:id="1485" w:name="_Toc518141774"/>
      <w:bookmarkStart w:id="1486" w:name="_Toc518140135"/>
      <w:bookmarkStart w:id="1487" w:name="_Toc516331242"/>
      <w:bookmarkStart w:id="1488" w:name="_Toc517978875"/>
      <w:bookmarkStart w:id="1489" w:name="_Toc53845207"/>
      <w:bookmarkStart w:id="1490" w:name="_Toc517891550"/>
      <w:bookmarkStart w:id="1491" w:name="_Toc518141906"/>
      <w:bookmarkStart w:id="1492" w:name="_Toc516654865"/>
      <w:bookmarkStart w:id="1493" w:name="_Toc78372785"/>
      <w:bookmarkStart w:id="1494" w:name="_Toc75476318"/>
      <w:bookmarkStart w:id="1495" w:name="_Toc517710382"/>
      <w:bookmarkStart w:id="1496" w:name="_Toc516389827"/>
      <w:bookmarkStart w:id="1497" w:name="_Toc495488567"/>
      <w:bookmarkStart w:id="1498" w:name="_Toc53941949"/>
      <w:bookmarkStart w:id="1499" w:name="_Toc103722698"/>
      <w:r>
        <w:rPr>
          <w:rFonts w:ascii="宋体" w:hAnsi="宋体"/>
          <w:b/>
          <w:color w:val="auto"/>
          <w:szCs w:val="21"/>
          <w:highlight w:val="none"/>
        </w:rPr>
        <w:t>A6</w:t>
      </w:r>
      <w:r>
        <w:rPr>
          <w:rFonts w:hint="eastAsia" w:ascii="宋体" w:hAnsi="宋体"/>
          <w:b/>
          <w:color w:val="auto"/>
          <w:szCs w:val="21"/>
          <w:highlight w:val="none"/>
        </w:rPr>
        <w:t>.</w:t>
      </w:r>
      <w:r>
        <w:rPr>
          <w:rFonts w:ascii="宋体" w:hAnsi="宋体"/>
          <w:b/>
          <w:color w:val="auto"/>
          <w:szCs w:val="21"/>
          <w:highlight w:val="none"/>
        </w:rPr>
        <w:t>特殊情况的处置程序</w:t>
      </w:r>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p>
    <w:p w14:paraId="24CD6264">
      <w:pPr>
        <w:spacing w:line="360" w:lineRule="auto"/>
        <w:ind w:firstLine="422" w:firstLineChars="200"/>
        <w:rPr>
          <w:rFonts w:hint="eastAsia" w:ascii="宋体" w:hAnsi="宋体"/>
          <w:b/>
          <w:color w:val="auto"/>
          <w:szCs w:val="21"/>
          <w:highlight w:val="none"/>
        </w:rPr>
      </w:pPr>
      <w:r>
        <w:rPr>
          <w:rFonts w:ascii="宋体" w:hAnsi="宋体"/>
          <w:b/>
          <w:color w:val="auto"/>
          <w:szCs w:val="21"/>
          <w:highlight w:val="none"/>
        </w:rPr>
        <w:t>A6.1关于评标活动暂停</w:t>
      </w:r>
    </w:p>
    <w:p w14:paraId="7644586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（1）评标委员会应当执行连续评标的原则，按评标办法中规定的程序、内容、方法、标准完成全部评标工作。只有发生不可抗力导致评标工作无法继续时，评标活动方可暂停；</w:t>
      </w:r>
    </w:p>
    <w:p w14:paraId="3700BC4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（2）发生评标暂停情况时，评标委员会应当封存全部投标文件和评标记录，待不可抗力的影响结束且具备继续评标的条件时，由原评标委员会继续评标。</w:t>
      </w:r>
    </w:p>
    <w:p w14:paraId="32443E5F">
      <w:pPr>
        <w:spacing w:line="360" w:lineRule="auto"/>
        <w:ind w:firstLine="422" w:firstLineChars="200"/>
        <w:rPr>
          <w:rFonts w:hint="eastAsia" w:ascii="宋体" w:hAnsi="宋体"/>
          <w:b/>
          <w:color w:val="auto"/>
          <w:szCs w:val="21"/>
          <w:highlight w:val="none"/>
        </w:rPr>
      </w:pPr>
      <w:r>
        <w:rPr>
          <w:rFonts w:ascii="宋体" w:hAnsi="宋体"/>
          <w:b/>
          <w:color w:val="auto"/>
          <w:szCs w:val="21"/>
          <w:highlight w:val="none"/>
        </w:rPr>
        <w:t>A6.2关于评标中途更换评委</w:t>
      </w:r>
    </w:p>
    <w:p w14:paraId="7F19940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除非发生下列情况之一，评标委员会成员不得在评标中途更换：</w:t>
      </w:r>
    </w:p>
    <w:p w14:paraId="1350E8B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（1）因不可抗拒的客观原因，不能到场或需在评标中途退出评标活动；</w:t>
      </w:r>
    </w:p>
    <w:p w14:paraId="21FCD7C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（2）根据法律法规规定，某个或某几个评标委员会成员需要回避。</w:t>
      </w:r>
    </w:p>
    <w:p w14:paraId="7BEDB2B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注：退出评标的评标委员会成员，其已完成的评标行为无效。由采购人根据本</w:t>
      </w:r>
      <w:r>
        <w:rPr>
          <w:rFonts w:hint="eastAsia" w:ascii="宋体" w:hAnsi="宋体"/>
          <w:snapToGrid w:val="0"/>
          <w:color w:val="auto"/>
          <w:szCs w:val="21"/>
          <w:highlight w:val="none"/>
        </w:rPr>
        <w:t>采购文件</w:t>
      </w:r>
      <w:r>
        <w:rPr>
          <w:rFonts w:hint="eastAsia" w:ascii="宋体" w:hAnsi="宋体"/>
          <w:color w:val="auto"/>
          <w:szCs w:val="21"/>
          <w:highlight w:val="none"/>
        </w:rPr>
        <w:t>规定的评标委员会成员产生方式另行确定替代者进行评标。</w:t>
      </w:r>
    </w:p>
    <w:p w14:paraId="68EE321B">
      <w:pPr>
        <w:spacing w:line="360" w:lineRule="auto"/>
        <w:ind w:firstLine="422" w:firstLineChars="200"/>
        <w:rPr>
          <w:rFonts w:hint="eastAsia" w:ascii="宋体" w:hAnsi="宋体"/>
          <w:b/>
          <w:color w:val="auto"/>
          <w:szCs w:val="21"/>
          <w:highlight w:val="none"/>
        </w:rPr>
      </w:pPr>
      <w:r>
        <w:rPr>
          <w:rFonts w:ascii="宋体" w:hAnsi="宋体"/>
          <w:b/>
          <w:color w:val="auto"/>
          <w:szCs w:val="21"/>
          <w:highlight w:val="none"/>
        </w:rPr>
        <w:t>A6.3</w:t>
      </w:r>
      <w:r>
        <w:rPr>
          <w:rFonts w:hint="eastAsia" w:ascii="宋体" w:hAnsi="宋体"/>
          <w:b/>
          <w:color w:val="auto"/>
          <w:szCs w:val="21"/>
          <w:highlight w:val="none"/>
        </w:rPr>
        <w:t>不</w:t>
      </w:r>
      <w:r>
        <w:rPr>
          <w:rFonts w:ascii="宋体" w:hAnsi="宋体"/>
          <w:b/>
          <w:color w:val="auto"/>
          <w:szCs w:val="21"/>
          <w:highlight w:val="none"/>
        </w:rPr>
        <w:t>记名投票</w:t>
      </w:r>
    </w:p>
    <w:p w14:paraId="150519F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在任何评标环节中，需评标委员会就某项定性的评审结论做出表决的，由评标委员会全体成员按照少数服从多数的原则，以不记名投票方式表决。</w:t>
      </w:r>
    </w:p>
    <w:p w14:paraId="7FC2D320">
      <w:pPr>
        <w:spacing w:line="360" w:lineRule="auto"/>
        <w:rPr>
          <w:rFonts w:hint="eastAsia" w:ascii="宋体" w:hAnsi="宋体"/>
          <w:b/>
          <w:color w:val="auto"/>
          <w:szCs w:val="21"/>
          <w:highlight w:val="none"/>
        </w:rPr>
      </w:pPr>
      <w:bookmarkStart w:id="1500" w:name="_Toc517962063"/>
      <w:bookmarkStart w:id="1501" w:name="_Toc516389719"/>
      <w:bookmarkStart w:id="1502" w:name="_Toc516674711"/>
      <w:bookmarkStart w:id="1503" w:name="_Toc517710828"/>
      <w:bookmarkStart w:id="1504" w:name="_Toc53941950"/>
      <w:bookmarkStart w:id="1505" w:name="_Toc517710383"/>
      <w:bookmarkStart w:id="1506" w:name="_Toc518130793"/>
      <w:bookmarkStart w:id="1507" w:name="_Toc517978876"/>
      <w:bookmarkStart w:id="1508" w:name="_Toc75476319"/>
      <w:bookmarkStart w:id="1509" w:name="_Toc518141907"/>
      <w:bookmarkStart w:id="1510" w:name="_Toc101731148"/>
      <w:bookmarkStart w:id="1511" w:name="_Toc495488568"/>
      <w:bookmarkStart w:id="1512" w:name="_Toc518130858"/>
      <w:bookmarkStart w:id="1513" w:name="_Toc516762840"/>
      <w:bookmarkStart w:id="1514" w:name="_Toc103722699"/>
      <w:bookmarkStart w:id="1515" w:name="_Toc90997786"/>
      <w:bookmarkStart w:id="1516" w:name="_Toc491097881"/>
      <w:bookmarkStart w:id="1517" w:name="_Toc516331243"/>
      <w:bookmarkStart w:id="1518" w:name="_Toc518140136"/>
      <w:bookmarkStart w:id="1519" w:name="_Toc516654866"/>
      <w:bookmarkStart w:id="1520" w:name="_Toc491159097"/>
      <w:bookmarkStart w:id="1521" w:name="_Toc53845208"/>
      <w:bookmarkStart w:id="1522" w:name="_Toc518141775"/>
      <w:bookmarkStart w:id="1523" w:name="_Toc491089878"/>
      <w:bookmarkStart w:id="1524" w:name="_Toc517891551"/>
      <w:bookmarkStart w:id="1525" w:name="_Toc516389828"/>
      <w:bookmarkStart w:id="1526" w:name="_Toc55384619"/>
      <w:bookmarkStart w:id="1527" w:name="_Toc54871529"/>
      <w:bookmarkStart w:id="1528" w:name="_Toc78372786"/>
      <w:bookmarkStart w:id="1529" w:name="_Toc517710046"/>
      <w:r>
        <w:rPr>
          <w:rFonts w:ascii="宋体" w:hAnsi="宋体"/>
          <w:b/>
          <w:color w:val="auto"/>
          <w:szCs w:val="21"/>
          <w:highlight w:val="none"/>
        </w:rPr>
        <w:t>A7.补充条款</w:t>
      </w:r>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p>
    <w:p w14:paraId="702A791E">
      <w:pPr>
        <w:spacing w:line="360" w:lineRule="auto"/>
        <w:ind w:firstLine="420"/>
        <w:rPr>
          <w:rFonts w:hint="eastAsia" w:ascii="宋体" w:hAnsi="宋体"/>
          <w:color w:val="auto"/>
          <w:szCs w:val="21"/>
          <w:highlight w:val="none"/>
        </w:rPr>
      </w:pPr>
      <w:r>
        <w:rPr>
          <w:rFonts w:hint="eastAsia" w:ascii="宋体" w:hAnsi="宋体"/>
          <w:color w:val="auto"/>
          <w:szCs w:val="21"/>
          <w:highlight w:val="none"/>
        </w:rPr>
        <w:t>评标中若遇特殊问题，由评标委员会根据有关法律、法规、规定研究决定。</w:t>
      </w:r>
    </w:p>
    <w:p w14:paraId="287575E7">
      <w:pPr>
        <w:spacing w:line="360" w:lineRule="auto"/>
        <w:ind w:firstLine="420"/>
        <w:rPr>
          <w:rFonts w:hint="eastAsia" w:ascii="宋体" w:hAnsi="宋体"/>
          <w:color w:val="auto"/>
          <w:szCs w:val="21"/>
          <w:highlight w:val="none"/>
        </w:rPr>
      </w:pPr>
      <w:r>
        <w:rPr>
          <w:rFonts w:ascii="宋体" w:hAnsi="宋体"/>
          <w:color w:val="auto"/>
          <w:szCs w:val="21"/>
          <w:highlight w:val="none"/>
        </w:rPr>
        <w:br w:type="page"/>
      </w:r>
    </w:p>
    <w:p w14:paraId="3D38D817">
      <w:pPr>
        <w:spacing w:before="120" w:beforeLines="50" w:line="360" w:lineRule="auto"/>
        <w:outlineLvl w:val="2"/>
        <w:rPr>
          <w:rFonts w:hint="eastAsia" w:asciiTheme="minorEastAsia" w:hAnsiTheme="minorEastAsia" w:eastAsiaTheme="minorEastAsia"/>
          <w:b/>
          <w:color w:val="auto"/>
          <w:sz w:val="24"/>
          <w:szCs w:val="24"/>
          <w:highlight w:val="none"/>
        </w:rPr>
      </w:pPr>
      <w:bookmarkStart w:id="1530" w:name="_Toc42205035"/>
      <w:bookmarkStart w:id="1531" w:name="_Toc45976942"/>
      <w:bookmarkStart w:id="1532" w:name="_Toc173248264"/>
      <w:bookmarkStart w:id="1533" w:name="_Toc98033978"/>
      <w:bookmarkStart w:id="1534" w:name="_Toc45791396"/>
      <w:bookmarkStart w:id="1535" w:name="_Toc98865055"/>
      <w:bookmarkStart w:id="1536" w:name="_Toc30376"/>
      <w:bookmarkStart w:id="1537" w:name="_Toc84356294"/>
      <w:bookmarkStart w:id="1538" w:name="_Toc87538411"/>
      <w:bookmarkStart w:id="1539" w:name="_Toc173513630"/>
      <w:bookmarkStart w:id="1540" w:name="_Toc173742024"/>
      <w:bookmarkStart w:id="1541" w:name="_Toc116584046"/>
      <w:bookmarkStart w:id="1542" w:name="_Toc53412258"/>
      <w:bookmarkStart w:id="1543" w:name="_Toc173168917"/>
      <w:bookmarkStart w:id="1544" w:name="_Toc81330981"/>
      <w:bookmarkStart w:id="1545" w:name="_Toc110405179"/>
      <w:bookmarkStart w:id="1546" w:name="_Toc83753934"/>
      <w:bookmarkStart w:id="1547" w:name="_Toc87543862"/>
      <w:bookmarkStart w:id="1548" w:name="_Toc109809356"/>
      <w:bookmarkStart w:id="1549" w:name="_Toc173247734"/>
      <w:r>
        <w:rPr>
          <w:rFonts w:hint="eastAsia" w:asciiTheme="minorEastAsia" w:hAnsiTheme="minorEastAsia" w:eastAsiaTheme="minorEastAsia"/>
          <w:b/>
          <w:color w:val="auto"/>
          <w:sz w:val="24"/>
          <w:szCs w:val="24"/>
          <w:highlight w:val="none"/>
        </w:rPr>
        <w:t>附件A：评审详细程序</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14:paraId="48C6B489">
      <w:pPr>
        <w:spacing w:line="360" w:lineRule="auto"/>
        <w:ind w:firstLine="562"/>
        <w:jc w:val="center"/>
        <w:rPr>
          <w:rFonts w:hint="eastAsia"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评审详细程序</w:t>
      </w:r>
    </w:p>
    <w:p w14:paraId="0A08BEDE">
      <w:pPr>
        <w:spacing w:line="360" w:lineRule="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A0.总  则</w:t>
      </w:r>
    </w:p>
    <w:p w14:paraId="0C8F0EFD">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本附件是本章“评标办法”的组成部分，是对本章第3条所规定的评审程序的进一步细化，评标委员会应当按照本附件所规定的详细程序开展并完成评审工作。</w:t>
      </w:r>
    </w:p>
    <w:p w14:paraId="673EA632">
      <w:pPr>
        <w:spacing w:line="360" w:lineRule="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A1.基本程序</w:t>
      </w:r>
    </w:p>
    <w:p w14:paraId="697AC565">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评审活动将按以下六个步骤进行：</w:t>
      </w:r>
    </w:p>
    <w:p w14:paraId="25F3AFD9">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（1）评审准备；</w:t>
      </w:r>
    </w:p>
    <w:p w14:paraId="10ADF0DA">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）符合性审查；</w:t>
      </w:r>
    </w:p>
    <w:p w14:paraId="7BFD8693">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）技术部分评审；</w:t>
      </w:r>
    </w:p>
    <w:p w14:paraId="4820BC20">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）商务部分评审；</w:t>
      </w:r>
    </w:p>
    <w:p w14:paraId="2ADDE1E1">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）澄清、说明或补正；</w:t>
      </w:r>
    </w:p>
    <w:p w14:paraId="1D2F4ECE">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）推荐中标候选人或者直接确定中标人及递交评标报告。</w:t>
      </w:r>
    </w:p>
    <w:p w14:paraId="3AEEF50D">
      <w:pPr>
        <w:spacing w:line="360" w:lineRule="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A2.评审准备</w:t>
      </w:r>
    </w:p>
    <w:p w14:paraId="7C3BC0BF">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A2.1评标委员会成员签到</w:t>
      </w:r>
    </w:p>
    <w:p w14:paraId="1B5E551A">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评标委员会成员到达评审现场签到并组建评标委员会。</w:t>
      </w:r>
    </w:p>
    <w:p w14:paraId="0CF387B6">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A2.2评标委员会的分工</w:t>
      </w:r>
    </w:p>
    <w:p w14:paraId="75AA0C9B">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评标委员会首先推选一名评标委员会组长。评标委员会组长负责评审活动的组织领导工作。评标委员会组长在与其他评标委员会成员协商的基础上，可以将评标委员会划分为技术组和商务组。</w:t>
      </w:r>
    </w:p>
    <w:p w14:paraId="17B29F0E">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A2.3熟悉文件资料</w:t>
      </w:r>
    </w:p>
    <w:p w14:paraId="3A8CA298">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A2.3.</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评标委员会组长应组织评标委员会成员认真研究采购文件，了解和熟悉采购目的、采购范围、主要合同条件、质量要求和合同履行期限等要求，掌握评审标准和方法，熟悉评标办法。采购文件中未规定的标准和方法，评标委员会不得作为评审的依据。</w:t>
      </w:r>
    </w:p>
    <w:p w14:paraId="40467823">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A2.3.2采购人或采购代理机构应向评标委员会提供评审所需的信息和数据，包括采购文件、未在开标会上当场拒绝的各投标文件、开标会记录及各供应商在投标文件，有关的法律、法规、规章、国家标准以及采购人或评标委员会认为必要的其他信息和数据。</w:t>
      </w:r>
    </w:p>
    <w:p w14:paraId="6A7BA52A">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A2.4对投标文件进行基础性数据分析和整理工作（清标）</w:t>
      </w:r>
    </w:p>
    <w:p w14:paraId="247C1CEB">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不改变供应商投标文件实质性内容的前提下，评标委员会应当对投标文件进行基础性数据分析和整理（简称为“清标”），从而发现并提取其中可能存在的对采购范围理解的偏差、投标报价的算术性错误、错漏项、投标报价构成不合理、不平衡报价、是否低于成本报价等存在明显异常的问题，并就这些问题整理形成清标成果。评标委员会对清标成果审议后，决定需要供应商进行书面澄清、</w:t>
      </w:r>
    </w:p>
    <w:p w14:paraId="486E22FC">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说明或补正的问题，形成质疑问卷，向供应商发出问题澄清通知（质疑问卷）。</w:t>
      </w:r>
    </w:p>
    <w:p w14:paraId="4440FF8E">
      <w:pPr>
        <w:spacing w:line="360" w:lineRule="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A3.初步评审</w:t>
      </w:r>
    </w:p>
    <w:p w14:paraId="0C98B48B">
      <w:pPr>
        <w:spacing w:line="360" w:lineRule="auto"/>
        <w:ind w:firstLine="422"/>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A3.</w:t>
      </w:r>
      <w:r>
        <w:rPr>
          <w:rFonts w:asciiTheme="minorEastAsia" w:hAnsiTheme="minorEastAsia" w:eastAsiaTheme="minorEastAsia"/>
          <w:b/>
          <w:color w:val="auto"/>
          <w:szCs w:val="21"/>
          <w:highlight w:val="none"/>
        </w:rPr>
        <w:t>1</w:t>
      </w:r>
      <w:r>
        <w:rPr>
          <w:rFonts w:hint="eastAsia" w:asciiTheme="minorEastAsia" w:hAnsiTheme="minorEastAsia" w:eastAsiaTheme="minorEastAsia"/>
          <w:b/>
          <w:color w:val="auto"/>
          <w:szCs w:val="21"/>
          <w:highlight w:val="none"/>
        </w:rPr>
        <w:t>符合性审查</w:t>
      </w:r>
    </w:p>
    <w:p w14:paraId="5952F6AF">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评标委员会依据本章第2.1.2款规定的审查标准对所有供应商的投标文件进行符合性审查，有一项不符合审查标准的，投标文件按否决处理。</w:t>
      </w:r>
    </w:p>
    <w:p w14:paraId="5ECE8EA2">
      <w:pPr>
        <w:spacing w:line="360" w:lineRule="auto"/>
        <w:ind w:firstLine="422"/>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A3.</w:t>
      </w:r>
      <w:r>
        <w:rPr>
          <w:rFonts w:asciiTheme="minorEastAsia" w:hAnsiTheme="minorEastAsia" w:eastAsiaTheme="minorEastAsia"/>
          <w:b/>
          <w:color w:val="auto"/>
          <w:szCs w:val="21"/>
          <w:highlight w:val="none"/>
        </w:rPr>
        <w:t>2</w:t>
      </w:r>
      <w:r>
        <w:rPr>
          <w:rFonts w:hint="eastAsia" w:asciiTheme="minorEastAsia" w:hAnsiTheme="minorEastAsia" w:eastAsiaTheme="minorEastAsia"/>
          <w:b/>
          <w:color w:val="auto"/>
          <w:szCs w:val="21"/>
          <w:highlight w:val="none"/>
        </w:rPr>
        <w:t>判断投标文件是否作否决处理</w:t>
      </w:r>
    </w:p>
    <w:p w14:paraId="3542CEBE">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评标委员会在评审过程中，依据本章附件B中规定的否决条件判断供应商的投标文件是否作否决处理。</w:t>
      </w:r>
    </w:p>
    <w:p w14:paraId="5F022C75">
      <w:pPr>
        <w:spacing w:line="360" w:lineRule="auto"/>
        <w:ind w:firstLine="422"/>
        <w:rPr>
          <w:rFonts w:hint="eastAsia" w:cs="宋体"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A3.</w:t>
      </w:r>
      <w:r>
        <w:rPr>
          <w:rFonts w:asciiTheme="minorEastAsia" w:hAnsiTheme="minorEastAsia" w:eastAsiaTheme="minorEastAsia"/>
          <w:b/>
          <w:color w:val="auto"/>
          <w:szCs w:val="21"/>
          <w:highlight w:val="none"/>
        </w:rPr>
        <w:t>3</w:t>
      </w:r>
      <w:r>
        <w:rPr>
          <w:rFonts w:hint="eastAsia" w:cs="宋体" w:asciiTheme="minorEastAsia" w:hAnsiTheme="minorEastAsia" w:eastAsiaTheme="minorEastAsia"/>
          <w:b/>
          <w:color w:val="auto"/>
          <w:szCs w:val="21"/>
          <w:highlight w:val="none"/>
        </w:rPr>
        <w:t xml:space="preserve">重新采购 </w:t>
      </w:r>
    </w:p>
    <w:p w14:paraId="717071BF">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经评标委员会评审后，有效供应商的数量少于3家的，采购人应当依法重新采购。</w:t>
      </w:r>
    </w:p>
    <w:p w14:paraId="01C8A626">
      <w:pPr>
        <w:spacing w:line="360" w:lineRule="auto"/>
        <w:ind w:firstLine="422"/>
        <w:rPr>
          <w:rFonts w:hint="eastAsia"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A3.</w:t>
      </w:r>
      <w:r>
        <w:rPr>
          <w:rFonts w:asciiTheme="minorEastAsia" w:hAnsiTheme="minorEastAsia" w:eastAsiaTheme="minorEastAsia"/>
          <w:b/>
          <w:color w:val="auto"/>
          <w:szCs w:val="21"/>
          <w:highlight w:val="none"/>
        </w:rPr>
        <w:t>4</w:t>
      </w:r>
      <w:r>
        <w:rPr>
          <w:rFonts w:hint="eastAsia" w:asciiTheme="minorEastAsia" w:hAnsiTheme="minorEastAsia" w:eastAsiaTheme="minorEastAsia"/>
          <w:b/>
          <w:color w:val="auto"/>
          <w:szCs w:val="21"/>
          <w:highlight w:val="none"/>
        </w:rPr>
        <w:t>算术性错误修正</w:t>
      </w:r>
    </w:p>
    <w:p w14:paraId="099AB9BA">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供应商的投标文件中的投标报价出现前后不一致的，除采购文件另有规定外，评标委员会依法对其按照下列规定进行修正：</w:t>
      </w:r>
    </w:p>
    <w:p w14:paraId="0FD3D7B6">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（1）大写金额和小写金额不一致的，以大写金额为准；</w:t>
      </w:r>
    </w:p>
    <w:p w14:paraId="4D0721FF">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（2）单价金额小数点或者百分比有明显错位的，以“开标一览表”中的投标报价为准；</w:t>
      </w:r>
    </w:p>
    <w:p w14:paraId="25B009C5">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（3）总价金额与按单价汇总金额不一致的，以单价金额计算结果为准。</w:t>
      </w:r>
    </w:p>
    <w:p w14:paraId="6D73895B">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同时出现两种以上不一致的，按照前款规定的顺序修正。修正后的报价按照本章第3.</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条的规定经供应商确认后产生约束力，供应商不确认的，其投标无效。</w:t>
      </w:r>
    </w:p>
    <w:p w14:paraId="04694A25">
      <w:pPr>
        <w:spacing w:line="360" w:lineRule="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A4.技术部分评审</w:t>
      </w:r>
    </w:p>
    <w:p w14:paraId="564E1813">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A4.1评标委员会依据本章第2.2.</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款规定的分值对通过资格审查和符合性审查的供应商的投标文件中的技术部分进行评审评分，</w:t>
      </w:r>
      <w:r>
        <w:rPr>
          <w:rFonts w:asciiTheme="minorEastAsia" w:hAnsiTheme="minorEastAsia" w:eastAsiaTheme="minorEastAsia"/>
          <w:color w:val="auto"/>
          <w:szCs w:val="21"/>
          <w:highlight w:val="none"/>
        </w:rPr>
        <w:t>评标委员会成员</w:t>
      </w:r>
      <w:r>
        <w:rPr>
          <w:rFonts w:hint="eastAsia" w:asciiTheme="minorEastAsia" w:hAnsiTheme="minorEastAsia" w:eastAsiaTheme="minorEastAsia"/>
          <w:color w:val="auto"/>
          <w:szCs w:val="21"/>
          <w:highlight w:val="none"/>
        </w:rPr>
        <w:t>的评分通过计算平均分值为供应商的技术部分得分。</w:t>
      </w:r>
    </w:p>
    <w:p w14:paraId="0CFE784F">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A4.2评分分值计算保留小数点后两位，小数点后第三位“四舍五入”。</w:t>
      </w:r>
    </w:p>
    <w:p w14:paraId="195A154A">
      <w:pPr>
        <w:spacing w:line="360" w:lineRule="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A</w:t>
      </w:r>
      <w:r>
        <w:rPr>
          <w:rFonts w:asciiTheme="minorEastAsia" w:hAnsiTheme="minorEastAsia" w:eastAsiaTheme="minorEastAsia"/>
          <w:b/>
          <w:color w:val="auto"/>
          <w:sz w:val="24"/>
          <w:szCs w:val="24"/>
          <w:highlight w:val="none"/>
        </w:rPr>
        <w:t>5</w:t>
      </w:r>
      <w:r>
        <w:rPr>
          <w:rFonts w:hint="eastAsia" w:asciiTheme="minorEastAsia" w:hAnsiTheme="minorEastAsia" w:eastAsiaTheme="minorEastAsia"/>
          <w:b/>
          <w:color w:val="auto"/>
          <w:sz w:val="24"/>
          <w:szCs w:val="24"/>
          <w:highlight w:val="none"/>
        </w:rPr>
        <w:t>.商务部分评审</w:t>
      </w:r>
    </w:p>
    <w:p w14:paraId="2FEF8044">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A</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.1评标委员会依据本章第2.2.3款规定的分值对通过资格审查和符合性审查的供应商的评标价进行评审评分，供应商的评标价得分即为供应商的商务部分得分。</w:t>
      </w:r>
    </w:p>
    <w:p w14:paraId="12187604">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A</w:t>
      </w: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.2评分分值计算保留小数点后两位，小数点后第三位“四舍五入”。</w:t>
      </w:r>
    </w:p>
    <w:p w14:paraId="4F742B9A">
      <w:pPr>
        <w:spacing w:line="360" w:lineRule="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A</w:t>
      </w:r>
      <w:r>
        <w:rPr>
          <w:rFonts w:asciiTheme="minorEastAsia" w:hAnsiTheme="minorEastAsia" w:eastAsiaTheme="minorEastAsia"/>
          <w:b/>
          <w:color w:val="auto"/>
          <w:sz w:val="24"/>
          <w:szCs w:val="24"/>
          <w:highlight w:val="none"/>
        </w:rPr>
        <w:t>6</w:t>
      </w:r>
      <w:r>
        <w:rPr>
          <w:rFonts w:hint="eastAsia" w:asciiTheme="minorEastAsia" w:hAnsiTheme="minorEastAsia" w:eastAsiaTheme="minorEastAsia"/>
          <w:b/>
          <w:color w:val="auto"/>
          <w:sz w:val="24"/>
          <w:szCs w:val="24"/>
          <w:highlight w:val="none"/>
        </w:rPr>
        <w:t>澄清、说明或补正</w:t>
      </w:r>
    </w:p>
    <w:p w14:paraId="36B99CF8">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在初步评审过程中，评标委员会应当就供应商的投标文件中不明确的内容要求供应商进行澄清、说明或者补正。供应商对此以书面形式予以澄清、说明或者补正。澄清、说明或补正根据本章第3.</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款的规定执行。</w:t>
      </w:r>
    </w:p>
    <w:p w14:paraId="09C7B0C3">
      <w:pPr>
        <w:spacing w:line="360" w:lineRule="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A</w:t>
      </w:r>
      <w:r>
        <w:rPr>
          <w:rFonts w:asciiTheme="minorEastAsia" w:hAnsiTheme="minorEastAsia" w:eastAsiaTheme="minorEastAsia"/>
          <w:b/>
          <w:color w:val="auto"/>
          <w:sz w:val="24"/>
          <w:szCs w:val="24"/>
          <w:highlight w:val="none"/>
        </w:rPr>
        <w:t>7</w:t>
      </w:r>
      <w:r>
        <w:rPr>
          <w:rFonts w:hint="eastAsia" w:asciiTheme="minorEastAsia" w:hAnsiTheme="minorEastAsia" w:eastAsiaTheme="minorEastAsia"/>
          <w:b/>
          <w:color w:val="auto"/>
          <w:sz w:val="24"/>
          <w:szCs w:val="24"/>
          <w:highlight w:val="none"/>
        </w:rPr>
        <w:t>.特殊情况的处置程序</w:t>
      </w:r>
    </w:p>
    <w:p w14:paraId="4CD4D413">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A</w:t>
      </w: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.1关于评审活动暂停</w:t>
      </w:r>
    </w:p>
    <w:p w14:paraId="1BD8AF53">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A</w:t>
      </w: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.1.1评标委员会应当执行连续评审的原则，按评标办法中规定的程序、内容、方法、标准完成全部评审工作。只有发生不可抗力导致评审工作无法继续时，评审活动方可暂停。</w:t>
      </w:r>
    </w:p>
    <w:p w14:paraId="62CAD57F">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A</w:t>
      </w: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.1.2发生评审暂停情况时，评标委员会应当封存全部投标申请文件和评审记录，待不可抗力的影响结束且具备继续评审的条件时，由原评标委员会继续评审。</w:t>
      </w:r>
    </w:p>
    <w:p w14:paraId="1A6D5AE1">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A</w:t>
      </w: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.2关于评审中途更换评委</w:t>
      </w:r>
    </w:p>
    <w:p w14:paraId="7044393C">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A</w:t>
      </w: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.2.1除非发生下列情况之一，评标委员会成员不得在评审中途更换：</w:t>
      </w:r>
    </w:p>
    <w:p w14:paraId="0454A84A">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（1）因不可抗拒的客观原因，不能到场或需在评审中途退出评审活动。</w:t>
      </w:r>
    </w:p>
    <w:p w14:paraId="3EC8CB2A">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）根据法律法规规定，某个或某几个评标委员会成员需要回避。</w:t>
      </w:r>
    </w:p>
    <w:p w14:paraId="3826F183">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A</w:t>
      </w: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.2.2退出评审的评标委员会成员，其已完成的评审行为无效。由采购人根据本采购文件规定的评标委员会成员生产方式另行确定替代者进行评审。</w:t>
      </w:r>
    </w:p>
    <w:p w14:paraId="490BED9B">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A</w:t>
      </w: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.3不记名投票</w:t>
      </w:r>
    </w:p>
    <w:p w14:paraId="69A723EE">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在任何评审环节中，需评标委员会就某项定性的评审结论做出表决的，由评标委员会全体成员按照少数服从多数的原则，以不记名投票方式表决。</w:t>
      </w:r>
    </w:p>
    <w:p w14:paraId="4C1A4C62">
      <w:pPr>
        <w:spacing w:line="360" w:lineRule="auto"/>
        <w:rPr>
          <w:rFonts w:hint="eastAsia"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A</w:t>
      </w:r>
      <w:r>
        <w:rPr>
          <w:rFonts w:asciiTheme="minorEastAsia" w:hAnsiTheme="minorEastAsia" w:eastAsiaTheme="minorEastAsia"/>
          <w:b/>
          <w:color w:val="auto"/>
          <w:sz w:val="24"/>
          <w:szCs w:val="24"/>
          <w:highlight w:val="none"/>
        </w:rPr>
        <w:t>8</w:t>
      </w:r>
      <w:r>
        <w:rPr>
          <w:rFonts w:hint="eastAsia" w:asciiTheme="minorEastAsia" w:hAnsiTheme="minorEastAsia" w:eastAsiaTheme="minorEastAsia"/>
          <w:b/>
          <w:color w:val="auto"/>
          <w:sz w:val="24"/>
          <w:szCs w:val="24"/>
          <w:highlight w:val="none"/>
        </w:rPr>
        <w:t>.补充条款</w:t>
      </w:r>
    </w:p>
    <w:p w14:paraId="27F12D29">
      <w:pPr>
        <w:spacing w:line="360" w:lineRule="auto"/>
        <w:ind w:firstLine="42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评审中若遇特殊问题，由评标委员会根据有关法律、法规、规定研究决定。</w:t>
      </w:r>
    </w:p>
    <w:p w14:paraId="6A5E4466">
      <w:pPr>
        <w:spacing w:line="360" w:lineRule="auto"/>
        <w:ind w:firstLine="42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br w:type="page"/>
      </w:r>
    </w:p>
    <w:p w14:paraId="3D72FA56">
      <w:pPr>
        <w:spacing w:before="120" w:beforeLines="50" w:line="360" w:lineRule="auto"/>
        <w:outlineLvl w:val="2"/>
        <w:rPr>
          <w:rFonts w:hint="eastAsia" w:asciiTheme="minorEastAsia" w:hAnsiTheme="minorEastAsia" w:eastAsiaTheme="minorEastAsia"/>
          <w:b/>
          <w:color w:val="auto"/>
          <w:sz w:val="24"/>
          <w:szCs w:val="24"/>
          <w:highlight w:val="none"/>
        </w:rPr>
      </w:pPr>
      <w:bookmarkStart w:id="1550" w:name="_Toc81330982"/>
      <w:bookmarkStart w:id="1551" w:name="_Toc87538412"/>
      <w:bookmarkStart w:id="1552" w:name="_Toc110405180"/>
      <w:bookmarkStart w:id="1553" w:name="_Toc173247735"/>
      <w:bookmarkStart w:id="1554" w:name="_Toc84356295"/>
      <w:bookmarkStart w:id="1555" w:name="_Toc116584047"/>
      <w:bookmarkStart w:id="1556" w:name="_Toc83753935"/>
      <w:bookmarkStart w:id="1557" w:name="_Toc4288"/>
      <w:bookmarkStart w:id="1558" w:name="_Toc45791397"/>
      <w:bookmarkStart w:id="1559" w:name="_Toc98865056"/>
      <w:bookmarkStart w:id="1560" w:name="_Toc173742025"/>
      <w:bookmarkStart w:id="1561" w:name="_Toc109809357"/>
      <w:bookmarkStart w:id="1562" w:name="_Toc45976943"/>
      <w:bookmarkStart w:id="1563" w:name="_Toc53412259"/>
      <w:bookmarkStart w:id="1564" w:name="_Toc42205036"/>
      <w:bookmarkStart w:id="1565" w:name="_Toc173168918"/>
      <w:bookmarkStart w:id="1566" w:name="_Toc173513631"/>
      <w:bookmarkStart w:id="1567" w:name="_Toc87543863"/>
      <w:bookmarkStart w:id="1568" w:name="_Toc98033979"/>
      <w:bookmarkStart w:id="1569" w:name="_Toc173248265"/>
      <w:r>
        <w:rPr>
          <w:rFonts w:hint="eastAsia" w:asciiTheme="minorEastAsia" w:hAnsiTheme="minorEastAsia" w:eastAsiaTheme="minorEastAsia"/>
          <w:b/>
          <w:color w:val="auto"/>
          <w:sz w:val="24"/>
          <w:szCs w:val="24"/>
          <w:highlight w:val="none"/>
        </w:rPr>
        <w:t>附件B：否决投标条件</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p>
    <w:p w14:paraId="7EFA83B0">
      <w:pPr>
        <w:spacing w:line="360" w:lineRule="auto"/>
        <w:ind w:firstLine="562"/>
        <w:jc w:val="center"/>
        <w:rPr>
          <w:rFonts w:hint="eastAsia"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否决投标条件</w:t>
      </w:r>
    </w:p>
    <w:p w14:paraId="6B9AFDF5">
      <w:pPr>
        <w:spacing w:line="360" w:lineRule="auto"/>
        <w:ind w:firstLine="420" w:firstLineChars="200"/>
        <w:rPr>
          <w:rFonts w:hint="eastAsia"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B0.总  则</w:t>
      </w:r>
    </w:p>
    <w:p w14:paraId="340D8622">
      <w:pPr>
        <w:spacing w:line="360" w:lineRule="auto"/>
        <w:ind w:firstLine="420"/>
        <w:rPr>
          <w:rFonts w:hint="eastAsia" w:asciiTheme="minorEastAsia" w:hAnsiTheme="minorEastAsia" w:eastAsiaTheme="minorEastAsia"/>
          <w:color w:val="auto"/>
          <w:szCs w:val="21"/>
          <w:highlight w:val="none"/>
        </w:rPr>
      </w:pPr>
      <w:bookmarkStart w:id="1570" w:name="_Toc42205037"/>
      <w:bookmarkStart w:id="1571" w:name="_Toc29357077"/>
      <w:bookmarkStart w:id="1572" w:name="_Toc37603110"/>
      <w:bookmarkStart w:id="1573" w:name="_Toc458454495"/>
      <w:r>
        <w:rPr>
          <w:rFonts w:hint="eastAsia" w:asciiTheme="minorEastAsia" w:hAnsiTheme="minorEastAsia" w:eastAsiaTheme="minorEastAsia"/>
          <w:color w:val="auto"/>
          <w:szCs w:val="21"/>
          <w:highlight w:val="none"/>
        </w:rPr>
        <w:t>本附件所集中列示的否决投标条件，是本章“评标办法”的组成部分，是对第二章“供应商须知”和本章正文部分所规定的否决投标条件的总结和补充，如果出现相互矛盾的情况，以本节的规定为准。</w:t>
      </w:r>
    </w:p>
    <w:p w14:paraId="05DF9003">
      <w:pPr>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B1.未按</w:t>
      </w:r>
      <w:r>
        <w:rPr>
          <w:rFonts w:hint="eastAsia" w:asciiTheme="minorEastAsia" w:hAnsiTheme="minorEastAsia" w:eastAsiaTheme="minorEastAsia"/>
          <w:color w:val="auto"/>
          <w:szCs w:val="21"/>
          <w:highlight w:val="none"/>
        </w:rPr>
        <w:t>评标委员会</w:t>
      </w:r>
      <w:r>
        <w:rPr>
          <w:rFonts w:asciiTheme="minorEastAsia" w:hAnsiTheme="minorEastAsia" w:eastAsiaTheme="minorEastAsia"/>
          <w:color w:val="auto"/>
          <w:szCs w:val="21"/>
          <w:highlight w:val="none"/>
        </w:rPr>
        <w:t>要求澄清、说明或补正的；</w:t>
      </w:r>
    </w:p>
    <w:p w14:paraId="6CA46568">
      <w:pPr>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B2</w:t>
      </w:r>
      <w:r>
        <w:rPr>
          <w:rFonts w:hint="eastAsia" w:asciiTheme="minorEastAsia" w:hAnsiTheme="minorEastAsia" w:eastAsiaTheme="minorEastAsia"/>
          <w:color w:val="auto"/>
          <w:szCs w:val="21"/>
          <w:highlight w:val="none"/>
        </w:rPr>
        <w:t>.供应商的名称与所提供的资料上的名称不一致的；</w:t>
      </w:r>
    </w:p>
    <w:p w14:paraId="79D327F6">
      <w:pPr>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分包不符合第二章“</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须知”第1.11项规定的；</w:t>
      </w:r>
    </w:p>
    <w:p w14:paraId="34B0F8D6">
      <w:pPr>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偏离不符合第二章“</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须知”第1.12项规定的；</w:t>
      </w:r>
    </w:p>
    <w:p w14:paraId="0446F5F3">
      <w:pPr>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5.投标文件中有两个或两个以上投标报价，又未书面声明其中哪一个有效的；</w:t>
      </w:r>
    </w:p>
    <w:p w14:paraId="31561457">
      <w:pPr>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6.参与投标的供应商的单位负责人为同一人或存在直接控股、管理关系的；</w:t>
      </w:r>
    </w:p>
    <w:p w14:paraId="4E5715C3">
      <w:pPr>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7.投标文件</w:t>
      </w:r>
      <w:r>
        <w:rPr>
          <w:rFonts w:asciiTheme="minorEastAsia" w:hAnsiTheme="minorEastAsia" w:eastAsiaTheme="minorEastAsia"/>
          <w:color w:val="auto"/>
          <w:szCs w:val="21"/>
          <w:highlight w:val="none"/>
        </w:rPr>
        <w:t>未按</w:t>
      </w:r>
      <w:r>
        <w:rPr>
          <w:rFonts w:hint="eastAsia" w:asciiTheme="minorEastAsia" w:hAnsiTheme="minorEastAsia" w:eastAsiaTheme="minorEastAsia"/>
          <w:color w:val="auto"/>
          <w:szCs w:val="21"/>
          <w:highlight w:val="none"/>
        </w:rPr>
        <w:t>采购文件</w:t>
      </w:r>
      <w:r>
        <w:rPr>
          <w:rFonts w:asciiTheme="minorEastAsia" w:hAnsiTheme="minorEastAsia" w:eastAsiaTheme="minorEastAsia"/>
          <w:color w:val="auto"/>
          <w:szCs w:val="21"/>
          <w:highlight w:val="none"/>
        </w:rPr>
        <w:t>规定的格式填写，内容不全或关键字迹模糊、无法辨认的；</w:t>
      </w:r>
    </w:p>
    <w:p w14:paraId="7DEAB09A">
      <w:pPr>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8.供应商</w:t>
      </w:r>
      <w:r>
        <w:rPr>
          <w:rFonts w:asciiTheme="minorEastAsia" w:hAnsiTheme="minorEastAsia" w:eastAsiaTheme="minorEastAsia"/>
          <w:color w:val="auto"/>
          <w:szCs w:val="21"/>
          <w:highlight w:val="none"/>
        </w:rPr>
        <w:t>递交两份或多份内容不同的</w:t>
      </w:r>
      <w:r>
        <w:rPr>
          <w:rFonts w:hint="eastAsia" w:asciiTheme="minorEastAsia" w:hAnsiTheme="minorEastAsia" w:eastAsiaTheme="minorEastAsia"/>
          <w:color w:val="auto"/>
          <w:szCs w:val="21"/>
          <w:highlight w:val="none"/>
        </w:rPr>
        <w:t>投标文件</w:t>
      </w:r>
      <w:r>
        <w:rPr>
          <w:rFonts w:asciiTheme="minorEastAsia" w:hAnsiTheme="minorEastAsia" w:eastAsiaTheme="minorEastAsia"/>
          <w:color w:val="auto"/>
          <w:szCs w:val="21"/>
          <w:highlight w:val="none"/>
        </w:rPr>
        <w:t>的；</w:t>
      </w:r>
    </w:p>
    <w:p w14:paraId="2F861130">
      <w:pPr>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9.评标委员会</w:t>
      </w:r>
      <w:r>
        <w:rPr>
          <w:rFonts w:asciiTheme="minorEastAsia" w:hAnsiTheme="minorEastAsia" w:eastAsiaTheme="minorEastAsia"/>
          <w:color w:val="auto"/>
          <w:szCs w:val="21"/>
          <w:highlight w:val="none"/>
        </w:rPr>
        <w:t>初步评审时若发现</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报价存在有重大漏项、缺项，且在</w:t>
      </w:r>
      <w:r>
        <w:rPr>
          <w:rFonts w:hint="eastAsia" w:asciiTheme="minorEastAsia" w:hAnsiTheme="minorEastAsia" w:eastAsiaTheme="minorEastAsia"/>
          <w:color w:val="auto"/>
          <w:szCs w:val="21"/>
          <w:highlight w:val="none"/>
        </w:rPr>
        <w:t>投标文件</w:t>
      </w:r>
      <w:r>
        <w:rPr>
          <w:rFonts w:asciiTheme="minorEastAsia" w:hAnsiTheme="minorEastAsia" w:eastAsiaTheme="minorEastAsia"/>
          <w:color w:val="auto"/>
          <w:szCs w:val="21"/>
          <w:highlight w:val="none"/>
        </w:rPr>
        <w:t>中没有明确的阐述和承诺的，其</w:t>
      </w:r>
      <w:r>
        <w:rPr>
          <w:rFonts w:hint="eastAsia" w:asciiTheme="minorEastAsia" w:hAnsiTheme="minorEastAsia" w:eastAsiaTheme="minorEastAsia"/>
          <w:color w:val="auto"/>
          <w:szCs w:val="21"/>
          <w:highlight w:val="none"/>
        </w:rPr>
        <w:t>投标文件</w:t>
      </w:r>
      <w:r>
        <w:rPr>
          <w:rFonts w:asciiTheme="minorEastAsia" w:hAnsiTheme="minorEastAsia" w:eastAsiaTheme="minorEastAsia"/>
          <w:color w:val="auto"/>
          <w:szCs w:val="21"/>
          <w:highlight w:val="none"/>
        </w:rPr>
        <w:t>作否决处理；</w:t>
      </w:r>
    </w:p>
    <w:p w14:paraId="454E210C">
      <w:pPr>
        <w:spacing w:line="360" w:lineRule="auto"/>
        <w:ind w:firstLine="420" w:firstLineChars="200"/>
        <w:jc w:val="left"/>
        <w:rPr>
          <w:rFonts w:hint="eastAsia"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B10.</w:t>
      </w:r>
      <w:r>
        <w:rPr>
          <w:rFonts w:hint="eastAsia" w:asciiTheme="minorEastAsia" w:hAnsiTheme="minorEastAsia" w:eastAsiaTheme="minorEastAsia"/>
          <w:color w:val="auto"/>
          <w:highlight w:val="none"/>
        </w:rPr>
        <w:t>投标保证金不符合第二章“供应商须知前附表”第3.4.1项规定的，或</w:t>
      </w:r>
      <w:r>
        <w:rPr>
          <w:rFonts w:asciiTheme="minorEastAsia" w:hAnsiTheme="minorEastAsia" w:eastAsiaTheme="minorEastAsia"/>
          <w:color w:val="auto"/>
          <w:highlight w:val="none"/>
        </w:rPr>
        <w:t>未按</w:t>
      </w:r>
      <w:r>
        <w:rPr>
          <w:rFonts w:hint="eastAsia" w:asciiTheme="minorEastAsia" w:hAnsiTheme="minorEastAsia" w:eastAsiaTheme="minorEastAsia"/>
          <w:color w:val="auto"/>
          <w:highlight w:val="none"/>
        </w:rPr>
        <w:t>采购文件</w:t>
      </w:r>
      <w:r>
        <w:rPr>
          <w:rFonts w:asciiTheme="minorEastAsia" w:hAnsiTheme="minorEastAsia" w:eastAsiaTheme="minorEastAsia"/>
          <w:color w:val="auto"/>
          <w:highlight w:val="none"/>
        </w:rPr>
        <w:t>要求递交</w:t>
      </w:r>
      <w:r>
        <w:rPr>
          <w:rFonts w:hint="eastAsia" w:asciiTheme="minorEastAsia" w:hAnsiTheme="minorEastAsia" w:eastAsiaTheme="minorEastAsia"/>
          <w:color w:val="auto"/>
          <w:highlight w:val="none"/>
        </w:rPr>
        <w:t>投标</w:t>
      </w:r>
      <w:r>
        <w:rPr>
          <w:rFonts w:asciiTheme="minorEastAsia" w:hAnsiTheme="minorEastAsia" w:eastAsiaTheme="minorEastAsia"/>
          <w:color w:val="auto"/>
          <w:highlight w:val="none"/>
        </w:rPr>
        <w:t>保证金或递交的</w:t>
      </w:r>
      <w:r>
        <w:rPr>
          <w:rFonts w:hint="eastAsia" w:asciiTheme="minorEastAsia" w:hAnsiTheme="minorEastAsia" w:eastAsiaTheme="minorEastAsia"/>
          <w:color w:val="auto"/>
          <w:highlight w:val="none"/>
        </w:rPr>
        <w:t>投标保证</w:t>
      </w:r>
      <w:r>
        <w:rPr>
          <w:rFonts w:asciiTheme="minorEastAsia" w:hAnsiTheme="minorEastAsia" w:eastAsiaTheme="minorEastAsia"/>
          <w:color w:val="auto"/>
          <w:highlight w:val="none"/>
        </w:rPr>
        <w:t>金有瑕疵的</w:t>
      </w:r>
      <w:r>
        <w:rPr>
          <w:rFonts w:hint="eastAsia" w:asciiTheme="minorEastAsia" w:hAnsiTheme="minorEastAsia" w:eastAsiaTheme="minorEastAsia"/>
          <w:color w:val="auto"/>
          <w:highlight w:val="none"/>
        </w:rPr>
        <w:t>；</w:t>
      </w:r>
    </w:p>
    <w:p w14:paraId="6156B58E">
      <w:pPr>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highlight w:val="none"/>
        </w:rPr>
        <w:t>B1</w:t>
      </w:r>
      <w:r>
        <w:rPr>
          <w:rFonts w:hint="eastAsia" w:asciiTheme="minorEastAsia" w:hAnsiTheme="minorEastAsia" w:eastAsiaTheme="minorEastAsia"/>
          <w:color w:val="auto"/>
          <w:highlight w:val="none"/>
        </w:rPr>
        <w:t>1.投标文件</w:t>
      </w:r>
      <w:r>
        <w:rPr>
          <w:rFonts w:asciiTheme="minorEastAsia" w:hAnsiTheme="minorEastAsia" w:eastAsiaTheme="minorEastAsia"/>
          <w:color w:val="auto"/>
          <w:highlight w:val="none"/>
        </w:rPr>
        <w:t>未按</w:t>
      </w:r>
      <w:r>
        <w:rPr>
          <w:rFonts w:hint="eastAsia" w:asciiTheme="minorEastAsia" w:hAnsiTheme="minorEastAsia" w:eastAsiaTheme="minorEastAsia"/>
          <w:color w:val="auto"/>
          <w:highlight w:val="none"/>
        </w:rPr>
        <w:t>采购文件</w:t>
      </w:r>
      <w:r>
        <w:rPr>
          <w:rFonts w:asciiTheme="minorEastAsia" w:hAnsiTheme="minorEastAsia" w:eastAsiaTheme="minorEastAsia"/>
          <w:color w:val="auto"/>
          <w:highlight w:val="none"/>
        </w:rPr>
        <w:t>的要求采用单位和个人数字证书电子签章的；</w:t>
      </w:r>
    </w:p>
    <w:p w14:paraId="567FED83">
      <w:pPr>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B</w:t>
      </w:r>
      <w:r>
        <w:rPr>
          <w:rFonts w:hint="eastAsia" w:asciiTheme="minorEastAsia" w:hAnsiTheme="minorEastAsia" w:eastAsiaTheme="minorEastAsia"/>
          <w:color w:val="auto"/>
          <w:szCs w:val="21"/>
          <w:highlight w:val="none"/>
        </w:rPr>
        <w:t>12.</w:t>
      </w:r>
      <w:r>
        <w:rPr>
          <w:rFonts w:asciiTheme="minorEastAsia" w:hAnsiTheme="minorEastAsia" w:eastAsiaTheme="minorEastAsia"/>
          <w:color w:val="auto"/>
          <w:szCs w:val="21"/>
          <w:highlight w:val="none"/>
        </w:rPr>
        <w:t>有下列情形之一的，经</w:t>
      </w:r>
      <w:r>
        <w:rPr>
          <w:rFonts w:hint="eastAsia" w:asciiTheme="minorEastAsia" w:hAnsiTheme="minorEastAsia" w:eastAsiaTheme="minorEastAsia"/>
          <w:color w:val="auto"/>
          <w:szCs w:val="21"/>
          <w:highlight w:val="none"/>
        </w:rPr>
        <w:t>评标委员会</w:t>
      </w:r>
      <w:r>
        <w:rPr>
          <w:rFonts w:asciiTheme="minorEastAsia" w:hAnsiTheme="minorEastAsia" w:eastAsiaTheme="minorEastAsia"/>
          <w:color w:val="auto"/>
          <w:szCs w:val="21"/>
          <w:highlight w:val="none"/>
        </w:rPr>
        <w:t>集体表决后认定，视作串通</w:t>
      </w:r>
      <w:r>
        <w:rPr>
          <w:rFonts w:hint="eastAsia" w:asciiTheme="minorEastAsia" w:hAnsiTheme="minorEastAsia" w:eastAsiaTheme="minorEastAsia"/>
          <w:color w:val="auto"/>
          <w:szCs w:val="21"/>
          <w:highlight w:val="none"/>
        </w:rPr>
        <w:t>投标</w:t>
      </w:r>
      <w:r>
        <w:rPr>
          <w:rFonts w:asciiTheme="minorEastAsia" w:hAnsiTheme="minorEastAsia" w:eastAsiaTheme="minorEastAsia"/>
          <w:color w:val="auto"/>
          <w:szCs w:val="21"/>
          <w:highlight w:val="none"/>
        </w:rPr>
        <w:t>处理，并提请行政监督管理部门依法予以处罚：</w:t>
      </w:r>
    </w:p>
    <w:p w14:paraId="04C7AE22">
      <w:pPr>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（1）不同</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投标文件</w:t>
      </w:r>
      <w:r>
        <w:rPr>
          <w:rFonts w:asciiTheme="minorEastAsia" w:hAnsiTheme="minorEastAsia" w:eastAsiaTheme="minorEastAsia"/>
          <w:color w:val="auto"/>
          <w:szCs w:val="21"/>
          <w:highlight w:val="none"/>
        </w:rPr>
        <w:t>内容存在非正常一致的；</w:t>
      </w:r>
    </w:p>
    <w:p w14:paraId="7B700545">
      <w:pPr>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（2）不同</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投标文件</w:t>
      </w:r>
      <w:r>
        <w:rPr>
          <w:rFonts w:asciiTheme="minorEastAsia" w:hAnsiTheme="minorEastAsia" w:eastAsiaTheme="minorEastAsia"/>
          <w:color w:val="auto"/>
          <w:szCs w:val="21"/>
          <w:highlight w:val="none"/>
        </w:rPr>
        <w:t>两处以上错漏一致的；</w:t>
      </w:r>
    </w:p>
    <w:p w14:paraId="13872DBE">
      <w:pPr>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（3）不同</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投标文件</w:t>
      </w:r>
      <w:r>
        <w:rPr>
          <w:rFonts w:asciiTheme="minorEastAsia" w:hAnsiTheme="minorEastAsia" w:eastAsiaTheme="minorEastAsia"/>
          <w:color w:val="auto"/>
          <w:szCs w:val="21"/>
          <w:highlight w:val="none"/>
        </w:rPr>
        <w:t>由同一企业或者同一个人编制的；</w:t>
      </w:r>
    </w:p>
    <w:p w14:paraId="43F2874C">
      <w:pPr>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（4）不同</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投标文件</w:t>
      </w:r>
      <w:r>
        <w:rPr>
          <w:rFonts w:asciiTheme="minorEastAsia" w:hAnsiTheme="minorEastAsia" w:eastAsiaTheme="minorEastAsia"/>
          <w:color w:val="auto"/>
          <w:szCs w:val="21"/>
          <w:highlight w:val="none"/>
        </w:rPr>
        <w:t>相互混装的；</w:t>
      </w:r>
    </w:p>
    <w:p w14:paraId="4A3D4E11">
      <w:pPr>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（5）不同</w:t>
      </w:r>
      <w:r>
        <w:rPr>
          <w:rFonts w:hint="eastAsia" w:asciiTheme="minorEastAsia" w:hAnsiTheme="minorEastAsia" w:eastAsiaTheme="minorEastAsia"/>
          <w:color w:val="auto"/>
          <w:szCs w:val="21"/>
          <w:highlight w:val="none"/>
        </w:rPr>
        <w:t>供应商</w:t>
      </w:r>
      <w:r>
        <w:rPr>
          <w:rFonts w:asciiTheme="minorEastAsia" w:hAnsiTheme="minorEastAsia" w:eastAsiaTheme="minorEastAsia"/>
          <w:color w:val="auto"/>
          <w:szCs w:val="21"/>
          <w:highlight w:val="none"/>
        </w:rPr>
        <w:t>委托同一人</w:t>
      </w:r>
      <w:r>
        <w:rPr>
          <w:rFonts w:hint="eastAsia" w:asciiTheme="minorEastAsia" w:hAnsiTheme="minorEastAsia" w:eastAsiaTheme="minorEastAsia"/>
          <w:color w:val="auto"/>
          <w:szCs w:val="21"/>
          <w:highlight w:val="none"/>
        </w:rPr>
        <w:t>投标</w:t>
      </w:r>
      <w:r>
        <w:rPr>
          <w:rFonts w:asciiTheme="minorEastAsia" w:hAnsiTheme="minorEastAsia" w:eastAsiaTheme="minorEastAsia"/>
          <w:color w:val="auto"/>
          <w:szCs w:val="21"/>
          <w:highlight w:val="none"/>
        </w:rPr>
        <w:t>的；</w:t>
      </w:r>
    </w:p>
    <w:p w14:paraId="2CE8CBC0">
      <w:pPr>
        <w:spacing w:line="360" w:lineRule="auto"/>
        <w:ind w:firstLine="420" w:firstLineChars="200"/>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评标委员会</w:t>
      </w:r>
      <w:r>
        <w:rPr>
          <w:rFonts w:asciiTheme="minorEastAsia" w:hAnsiTheme="minorEastAsia" w:eastAsiaTheme="minorEastAsia"/>
          <w:color w:val="auto"/>
          <w:szCs w:val="21"/>
          <w:highlight w:val="none"/>
        </w:rPr>
        <w:t>认定的其他串通</w:t>
      </w:r>
      <w:r>
        <w:rPr>
          <w:rFonts w:hint="eastAsia" w:asciiTheme="minorEastAsia" w:hAnsiTheme="minorEastAsia" w:eastAsiaTheme="minorEastAsia"/>
          <w:color w:val="auto"/>
          <w:szCs w:val="21"/>
          <w:highlight w:val="none"/>
        </w:rPr>
        <w:t>投标的</w:t>
      </w:r>
      <w:r>
        <w:rPr>
          <w:rFonts w:asciiTheme="minorEastAsia" w:hAnsiTheme="minorEastAsia" w:eastAsiaTheme="minorEastAsia"/>
          <w:color w:val="auto"/>
          <w:szCs w:val="21"/>
          <w:highlight w:val="none"/>
        </w:rPr>
        <w:t>情形。</w:t>
      </w:r>
      <w:bookmarkEnd w:id="1570"/>
      <w:bookmarkEnd w:id="1571"/>
      <w:bookmarkEnd w:id="1572"/>
      <w:bookmarkEnd w:id="1573"/>
    </w:p>
    <w:p w14:paraId="79DD5BF7">
      <w:pPr>
        <w:rPr>
          <w:color w:val="auto"/>
          <w:highlight w:val="none"/>
        </w:rPr>
      </w:pPr>
    </w:p>
    <w:sectPr>
      <w:pgSz w:w="11906" w:h="16838"/>
      <w:pgMar w:top="1440" w:right="1474" w:bottom="1440" w:left="1474"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C340FCD-39DE-4C5E-A195-329DEBFFAA0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FEF9C8D-78BF-4CD8-A44D-C84C039858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89C20530-19D0-4B43-856A-A13A00415F46}"/>
  </w:font>
  <w:font w:name="Arial">
    <w:panose1 w:val="020B0604020202020204"/>
    <w:charset w:val="00"/>
    <w:family w:val="swiss"/>
    <w:pitch w:val="default"/>
    <w:sig w:usb0="E0002EFF" w:usb1="C000785B" w:usb2="00000009" w:usb3="00000000" w:csb0="400001FF" w:csb1="FFFF0000"/>
    <w:embedRegular r:id="rId4" w:fontKey="{3B38538C-36E5-4948-AA2B-D7A893A7EC1B}"/>
  </w:font>
  <w:font w:name="仿宋_GB2312">
    <w:panose1 w:val="02010609030101010101"/>
    <w:charset w:val="86"/>
    <w:family w:val="modern"/>
    <w:pitch w:val="default"/>
    <w:sig w:usb0="00000001" w:usb1="080E0000" w:usb2="00000000" w:usb3="00000000" w:csb0="00040000" w:csb1="00000000"/>
    <w:embedRegular r:id="rId5" w:fontKey="{276D9351-8CE1-4995-8BFC-9D93CCE4F9EF}"/>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embedRegular r:id="rId6" w:fontKey="{012015C1-A2A6-4D13-8F97-A440BD604895}"/>
  </w:font>
  <w:font w:name="HiddenHorzOCR">
    <w:altName w:val="MS Gothic"/>
    <w:panose1 w:val="00000000000000000000"/>
    <w:charset w:val="80"/>
    <w:family w:val="auto"/>
    <w:pitch w:val="default"/>
    <w:sig w:usb0="00000000" w:usb1="00000000" w:usb2="00000010" w:usb3="00000000" w:csb0="00020000" w:csb1="00000000"/>
    <w:embedRegular r:id="rId7" w:fontKey="{51D74DCC-F58D-4A83-8DE3-53550CD1092A}"/>
  </w:font>
  <w:font w:name="MS Gothic">
    <w:panose1 w:val="020B0609070205080204"/>
    <w:charset w:val="80"/>
    <w:family w:val="modern"/>
    <w:pitch w:val="default"/>
    <w:sig w:usb0="E00002FF" w:usb1="6AC7FDFB" w:usb2="08000012" w:usb3="00000000" w:csb0="4002009F" w:csb1="DFD70000"/>
    <w:embedRegular r:id="rId8" w:fontKey="{A4C46C08-1F2E-4977-B32B-536161141530}"/>
  </w:font>
  <w:font w:name="UPNQIO+ËÎÌå">
    <w:altName w:val="萝莉体 第二版"/>
    <w:panose1 w:val="00000000000000000000"/>
    <w:charset w:val="01"/>
    <w:family w:val="auto"/>
    <w:pitch w:val="default"/>
    <w:sig w:usb0="00000000" w:usb1="00000000" w:usb2="00000006" w:usb3="00000000" w:csb0="00040001" w:csb1="00000000"/>
    <w:embedRegular r:id="rId9" w:fontKey="{2386C72A-C0CC-429B-B99E-A04955180EAD}"/>
  </w:font>
  <w:font w:name="仿宋">
    <w:panose1 w:val="02010609060101010101"/>
    <w:charset w:val="86"/>
    <w:family w:val="modern"/>
    <w:pitch w:val="default"/>
    <w:sig w:usb0="800002BF" w:usb1="38CF7CFA" w:usb2="00000016" w:usb3="00000000" w:csb0="00040001" w:csb1="00000000"/>
    <w:embedRegular r:id="rId10" w:fontKey="{BDF5C7A7-EAE7-4A9A-AA4D-1649AFDEE40C}"/>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萝莉体 第二版">
    <w:panose1 w:val="02000500000000000000"/>
    <w:charset w:val="86"/>
    <w:family w:val="auto"/>
    <w:pitch w:val="default"/>
    <w:sig w:usb0="910003FF" w:usb1="59FFFFFF" w:usb2="00000037" w:usb3="00000000" w:csb0="6017019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97B27">
    <w:pPr>
      <w:pStyle w:val="33"/>
      <w:rPr>
        <w:rStyle w:val="57"/>
      </w:rPr>
    </w:pPr>
    <w:r>
      <w:fldChar w:fldCharType="begin"/>
    </w:r>
    <w:r>
      <w:rPr>
        <w:rStyle w:val="57"/>
      </w:rPr>
      <w:instrText xml:space="preserve">PAGE  </w:instrText>
    </w:r>
    <w:r>
      <w:fldChar w:fldCharType="separate"/>
    </w:r>
    <w:r>
      <w:rPr>
        <w:rStyle w:val="57"/>
      </w:rPr>
      <w:t>1</w:t>
    </w:r>
    <w:r>
      <w:fldChar w:fldCharType="end"/>
    </w:r>
  </w:p>
  <w:p w14:paraId="39263D31">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598946"/>
    </w:sdtPr>
    <w:sdtContent>
      <w:p w14:paraId="1CAF579D">
        <w:pPr>
          <w:pStyle w:val="33"/>
          <w:jc w:val="center"/>
        </w:pPr>
        <w:r>
          <w:fldChar w:fldCharType="begin"/>
        </w:r>
        <w:r>
          <w:instrText xml:space="preserve">PAGE   \* MERGEFORMAT</w:instrText>
        </w:r>
        <w:r>
          <w:fldChar w:fldCharType="separate"/>
        </w:r>
        <w:r>
          <w:rPr>
            <w:lang w:val="zh-CN"/>
          </w:rPr>
          <w:t>2</w:t>
        </w:r>
        <w:r>
          <w:fldChar w:fldCharType="end"/>
        </w:r>
      </w:p>
    </w:sdtContent>
  </w:sdt>
  <w:p w14:paraId="0DC0DF54">
    <w:pPr>
      <w:pStyle w:val="33"/>
      <w:jc w:val="right"/>
    </w:pPr>
    <w:r>
      <w:drawing>
        <wp:inline distT="0" distB="0" distL="0" distR="0">
          <wp:extent cx="2143125" cy="197485"/>
          <wp:effectExtent l="0" t="0" r="0" b="5715"/>
          <wp:docPr id="1133110947" name="图片 1133110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110947" name="图片 11331109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43125" cy="19748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4939829"/>
    </w:sdtPr>
    <w:sdtContent>
      <w:p w14:paraId="222A9B15">
        <w:pPr>
          <w:pStyle w:val="33"/>
          <w:jc w:val="center"/>
        </w:pPr>
        <w:r>
          <w:fldChar w:fldCharType="begin"/>
        </w:r>
        <w:r>
          <w:instrText xml:space="preserve">PAGE   \* MERGEFORMAT</w:instrText>
        </w:r>
        <w:r>
          <w:fldChar w:fldCharType="separate"/>
        </w:r>
        <w:r>
          <w:rPr>
            <w:lang w:val="zh-CN"/>
          </w:rPr>
          <w:t>1</w:t>
        </w:r>
        <w:r>
          <w:fldChar w:fldCharType="end"/>
        </w:r>
      </w:p>
    </w:sdtContent>
  </w:sdt>
  <w:p w14:paraId="578C2B66">
    <w:pPr>
      <w:pStyle w:val="33"/>
    </w:pPr>
  </w:p>
  <w:p w14:paraId="3769DFCA"/>
  <w:p w14:paraId="73BB2C42"/>
  <w:p w14:paraId="6E9DE50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341592"/>
    </w:sdtPr>
    <w:sdtContent>
      <w:p w14:paraId="7172EE16">
        <w:pPr>
          <w:pStyle w:val="33"/>
          <w:jc w:val="center"/>
        </w:pPr>
        <w:r>
          <w:fldChar w:fldCharType="begin"/>
        </w:r>
        <w:r>
          <w:instrText xml:space="preserve">PAGE   \* MERGEFORMAT</w:instrText>
        </w:r>
        <w:r>
          <w:fldChar w:fldCharType="separate"/>
        </w:r>
        <w:r>
          <w:rPr>
            <w:lang w:val="zh-CN"/>
          </w:rPr>
          <w:t>1</w:t>
        </w:r>
        <w:r>
          <w:fldChar w:fldCharType="end"/>
        </w:r>
      </w:p>
    </w:sdtContent>
  </w:sdt>
  <w:p w14:paraId="6124AA5E">
    <w:pPr>
      <w:pStyle w:val="33"/>
    </w:pPr>
  </w:p>
  <w:p w14:paraId="56A8B309"/>
  <w:p w14:paraId="20E946C6"/>
  <w:p w14:paraId="304CDFF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4768E">
    <w:pPr>
      <w:pStyle w:val="34"/>
      <w:rPr>
        <w:rStyle w:val="57"/>
      </w:rPr>
    </w:pPr>
    <w:r>
      <w:fldChar w:fldCharType="begin"/>
    </w:r>
    <w:r>
      <w:rPr>
        <w:rStyle w:val="57"/>
      </w:rPr>
      <w:instrText xml:space="preserve">PAGE  </w:instrText>
    </w:r>
    <w:r>
      <w:fldChar w:fldCharType="separate"/>
    </w:r>
    <w:r>
      <w:rPr>
        <w:rStyle w:val="57"/>
      </w:rPr>
      <w:t>5</w:t>
    </w:r>
    <w:r>
      <w:fldChar w:fldCharType="end"/>
    </w:r>
  </w:p>
  <w:p w14:paraId="1BC509EB">
    <w:pPr>
      <w:pStyle w:val="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979B6">
    <w:pPr>
      <w:pStyle w:val="34"/>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F2CF4">
    <w:pPr>
      <w:pStyle w:val="34"/>
    </w:pPr>
    <w:r>
      <w:rPr>
        <w:rFonts w:hint="eastAsia"/>
      </w:rPr>
      <w:t>昆明市第二十四中学理化生实验室升级改造设备采购项目                                         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31768">
    <w:pPr>
      <w:pStyle w:val="34"/>
    </w:pPr>
    <w:r>
      <w:rPr>
        <w:rFonts w:hint="eastAsia"/>
      </w:rPr>
      <w:t xml:space="preserve">                    </w:t>
    </w:r>
    <w:r>
      <w:t xml:space="preserve">          </w:t>
    </w:r>
    <w:r>
      <w:rPr>
        <w:rFonts w:hint="eastAsia"/>
      </w:rPr>
      <w:t>竞争性投标文</w:t>
    </w:r>
  </w:p>
  <w:p w14:paraId="10C5C9B9"/>
  <w:p w14:paraId="0ED888FD"/>
  <w:p w14:paraId="240C100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E69F5">
    <w:pPr>
      <w:pStyle w:val="34"/>
    </w:pPr>
    <w:r>
      <w:rPr>
        <w:rFonts w:hint="eastAsia"/>
      </w:rPr>
      <w:t xml:space="preserve">                    </w:t>
    </w:r>
    <w:r>
      <w:t xml:space="preserve">          </w:t>
    </w:r>
    <w:r>
      <w:rPr>
        <w:rFonts w:hint="eastAsia"/>
      </w:rPr>
      <w:t>竞争性投标文</w:t>
    </w:r>
  </w:p>
  <w:p w14:paraId="1AB3C98D"/>
  <w:p w14:paraId="7E47EF20"/>
  <w:p w14:paraId="28AD94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7C3F8"/>
    <w:multiLevelType w:val="singleLevel"/>
    <w:tmpl w:val="CFE7C3F8"/>
    <w:lvl w:ilvl="0" w:tentative="0">
      <w:start w:val="1"/>
      <w:numFmt w:val="decimal"/>
      <w:suff w:val="nothing"/>
      <w:lvlText w:val="（%1）"/>
      <w:lvlJc w:val="left"/>
    </w:lvl>
  </w:abstractNum>
  <w:abstractNum w:abstractNumId="1">
    <w:nsid w:val="E1D88BE1"/>
    <w:multiLevelType w:val="singleLevel"/>
    <w:tmpl w:val="E1D88BE1"/>
    <w:lvl w:ilvl="0" w:tentative="0">
      <w:start w:val="3"/>
      <w:numFmt w:val="chineseCounting"/>
      <w:suff w:val="nothing"/>
      <w:lvlText w:val="（%1）"/>
      <w:lvlJc w:val="left"/>
      <w:rPr>
        <w:rFonts w:hint="eastAsia"/>
      </w:rPr>
    </w:lvl>
  </w:abstractNum>
  <w:abstractNum w:abstractNumId="2">
    <w:nsid w:val="FFEFC674"/>
    <w:multiLevelType w:val="singleLevel"/>
    <w:tmpl w:val="FFEFC674"/>
    <w:lvl w:ilvl="0" w:tentative="0">
      <w:start w:val="1"/>
      <w:numFmt w:val="decimal"/>
      <w:suff w:val="nothing"/>
      <w:lvlText w:val="（%1）"/>
      <w:lvlJc w:val="left"/>
    </w:lvl>
  </w:abstractNum>
  <w:abstractNum w:abstractNumId="3">
    <w:nsid w:val="5F7F52D8"/>
    <w:multiLevelType w:val="multilevel"/>
    <w:tmpl w:val="5F7F52D8"/>
    <w:lvl w:ilvl="0" w:tentative="0">
      <w:start w:val="1"/>
      <w:numFmt w:val="decimal"/>
      <w:lvlText w:val="（%1）"/>
      <w:lvlJc w:val="left"/>
      <w:pPr>
        <w:tabs>
          <w:tab w:val="left" w:pos="1252"/>
        </w:tabs>
        <w:ind w:left="1252" w:hanging="720"/>
      </w:pPr>
      <w:rPr>
        <w:rFonts w:hint="eastAsia"/>
      </w:rPr>
    </w:lvl>
    <w:lvl w:ilvl="1" w:tentative="0">
      <w:start w:val="1"/>
      <w:numFmt w:val="decimal"/>
      <w:lvlText w:val="（%2）"/>
      <w:lvlJc w:val="left"/>
      <w:pPr>
        <w:tabs>
          <w:tab w:val="left" w:pos="1672"/>
        </w:tabs>
        <w:ind w:left="1672" w:hanging="720"/>
      </w:pPr>
      <w:rPr>
        <w:rFonts w:hint="default"/>
      </w:rPr>
    </w:lvl>
    <w:lvl w:ilvl="2" w:tentative="0">
      <w:start w:val="4"/>
      <w:numFmt w:val="decimal"/>
      <w:lvlText w:val="(%3)"/>
      <w:lvlJc w:val="left"/>
      <w:pPr>
        <w:tabs>
          <w:tab w:val="left" w:pos="1732"/>
        </w:tabs>
        <w:ind w:left="1732" w:hanging="360"/>
      </w:pPr>
      <w:rPr>
        <w:rFonts w:hint="default"/>
      </w:rPr>
    </w:lvl>
    <w:lvl w:ilvl="3" w:tentative="0">
      <w:start w:val="1"/>
      <w:numFmt w:val="decimal"/>
      <w:lvlText w:val="%4."/>
      <w:lvlJc w:val="left"/>
      <w:pPr>
        <w:tabs>
          <w:tab w:val="left" w:pos="2212"/>
        </w:tabs>
        <w:ind w:left="2212" w:hanging="420"/>
      </w:pPr>
    </w:lvl>
    <w:lvl w:ilvl="4" w:tentative="0">
      <w:start w:val="1"/>
      <w:numFmt w:val="lowerLetter"/>
      <w:lvlText w:val="%5)"/>
      <w:lvlJc w:val="left"/>
      <w:pPr>
        <w:tabs>
          <w:tab w:val="left" w:pos="2632"/>
        </w:tabs>
        <w:ind w:left="2632" w:hanging="420"/>
      </w:pPr>
    </w:lvl>
    <w:lvl w:ilvl="5" w:tentative="0">
      <w:start w:val="1"/>
      <w:numFmt w:val="lowerRoman"/>
      <w:pStyle w:val="8"/>
      <w:lvlText w:val="%6."/>
      <w:lvlJc w:val="right"/>
      <w:pPr>
        <w:tabs>
          <w:tab w:val="left" w:pos="3052"/>
        </w:tabs>
        <w:ind w:left="3052" w:hanging="420"/>
      </w:pPr>
    </w:lvl>
    <w:lvl w:ilvl="6" w:tentative="0">
      <w:start w:val="1"/>
      <w:numFmt w:val="decimal"/>
      <w:lvlText w:val="%7."/>
      <w:lvlJc w:val="left"/>
      <w:pPr>
        <w:tabs>
          <w:tab w:val="left" w:pos="3472"/>
        </w:tabs>
        <w:ind w:left="3472" w:hanging="420"/>
      </w:pPr>
    </w:lvl>
    <w:lvl w:ilvl="7" w:tentative="0">
      <w:start w:val="1"/>
      <w:numFmt w:val="lowerLetter"/>
      <w:lvlText w:val="%8)"/>
      <w:lvlJc w:val="left"/>
      <w:pPr>
        <w:tabs>
          <w:tab w:val="left" w:pos="3892"/>
        </w:tabs>
        <w:ind w:left="3892" w:hanging="420"/>
      </w:pPr>
    </w:lvl>
    <w:lvl w:ilvl="8" w:tentative="0">
      <w:start w:val="1"/>
      <w:numFmt w:val="lowerRoman"/>
      <w:lvlText w:val="%9."/>
      <w:lvlJc w:val="right"/>
      <w:pPr>
        <w:tabs>
          <w:tab w:val="left" w:pos="4312"/>
        </w:tabs>
        <w:ind w:left="4312" w:hanging="420"/>
      </w:pPr>
    </w:lvl>
  </w:abstractNum>
  <w:abstractNum w:abstractNumId="4">
    <w:nsid w:val="7A0F6431"/>
    <w:multiLevelType w:val="singleLevel"/>
    <w:tmpl w:val="7A0F6431"/>
    <w:lvl w:ilvl="0" w:tentative="0">
      <w:start w:val="1"/>
      <w:numFmt w:val="decimal"/>
      <w:suff w:val="space"/>
      <w:lvlText w:val="%1."/>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5NmFlMWM0NGIyN2E0YzkzNDE0MmNiODM4NDE1MjgifQ=="/>
  </w:docVars>
  <w:rsids>
    <w:rsidRoot w:val="00172A27"/>
    <w:rsid w:val="00000131"/>
    <w:rsid w:val="000009E3"/>
    <w:rsid w:val="00000F1F"/>
    <w:rsid w:val="00001097"/>
    <w:rsid w:val="000013C9"/>
    <w:rsid w:val="00001776"/>
    <w:rsid w:val="00001C52"/>
    <w:rsid w:val="00001E10"/>
    <w:rsid w:val="000024C2"/>
    <w:rsid w:val="00002712"/>
    <w:rsid w:val="00002DA2"/>
    <w:rsid w:val="0000372C"/>
    <w:rsid w:val="00003B16"/>
    <w:rsid w:val="00004137"/>
    <w:rsid w:val="00004FB7"/>
    <w:rsid w:val="000050D0"/>
    <w:rsid w:val="00005A47"/>
    <w:rsid w:val="00005CE3"/>
    <w:rsid w:val="00006216"/>
    <w:rsid w:val="0000637E"/>
    <w:rsid w:val="000068DF"/>
    <w:rsid w:val="0000722C"/>
    <w:rsid w:val="000073DE"/>
    <w:rsid w:val="00010B6D"/>
    <w:rsid w:val="0001125C"/>
    <w:rsid w:val="0001182D"/>
    <w:rsid w:val="00011A49"/>
    <w:rsid w:val="00012432"/>
    <w:rsid w:val="00012F7D"/>
    <w:rsid w:val="00013B08"/>
    <w:rsid w:val="00013CC7"/>
    <w:rsid w:val="00014134"/>
    <w:rsid w:val="00014325"/>
    <w:rsid w:val="0001480F"/>
    <w:rsid w:val="000148B8"/>
    <w:rsid w:val="00015754"/>
    <w:rsid w:val="00015952"/>
    <w:rsid w:val="00016217"/>
    <w:rsid w:val="000162C1"/>
    <w:rsid w:val="000163C5"/>
    <w:rsid w:val="0001668B"/>
    <w:rsid w:val="00017D8E"/>
    <w:rsid w:val="00017E32"/>
    <w:rsid w:val="000209A2"/>
    <w:rsid w:val="00020F93"/>
    <w:rsid w:val="00021A04"/>
    <w:rsid w:val="00021C8F"/>
    <w:rsid w:val="00021EB3"/>
    <w:rsid w:val="00022267"/>
    <w:rsid w:val="00022D7F"/>
    <w:rsid w:val="00023396"/>
    <w:rsid w:val="00024596"/>
    <w:rsid w:val="00024AF0"/>
    <w:rsid w:val="000255E2"/>
    <w:rsid w:val="0002743D"/>
    <w:rsid w:val="00027888"/>
    <w:rsid w:val="000312D6"/>
    <w:rsid w:val="000315CC"/>
    <w:rsid w:val="0003181B"/>
    <w:rsid w:val="0003195A"/>
    <w:rsid w:val="00031B31"/>
    <w:rsid w:val="00031E69"/>
    <w:rsid w:val="000324BE"/>
    <w:rsid w:val="00032551"/>
    <w:rsid w:val="000326C5"/>
    <w:rsid w:val="000327A4"/>
    <w:rsid w:val="00032F1F"/>
    <w:rsid w:val="00032F48"/>
    <w:rsid w:val="00032FD7"/>
    <w:rsid w:val="000335F8"/>
    <w:rsid w:val="00033778"/>
    <w:rsid w:val="00033DB0"/>
    <w:rsid w:val="00034193"/>
    <w:rsid w:val="000342EC"/>
    <w:rsid w:val="00034993"/>
    <w:rsid w:val="00034F90"/>
    <w:rsid w:val="00035B03"/>
    <w:rsid w:val="000366AD"/>
    <w:rsid w:val="00037B5F"/>
    <w:rsid w:val="00037E86"/>
    <w:rsid w:val="00037F01"/>
    <w:rsid w:val="00040029"/>
    <w:rsid w:val="000410EC"/>
    <w:rsid w:val="00041BD7"/>
    <w:rsid w:val="00042033"/>
    <w:rsid w:val="000422EA"/>
    <w:rsid w:val="00042BFA"/>
    <w:rsid w:val="00042FE7"/>
    <w:rsid w:val="00043192"/>
    <w:rsid w:val="000439E0"/>
    <w:rsid w:val="00043A98"/>
    <w:rsid w:val="00043DF0"/>
    <w:rsid w:val="000443FF"/>
    <w:rsid w:val="00044454"/>
    <w:rsid w:val="0004451E"/>
    <w:rsid w:val="00044D5E"/>
    <w:rsid w:val="00044D95"/>
    <w:rsid w:val="00044E14"/>
    <w:rsid w:val="000456E2"/>
    <w:rsid w:val="000458BE"/>
    <w:rsid w:val="000459E1"/>
    <w:rsid w:val="00046183"/>
    <w:rsid w:val="000465D0"/>
    <w:rsid w:val="00046ACA"/>
    <w:rsid w:val="00046B9F"/>
    <w:rsid w:val="00046CF8"/>
    <w:rsid w:val="00047050"/>
    <w:rsid w:val="00047662"/>
    <w:rsid w:val="00047A01"/>
    <w:rsid w:val="00047B5C"/>
    <w:rsid w:val="00047CE9"/>
    <w:rsid w:val="00047CF2"/>
    <w:rsid w:val="00047D63"/>
    <w:rsid w:val="00047EC1"/>
    <w:rsid w:val="00047F10"/>
    <w:rsid w:val="00050075"/>
    <w:rsid w:val="000500A5"/>
    <w:rsid w:val="000506E6"/>
    <w:rsid w:val="0005105C"/>
    <w:rsid w:val="00051632"/>
    <w:rsid w:val="0005165C"/>
    <w:rsid w:val="00051D5D"/>
    <w:rsid w:val="00052174"/>
    <w:rsid w:val="00052D5C"/>
    <w:rsid w:val="00052E97"/>
    <w:rsid w:val="00053E3A"/>
    <w:rsid w:val="0005465A"/>
    <w:rsid w:val="00054C85"/>
    <w:rsid w:val="00054ED6"/>
    <w:rsid w:val="00054FB6"/>
    <w:rsid w:val="00055611"/>
    <w:rsid w:val="00056142"/>
    <w:rsid w:val="000561C5"/>
    <w:rsid w:val="0005620E"/>
    <w:rsid w:val="000569A3"/>
    <w:rsid w:val="00057159"/>
    <w:rsid w:val="00057452"/>
    <w:rsid w:val="0005771E"/>
    <w:rsid w:val="00057E67"/>
    <w:rsid w:val="00060030"/>
    <w:rsid w:val="0006006E"/>
    <w:rsid w:val="000608EC"/>
    <w:rsid w:val="00060998"/>
    <w:rsid w:val="00060ACE"/>
    <w:rsid w:val="000612E0"/>
    <w:rsid w:val="0006205D"/>
    <w:rsid w:val="000626F2"/>
    <w:rsid w:val="00062D92"/>
    <w:rsid w:val="00063227"/>
    <w:rsid w:val="0006369D"/>
    <w:rsid w:val="00063B01"/>
    <w:rsid w:val="00063E9A"/>
    <w:rsid w:val="0006569F"/>
    <w:rsid w:val="00065D68"/>
    <w:rsid w:val="000666D2"/>
    <w:rsid w:val="00066878"/>
    <w:rsid w:val="00066C5B"/>
    <w:rsid w:val="000674A0"/>
    <w:rsid w:val="00067E06"/>
    <w:rsid w:val="00067F32"/>
    <w:rsid w:val="000702D3"/>
    <w:rsid w:val="00070804"/>
    <w:rsid w:val="00071389"/>
    <w:rsid w:val="000724D8"/>
    <w:rsid w:val="0007259C"/>
    <w:rsid w:val="000726A0"/>
    <w:rsid w:val="000727D3"/>
    <w:rsid w:val="00072B79"/>
    <w:rsid w:val="00073AA7"/>
    <w:rsid w:val="00073C2B"/>
    <w:rsid w:val="00074E4C"/>
    <w:rsid w:val="0007531B"/>
    <w:rsid w:val="0007566E"/>
    <w:rsid w:val="000760BA"/>
    <w:rsid w:val="000760D3"/>
    <w:rsid w:val="00076BD2"/>
    <w:rsid w:val="00076BF5"/>
    <w:rsid w:val="00077313"/>
    <w:rsid w:val="00077394"/>
    <w:rsid w:val="00077C48"/>
    <w:rsid w:val="000806EF"/>
    <w:rsid w:val="000807E9"/>
    <w:rsid w:val="00080BF3"/>
    <w:rsid w:val="00080E0A"/>
    <w:rsid w:val="000815F3"/>
    <w:rsid w:val="00081C95"/>
    <w:rsid w:val="00081EEA"/>
    <w:rsid w:val="00082D88"/>
    <w:rsid w:val="00082E2A"/>
    <w:rsid w:val="00083562"/>
    <w:rsid w:val="00084C9E"/>
    <w:rsid w:val="00085403"/>
    <w:rsid w:val="00085585"/>
    <w:rsid w:val="00085E29"/>
    <w:rsid w:val="00085E52"/>
    <w:rsid w:val="00086121"/>
    <w:rsid w:val="00086177"/>
    <w:rsid w:val="000864A7"/>
    <w:rsid w:val="000869DE"/>
    <w:rsid w:val="00086F31"/>
    <w:rsid w:val="00090E22"/>
    <w:rsid w:val="0009101D"/>
    <w:rsid w:val="00091FD9"/>
    <w:rsid w:val="0009215D"/>
    <w:rsid w:val="0009219A"/>
    <w:rsid w:val="00092DF3"/>
    <w:rsid w:val="00093BA7"/>
    <w:rsid w:val="0009438B"/>
    <w:rsid w:val="0009494B"/>
    <w:rsid w:val="00094AEF"/>
    <w:rsid w:val="00095230"/>
    <w:rsid w:val="00095447"/>
    <w:rsid w:val="00095459"/>
    <w:rsid w:val="00095626"/>
    <w:rsid w:val="00095E46"/>
    <w:rsid w:val="0009611A"/>
    <w:rsid w:val="00097166"/>
    <w:rsid w:val="000975E8"/>
    <w:rsid w:val="00097DAE"/>
    <w:rsid w:val="000A01EE"/>
    <w:rsid w:val="000A084D"/>
    <w:rsid w:val="000A0EA6"/>
    <w:rsid w:val="000A1448"/>
    <w:rsid w:val="000A17C3"/>
    <w:rsid w:val="000A2DC3"/>
    <w:rsid w:val="000A2F7D"/>
    <w:rsid w:val="000A32FE"/>
    <w:rsid w:val="000A3518"/>
    <w:rsid w:val="000A392D"/>
    <w:rsid w:val="000A3A89"/>
    <w:rsid w:val="000A50B6"/>
    <w:rsid w:val="000A5BE6"/>
    <w:rsid w:val="000A6185"/>
    <w:rsid w:val="000A624A"/>
    <w:rsid w:val="000A646A"/>
    <w:rsid w:val="000A64B6"/>
    <w:rsid w:val="000A6836"/>
    <w:rsid w:val="000A68AF"/>
    <w:rsid w:val="000A6AFB"/>
    <w:rsid w:val="000A6D4F"/>
    <w:rsid w:val="000A728F"/>
    <w:rsid w:val="000A76A0"/>
    <w:rsid w:val="000A7729"/>
    <w:rsid w:val="000B0842"/>
    <w:rsid w:val="000B17F0"/>
    <w:rsid w:val="000B1A84"/>
    <w:rsid w:val="000B1BD6"/>
    <w:rsid w:val="000B1C20"/>
    <w:rsid w:val="000B1EC9"/>
    <w:rsid w:val="000B1FBB"/>
    <w:rsid w:val="000B2176"/>
    <w:rsid w:val="000B2DBB"/>
    <w:rsid w:val="000B3019"/>
    <w:rsid w:val="000B3547"/>
    <w:rsid w:val="000B3917"/>
    <w:rsid w:val="000B3C52"/>
    <w:rsid w:val="000B49F7"/>
    <w:rsid w:val="000B57B3"/>
    <w:rsid w:val="000B5D85"/>
    <w:rsid w:val="000B6466"/>
    <w:rsid w:val="000B65C8"/>
    <w:rsid w:val="000B6BFA"/>
    <w:rsid w:val="000B6FAA"/>
    <w:rsid w:val="000B709E"/>
    <w:rsid w:val="000B7313"/>
    <w:rsid w:val="000B7385"/>
    <w:rsid w:val="000B7995"/>
    <w:rsid w:val="000C059F"/>
    <w:rsid w:val="000C0638"/>
    <w:rsid w:val="000C08A8"/>
    <w:rsid w:val="000C1251"/>
    <w:rsid w:val="000C1446"/>
    <w:rsid w:val="000C148C"/>
    <w:rsid w:val="000C1544"/>
    <w:rsid w:val="000C2495"/>
    <w:rsid w:val="000C24B5"/>
    <w:rsid w:val="000C2913"/>
    <w:rsid w:val="000C36BE"/>
    <w:rsid w:val="000C3CD6"/>
    <w:rsid w:val="000C435B"/>
    <w:rsid w:val="000C47EF"/>
    <w:rsid w:val="000C489A"/>
    <w:rsid w:val="000C4B8A"/>
    <w:rsid w:val="000C588C"/>
    <w:rsid w:val="000C5FFD"/>
    <w:rsid w:val="000C78EB"/>
    <w:rsid w:val="000C799E"/>
    <w:rsid w:val="000D0732"/>
    <w:rsid w:val="000D0CCC"/>
    <w:rsid w:val="000D12D1"/>
    <w:rsid w:val="000D135A"/>
    <w:rsid w:val="000D157A"/>
    <w:rsid w:val="000D22A0"/>
    <w:rsid w:val="000D27EE"/>
    <w:rsid w:val="000D2BA8"/>
    <w:rsid w:val="000D2EA7"/>
    <w:rsid w:val="000D2FDE"/>
    <w:rsid w:val="000D33FE"/>
    <w:rsid w:val="000D3F97"/>
    <w:rsid w:val="000D4ACA"/>
    <w:rsid w:val="000D4EA7"/>
    <w:rsid w:val="000D5068"/>
    <w:rsid w:val="000D53C3"/>
    <w:rsid w:val="000D5463"/>
    <w:rsid w:val="000D5B01"/>
    <w:rsid w:val="000D74C9"/>
    <w:rsid w:val="000D75CE"/>
    <w:rsid w:val="000D792B"/>
    <w:rsid w:val="000E11E6"/>
    <w:rsid w:val="000E126F"/>
    <w:rsid w:val="000E1F83"/>
    <w:rsid w:val="000E23E9"/>
    <w:rsid w:val="000E2F47"/>
    <w:rsid w:val="000E2FE8"/>
    <w:rsid w:val="000E2FEB"/>
    <w:rsid w:val="000E37FC"/>
    <w:rsid w:val="000E3DD8"/>
    <w:rsid w:val="000E3E2F"/>
    <w:rsid w:val="000E42D6"/>
    <w:rsid w:val="000E5159"/>
    <w:rsid w:val="000E54AA"/>
    <w:rsid w:val="000E54FC"/>
    <w:rsid w:val="000E5532"/>
    <w:rsid w:val="000E6C86"/>
    <w:rsid w:val="000E6E6A"/>
    <w:rsid w:val="000E70E4"/>
    <w:rsid w:val="000E7374"/>
    <w:rsid w:val="000E7FCD"/>
    <w:rsid w:val="000F0A04"/>
    <w:rsid w:val="000F0E21"/>
    <w:rsid w:val="000F1049"/>
    <w:rsid w:val="000F1475"/>
    <w:rsid w:val="000F15AA"/>
    <w:rsid w:val="000F1B66"/>
    <w:rsid w:val="000F217B"/>
    <w:rsid w:val="000F2280"/>
    <w:rsid w:val="000F2510"/>
    <w:rsid w:val="000F2922"/>
    <w:rsid w:val="000F343B"/>
    <w:rsid w:val="000F3CBC"/>
    <w:rsid w:val="000F3E46"/>
    <w:rsid w:val="000F3F3A"/>
    <w:rsid w:val="000F436D"/>
    <w:rsid w:val="000F4F9F"/>
    <w:rsid w:val="000F534F"/>
    <w:rsid w:val="000F566E"/>
    <w:rsid w:val="000F63BE"/>
    <w:rsid w:val="000F6AE9"/>
    <w:rsid w:val="000F6E26"/>
    <w:rsid w:val="000F6F86"/>
    <w:rsid w:val="000F70B2"/>
    <w:rsid w:val="001005B6"/>
    <w:rsid w:val="0010087D"/>
    <w:rsid w:val="00100FEF"/>
    <w:rsid w:val="001018AA"/>
    <w:rsid w:val="00102F86"/>
    <w:rsid w:val="00103272"/>
    <w:rsid w:val="00103829"/>
    <w:rsid w:val="00103EB7"/>
    <w:rsid w:val="00103FCF"/>
    <w:rsid w:val="0010453D"/>
    <w:rsid w:val="001049F7"/>
    <w:rsid w:val="00105359"/>
    <w:rsid w:val="001054B3"/>
    <w:rsid w:val="0010595A"/>
    <w:rsid w:val="00105C73"/>
    <w:rsid w:val="00106039"/>
    <w:rsid w:val="0010658F"/>
    <w:rsid w:val="0010678B"/>
    <w:rsid w:val="00106C7B"/>
    <w:rsid w:val="00106E22"/>
    <w:rsid w:val="00107356"/>
    <w:rsid w:val="001105C9"/>
    <w:rsid w:val="001109FD"/>
    <w:rsid w:val="00110CD6"/>
    <w:rsid w:val="0011131F"/>
    <w:rsid w:val="00111686"/>
    <w:rsid w:val="001116CF"/>
    <w:rsid w:val="00111AF1"/>
    <w:rsid w:val="00111D22"/>
    <w:rsid w:val="00111F7F"/>
    <w:rsid w:val="001121FB"/>
    <w:rsid w:val="001125C5"/>
    <w:rsid w:val="00112AEC"/>
    <w:rsid w:val="00112C2F"/>
    <w:rsid w:val="00113982"/>
    <w:rsid w:val="00113BB4"/>
    <w:rsid w:val="00113FDE"/>
    <w:rsid w:val="00114504"/>
    <w:rsid w:val="00114DBF"/>
    <w:rsid w:val="001159CA"/>
    <w:rsid w:val="00115EDF"/>
    <w:rsid w:val="00115FD2"/>
    <w:rsid w:val="00116383"/>
    <w:rsid w:val="00116D2C"/>
    <w:rsid w:val="00120340"/>
    <w:rsid w:val="00120C35"/>
    <w:rsid w:val="00120D18"/>
    <w:rsid w:val="00120EA0"/>
    <w:rsid w:val="001219A8"/>
    <w:rsid w:val="00121BEE"/>
    <w:rsid w:val="00122113"/>
    <w:rsid w:val="00122A66"/>
    <w:rsid w:val="00122FBE"/>
    <w:rsid w:val="0012305C"/>
    <w:rsid w:val="0012377F"/>
    <w:rsid w:val="00124B81"/>
    <w:rsid w:val="001251C6"/>
    <w:rsid w:val="00125B5F"/>
    <w:rsid w:val="001264FA"/>
    <w:rsid w:val="00127F11"/>
    <w:rsid w:val="00130179"/>
    <w:rsid w:val="00130229"/>
    <w:rsid w:val="00130B02"/>
    <w:rsid w:val="001316C3"/>
    <w:rsid w:val="00131966"/>
    <w:rsid w:val="00131D73"/>
    <w:rsid w:val="00131DF0"/>
    <w:rsid w:val="001321C9"/>
    <w:rsid w:val="001326ED"/>
    <w:rsid w:val="00133361"/>
    <w:rsid w:val="0013362C"/>
    <w:rsid w:val="00133D93"/>
    <w:rsid w:val="00134E96"/>
    <w:rsid w:val="001358AE"/>
    <w:rsid w:val="00135AB5"/>
    <w:rsid w:val="00135E28"/>
    <w:rsid w:val="00136775"/>
    <w:rsid w:val="00136E3E"/>
    <w:rsid w:val="00136EB4"/>
    <w:rsid w:val="0013741B"/>
    <w:rsid w:val="00137877"/>
    <w:rsid w:val="00137CC8"/>
    <w:rsid w:val="00137CFF"/>
    <w:rsid w:val="00137ED7"/>
    <w:rsid w:val="00137F20"/>
    <w:rsid w:val="00141107"/>
    <w:rsid w:val="0014190E"/>
    <w:rsid w:val="00142421"/>
    <w:rsid w:val="001426DC"/>
    <w:rsid w:val="001426F0"/>
    <w:rsid w:val="001428A7"/>
    <w:rsid w:val="00142B4E"/>
    <w:rsid w:val="00142E0D"/>
    <w:rsid w:val="0014359C"/>
    <w:rsid w:val="00143CBE"/>
    <w:rsid w:val="0014400B"/>
    <w:rsid w:val="00144529"/>
    <w:rsid w:val="00144719"/>
    <w:rsid w:val="0014500B"/>
    <w:rsid w:val="00145157"/>
    <w:rsid w:val="00145269"/>
    <w:rsid w:val="001453C7"/>
    <w:rsid w:val="00146463"/>
    <w:rsid w:val="001464A1"/>
    <w:rsid w:val="00146A03"/>
    <w:rsid w:val="001471E8"/>
    <w:rsid w:val="001474CB"/>
    <w:rsid w:val="00147571"/>
    <w:rsid w:val="00147772"/>
    <w:rsid w:val="001478F5"/>
    <w:rsid w:val="00147976"/>
    <w:rsid w:val="00147CE8"/>
    <w:rsid w:val="00147F7C"/>
    <w:rsid w:val="00150A48"/>
    <w:rsid w:val="0015186B"/>
    <w:rsid w:val="0015224C"/>
    <w:rsid w:val="00153BA9"/>
    <w:rsid w:val="001542B6"/>
    <w:rsid w:val="00154565"/>
    <w:rsid w:val="001547F2"/>
    <w:rsid w:val="001555F2"/>
    <w:rsid w:val="001557F0"/>
    <w:rsid w:val="00155896"/>
    <w:rsid w:val="001559F6"/>
    <w:rsid w:val="00155C09"/>
    <w:rsid w:val="00156418"/>
    <w:rsid w:val="001567AE"/>
    <w:rsid w:val="00156C36"/>
    <w:rsid w:val="00156CAE"/>
    <w:rsid w:val="00157B69"/>
    <w:rsid w:val="00157D8C"/>
    <w:rsid w:val="00160100"/>
    <w:rsid w:val="001603E9"/>
    <w:rsid w:val="0016121F"/>
    <w:rsid w:val="0016136B"/>
    <w:rsid w:val="00161DD5"/>
    <w:rsid w:val="00161E5E"/>
    <w:rsid w:val="001620E2"/>
    <w:rsid w:val="00162EEF"/>
    <w:rsid w:val="00163501"/>
    <w:rsid w:val="00163C86"/>
    <w:rsid w:val="00164605"/>
    <w:rsid w:val="00164A80"/>
    <w:rsid w:val="00165AA1"/>
    <w:rsid w:val="001661F2"/>
    <w:rsid w:val="00166496"/>
    <w:rsid w:val="001665D3"/>
    <w:rsid w:val="001665F0"/>
    <w:rsid w:val="00166E96"/>
    <w:rsid w:val="00166F64"/>
    <w:rsid w:val="0017051E"/>
    <w:rsid w:val="00170999"/>
    <w:rsid w:val="00171275"/>
    <w:rsid w:val="0017206B"/>
    <w:rsid w:val="00172104"/>
    <w:rsid w:val="00172176"/>
    <w:rsid w:val="001721B7"/>
    <w:rsid w:val="001723C8"/>
    <w:rsid w:val="00172A27"/>
    <w:rsid w:val="00172E1D"/>
    <w:rsid w:val="001730EA"/>
    <w:rsid w:val="001736A9"/>
    <w:rsid w:val="00173F7C"/>
    <w:rsid w:val="00173FFB"/>
    <w:rsid w:val="0017427D"/>
    <w:rsid w:val="00174673"/>
    <w:rsid w:val="00174841"/>
    <w:rsid w:val="0017491B"/>
    <w:rsid w:val="00174A55"/>
    <w:rsid w:val="00174AAA"/>
    <w:rsid w:val="001754D0"/>
    <w:rsid w:val="00175785"/>
    <w:rsid w:val="001758C9"/>
    <w:rsid w:val="00175AF3"/>
    <w:rsid w:val="00176154"/>
    <w:rsid w:val="00177242"/>
    <w:rsid w:val="00180582"/>
    <w:rsid w:val="00180F3D"/>
    <w:rsid w:val="001812B2"/>
    <w:rsid w:val="00181553"/>
    <w:rsid w:val="00181943"/>
    <w:rsid w:val="00181E60"/>
    <w:rsid w:val="001820FF"/>
    <w:rsid w:val="00182C11"/>
    <w:rsid w:val="00182C2B"/>
    <w:rsid w:val="00183093"/>
    <w:rsid w:val="001830E3"/>
    <w:rsid w:val="0018358C"/>
    <w:rsid w:val="0018361D"/>
    <w:rsid w:val="00183760"/>
    <w:rsid w:val="001842F1"/>
    <w:rsid w:val="00184581"/>
    <w:rsid w:val="001846D0"/>
    <w:rsid w:val="00184C4A"/>
    <w:rsid w:val="00184E04"/>
    <w:rsid w:val="00184F30"/>
    <w:rsid w:val="00185648"/>
    <w:rsid w:val="001861C3"/>
    <w:rsid w:val="0018627C"/>
    <w:rsid w:val="00186A9C"/>
    <w:rsid w:val="00186C2C"/>
    <w:rsid w:val="00186C65"/>
    <w:rsid w:val="0018770F"/>
    <w:rsid w:val="001877DF"/>
    <w:rsid w:val="00187884"/>
    <w:rsid w:val="00187E86"/>
    <w:rsid w:val="00187E95"/>
    <w:rsid w:val="00190144"/>
    <w:rsid w:val="00190427"/>
    <w:rsid w:val="00190789"/>
    <w:rsid w:val="00190C30"/>
    <w:rsid w:val="00190DED"/>
    <w:rsid w:val="00192A9B"/>
    <w:rsid w:val="00192C4D"/>
    <w:rsid w:val="00192E12"/>
    <w:rsid w:val="00192EE4"/>
    <w:rsid w:val="00193179"/>
    <w:rsid w:val="001932D2"/>
    <w:rsid w:val="00193675"/>
    <w:rsid w:val="0019410C"/>
    <w:rsid w:val="001941D5"/>
    <w:rsid w:val="001942A6"/>
    <w:rsid w:val="0019479E"/>
    <w:rsid w:val="00194992"/>
    <w:rsid w:val="0019525E"/>
    <w:rsid w:val="001952BB"/>
    <w:rsid w:val="00195827"/>
    <w:rsid w:val="00195A38"/>
    <w:rsid w:val="0019610C"/>
    <w:rsid w:val="00196673"/>
    <w:rsid w:val="00197182"/>
    <w:rsid w:val="001971B3"/>
    <w:rsid w:val="001A0149"/>
    <w:rsid w:val="001A0B22"/>
    <w:rsid w:val="001A0F28"/>
    <w:rsid w:val="001A1197"/>
    <w:rsid w:val="001A1547"/>
    <w:rsid w:val="001A1840"/>
    <w:rsid w:val="001A2258"/>
    <w:rsid w:val="001A3AB0"/>
    <w:rsid w:val="001A3D15"/>
    <w:rsid w:val="001A4620"/>
    <w:rsid w:val="001A4712"/>
    <w:rsid w:val="001A5DCA"/>
    <w:rsid w:val="001A60EC"/>
    <w:rsid w:val="001A6BB6"/>
    <w:rsid w:val="001A6C8A"/>
    <w:rsid w:val="001A736A"/>
    <w:rsid w:val="001A7761"/>
    <w:rsid w:val="001A7FE7"/>
    <w:rsid w:val="001B11A0"/>
    <w:rsid w:val="001B1BFD"/>
    <w:rsid w:val="001B1C2E"/>
    <w:rsid w:val="001B1CF2"/>
    <w:rsid w:val="001B1ECA"/>
    <w:rsid w:val="001B2333"/>
    <w:rsid w:val="001B28AD"/>
    <w:rsid w:val="001B291F"/>
    <w:rsid w:val="001B297F"/>
    <w:rsid w:val="001B2D60"/>
    <w:rsid w:val="001B2EA4"/>
    <w:rsid w:val="001B313F"/>
    <w:rsid w:val="001B31B9"/>
    <w:rsid w:val="001B31D2"/>
    <w:rsid w:val="001B47C1"/>
    <w:rsid w:val="001B4982"/>
    <w:rsid w:val="001B4DE7"/>
    <w:rsid w:val="001B4E5D"/>
    <w:rsid w:val="001B4F8B"/>
    <w:rsid w:val="001B5AB2"/>
    <w:rsid w:val="001B602B"/>
    <w:rsid w:val="001B66DF"/>
    <w:rsid w:val="001B6C3A"/>
    <w:rsid w:val="001B6E6A"/>
    <w:rsid w:val="001B777E"/>
    <w:rsid w:val="001C0E77"/>
    <w:rsid w:val="001C0EE8"/>
    <w:rsid w:val="001C156A"/>
    <w:rsid w:val="001C1868"/>
    <w:rsid w:val="001C18E8"/>
    <w:rsid w:val="001C202E"/>
    <w:rsid w:val="001C2E16"/>
    <w:rsid w:val="001C2F68"/>
    <w:rsid w:val="001C3126"/>
    <w:rsid w:val="001C3273"/>
    <w:rsid w:val="001C4921"/>
    <w:rsid w:val="001C51DF"/>
    <w:rsid w:val="001C535C"/>
    <w:rsid w:val="001C5763"/>
    <w:rsid w:val="001C5954"/>
    <w:rsid w:val="001C5A3E"/>
    <w:rsid w:val="001C5D4E"/>
    <w:rsid w:val="001C678A"/>
    <w:rsid w:val="001C69C4"/>
    <w:rsid w:val="001C7459"/>
    <w:rsid w:val="001C769F"/>
    <w:rsid w:val="001C7DBD"/>
    <w:rsid w:val="001D0410"/>
    <w:rsid w:val="001D04A9"/>
    <w:rsid w:val="001D0AAE"/>
    <w:rsid w:val="001D0B56"/>
    <w:rsid w:val="001D0D09"/>
    <w:rsid w:val="001D0F67"/>
    <w:rsid w:val="001D137C"/>
    <w:rsid w:val="001D1978"/>
    <w:rsid w:val="001D1D13"/>
    <w:rsid w:val="001D20E1"/>
    <w:rsid w:val="001D213C"/>
    <w:rsid w:val="001D27B2"/>
    <w:rsid w:val="001D3591"/>
    <w:rsid w:val="001D4844"/>
    <w:rsid w:val="001D519E"/>
    <w:rsid w:val="001D5FBE"/>
    <w:rsid w:val="001D60F7"/>
    <w:rsid w:val="001D627D"/>
    <w:rsid w:val="001D6581"/>
    <w:rsid w:val="001D7093"/>
    <w:rsid w:val="001D7A79"/>
    <w:rsid w:val="001D7D57"/>
    <w:rsid w:val="001E0353"/>
    <w:rsid w:val="001E0377"/>
    <w:rsid w:val="001E07AF"/>
    <w:rsid w:val="001E0D98"/>
    <w:rsid w:val="001E0F8A"/>
    <w:rsid w:val="001E1575"/>
    <w:rsid w:val="001E1585"/>
    <w:rsid w:val="001E1F36"/>
    <w:rsid w:val="001E2157"/>
    <w:rsid w:val="001E2631"/>
    <w:rsid w:val="001E292F"/>
    <w:rsid w:val="001E316B"/>
    <w:rsid w:val="001E36F1"/>
    <w:rsid w:val="001E39C5"/>
    <w:rsid w:val="001E4602"/>
    <w:rsid w:val="001E49E0"/>
    <w:rsid w:val="001E559F"/>
    <w:rsid w:val="001E5836"/>
    <w:rsid w:val="001E5D25"/>
    <w:rsid w:val="001E5EAA"/>
    <w:rsid w:val="001E6120"/>
    <w:rsid w:val="001E683A"/>
    <w:rsid w:val="001E6F6E"/>
    <w:rsid w:val="001E6FF9"/>
    <w:rsid w:val="001E7524"/>
    <w:rsid w:val="001E7BF9"/>
    <w:rsid w:val="001E7CE9"/>
    <w:rsid w:val="001F0893"/>
    <w:rsid w:val="001F0DF4"/>
    <w:rsid w:val="001F14B1"/>
    <w:rsid w:val="001F14E6"/>
    <w:rsid w:val="001F174B"/>
    <w:rsid w:val="001F1BAC"/>
    <w:rsid w:val="001F1CE6"/>
    <w:rsid w:val="001F2A6E"/>
    <w:rsid w:val="001F2B03"/>
    <w:rsid w:val="001F2CE7"/>
    <w:rsid w:val="001F2D1E"/>
    <w:rsid w:val="001F3D4A"/>
    <w:rsid w:val="001F4398"/>
    <w:rsid w:val="001F55C1"/>
    <w:rsid w:val="001F5891"/>
    <w:rsid w:val="001F6C35"/>
    <w:rsid w:val="001F6EC8"/>
    <w:rsid w:val="001F6ECD"/>
    <w:rsid w:val="001F743B"/>
    <w:rsid w:val="001F769E"/>
    <w:rsid w:val="002002C0"/>
    <w:rsid w:val="002006AA"/>
    <w:rsid w:val="00200EC7"/>
    <w:rsid w:val="002012BB"/>
    <w:rsid w:val="00201757"/>
    <w:rsid w:val="00201DD5"/>
    <w:rsid w:val="0020386B"/>
    <w:rsid w:val="00204366"/>
    <w:rsid w:val="00204912"/>
    <w:rsid w:val="00205070"/>
    <w:rsid w:val="002053D8"/>
    <w:rsid w:val="00205BAD"/>
    <w:rsid w:val="00205C13"/>
    <w:rsid w:val="00205CD2"/>
    <w:rsid w:val="00206D0A"/>
    <w:rsid w:val="0020709F"/>
    <w:rsid w:val="002073FE"/>
    <w:rsid w:val="002078DF"/>
    <w:rsid w:val="00210C0D"/>
    <w:rsid w:val="00210FF3"/>
    <w:rsid w:val="002110A2"/>
    <w:rsid w:val="0021173A"/>
    <w:rsid w:val="00211D59"/>
    <w:rsid w:val="0021207B"/>
    <w:rsid w:val="002121A4"/>
    <w:rsid w:val="00212800"/>
    <w:rsid w:val="002130AF"/>
    <w:rsid w:val="00213151"/>
    <w:rsid w:val="002134C9"/>
    <w:rsid w:val="00213570"/>
    <w:rsid w:val="00213784"/>
    <w:rsid w:val="00213FF4"/>
    <w:rsid w:val="0021452B"/>
    <w:rsid w:val="0021457F"/>
    <w:rsid w:val="002154EB"/>
    <w:rsid w:val="002156F3"/>
    <w:rsid w:val="002157AA"/>
    <w:rsid w:val="002157D0"/>
    <w:rsid w:val="002158C8"/>
    <w:rsid w:val="00215AD2"/>
    <w:rsid w:val="0021627A"/>
    <w:rsid w:val="00216601"/>
    <w:rsid w:val="00217DDD"/>
    <w:rsid w:val="002200B1"/>
    <w:rsid w:val="00221EDB"/>
    <w:rsid w:val="00222F9F"/>
    <w:rsid w:val="00223B13"/>
    <w:rsid w:val="002242D6"/>
    <w:rsid w:val="00224699"/>
    <w:rsid w:val="00224E3A"/>
    <w:rsid w:val="00225604"/>
    <w:rsid w:val="002256CF"/>
    <w:rsid w:val="0022570A"/>
    <w:rsid w:val="00225804"/>
    <w:rsid w:val="00225BF8"/>
    <w:rsid w:val="0022638A"/>
    <w:rsid w:val="00226831"/>
    <w:rsid w:val="00226E27"/>
    <w:rsid w:val="00226F5C"/>
    <w:rsid w:val="002273DA"/>
    <w:rsid w:val="0022763B"/>
    <w:rsid w:val="00227C39"/>
    <w:rsid w:val="00227F76"/>
    <w:rsid w:val="002305D4"/>
    <w:rsid w:val="002308D4"/>
    <w:rsid w:val="0023132E"/>
    <w:rsid w:val="0023165D"/>
    <w:rsid w:val="00231C49"/>
    <w:rsid w:val="00231DD8"/>
    <w:rsid w:val="00232097"/>
    <w:rsid w:val="00232886"/>
    <w:rsid w:val="00232901"/>
    <w:rsid w:val="002330BE"/>
    <w:rsid w:val="002338D5"/>
    <w:rsid w:val="00233B93"/>
    <w:rsid w:val="00233E12"/>
    <w:rsid w:val="002345DE"/>
    <w:rsid w:val="002347F5"/>
    <w:rsid w:val="00234859"/>
    <w:rsid w:val="00234C81"/>
    <w:rsid w:val="0023507D"/>
    <w:rsid w:val="0023533C"/>
    <w:rsid w:val="002359C6"/>
    <w:rsid w:val="002367D2"/>
    <w:rsid w:val="00236C56"/>
    <w:rsid w:val="0023715A"/>
    <w:rsid w:val="00237CAE"/>
    <w:rsid w:val="00237E0E"/>
    <w:rsid w:val="00237E50"/>
    <w:rsid w:val="00240A2C"/>
    <w:rsid w:val="002410BD"/>
    <w:rsid w:val="002411F6"/>
    <w:rsid w:val="0024121F"/>
    <w:rsid w:val="0024184A"/>
    <w:rsid w:val="00241854"/>
    <w:rsid w:val="0024282D"/>
    <w:rsid w:val="00242D3D"/>
    <w:rsid w:val="00242EBE"/>
    <w:rsid w:val="00244302"/>
    <w:rsid w:val="00244446"/>
    <w:rsid w:val="00244A4A"/>
    <w:rsid w:val="00244C9D"/>
    <w:rsid w:val="00245779"/>
    <w:rsid w:val="002458A9"/>
    <w:rsid w:val="00246471"/>
    <w:rsid w:val="002465E9"/>
    <w:rsid w:val="002465F8"/>
    <w:rsid w:val="002466BD"/>
    <w:rsid w:val="00246704"/>
    <w:rsid w:val="002469B5"/>
    <w:rsid w:val="002469F5"/>
    <w:rsid w:val="00246FC9"/>
    <w:rsid w:val="0024728B"/>
    <w:rsid w:val="002476FD"/>
    <w:rsid w:val="00247C34"/>
    <w:rsid w:val="002504CA"/>
    <w:rsid w:val="002505EF"/>
    <w:rsid w:val="002512F3"/>
    <w:rsid w:val="00251EBF"/>
    <w:rsid w:val="002528C9"/>
    <w:rsid w:val="00252E2A"/>
    <w:rsid w:val="00253C71"/>
    <w:rsid w:val="00253E5B"/>
    <w:rsid w:val="0025432A"/>
    <w:rsid w:val="00254A2A"/>
    <w:rsid w:val="00254B3F"/>
    <w:rsid w:val="002553F2"/>
    <w:rsid w:val="00255510"/>
    <w:rsid w:val="002558AB"/>
    <w:rsid w:val="002560D1"/>
    <w:rsid w:val="002567BC"/>
    <w:rsid w:val="0025759F"/>
    <w:rsid w:val="00257672"/>
    <w:rsid w:val="00257816"/>
    <w:rsid w:val="002600EB"/>
    <w:rsid w:val="00260CD8"/>
    <w:rsid w:val="0026105B"/>
    <w:rsid w:val="00261A97"/>
    <w:rsid w:val="00262413"/>
    <w:rsid w:val="002632D9"/>
    <w:rsid w:val="002638E7"/>
    <w:rsid w:val="0026397C"/>
    <w:rsid w:val="00263AEF"/>
    <w:rsid w:val="002642AF"/>
    <w:rsid w:val="00264932"/>
    <w:rsid w:val="00264EF5"/>
    <w:rsid w:val="0026642F"/>
    <w:rsid w:val="00266431"/>
    <w:rsid w:val="00266E6E"/>
    <w:rsid w:val="00267072"/>
    <w:rsid w:val="00270585"/>
    <w:rsid w:val="00270778"/>
    <w:rsid w:val="00270A40"/>
    <w:rsid w:val="00271151"/>
    <w:rsid w:val="0027192E"/>
    <w:rsid w:val="0027248C"/>
    <w:rsid w:val="002727FF"/>
    <w:rsid w:val="00273005"/>
    <w:rsid w:val="002733B5"/>
    <w:rsid w:val="00273633"/>
    <w:rsid w:val="00273EFE"/>
    <w:rsid w:val="00274582"/>
    <w:rsid w:val="0027472C"/>
    <w:rsid w:val="00275686"/>
    <w:rsid w:val="00276160"/>
    <w:rsid w:val="00276A23"/>
    <w:rsid w:val="00276A35"/>
    <w:rsid w:val="002770B3"/>
    <w:rsid w:val="00277165"/>
    <w:rsid w:val="002771C1"/>
    <w:rsid w:val="00277431"/>
    <w:rsid w:val="0027773F"/>
    <w:rsid w:val="002777F4"/>
    <w:rsid w:val="00277D66"/>
    <w:rsid w:val="00280017"/>
    <w:rsid w:val="00280422"/>
    <w:rsid w:val="002806F3"/>
    <w:rsid w:val="002807D1"/>
    <w:rsid w:val="002808E9"/>
    <w:rsid w:val="00280A7B"/>
    <w:rsid w:val="00280B99"/>
    <w:rsid w:val="00280EC0"/>
    <w:rsid w:val="002810A0"/>
    <w:rsid w:val="00281515"/>
    <w:rsid w:val="00281C3C"/>
    <w:rsid w:val="00281F7E"/>
    <w:rsid w:val="002822C2"/>
    <w:rsid w:val="00282366"/>
    <w:rsid w:val="00282392"/>
    <w:rsid w:val="0028246D"/>
    <w:rsid w:val="002827D0"/>
    <w:rsid w:val="0028294B"/>
    <w:rsid w:val="00282D86"/>
    <w:rsid w:val="002833CD"/>
    <w:rsid w:val="00283499"/>
    <w:rsid w:val="00283ACC"/>
    <w:rsid w:val="0028482A"/>
    <w:rsid w:val="002872CD"/>
    <w:rsid w:val="0028742E"/>
    <w:rsid w:val="00287563"/>
    <w:rsid w:val="002878C0"/>
    <w:rsid w:val="002909E4"/>
    <w:rsid w:val="00291F8D"/>
    <w:rsid w:val="0029244E"/>
    <w:rsid w:val="00292AB7"/>
    <w:rsid w:val="00294473"/>
    <w:rsid w:val="002963BE"/>
    <w:rsid w:val="00296535"/>
    <w:rsid w:val="0029691B"/>
    <w:rsid w:val="002973EE"/>
    <w:rsid w:val="00297414"/>
    <w:rsid w:val="002974B2"/>
    <w:rsid w:val="00297973"/>
    <w:rsid w:val="002A00E0"/>
    <w:rsid w:val="002A00E4"/>
    <w:rsid w:val="002A132B"/>
    <w:rsid w:val="002A1714"/>
    <w:rsid w:val="002A1FCC"/>
    <w:rsid w:val="002A2021"/>
    <w:rsid w:val="002A20A2"/>
    <w:rsid w:val="002A2113"/>
    <w:rsid w:val="002A21B9"/>
    <w:rsid w:val="002A2228"/>
    <w:rsid w:val="002A2D46"/>
    <w:rsid w:val="002A2FB8"/>
    <w:rsid w:val="002A3227"/>
    <w:rsid w:val="002A322C"/>
    <w:rsid w:val="002A3A34"/>
    <w:rsid w:val="002A3AB1"/>
    <w:rsid w:val="002A3D1A"/>
    <w:rsid w:val="002A4195"/>
    <w:rsid w:val="002A448F"/>
    <w:rsid w:val="002A4FB2"/>
    <w:rsid w:val="002A5932"/>
    <w:rsid w:val="002A5B83"/>
    <w:rsid w:val="002A5E22"/>
    <w:rsid w:val="002A7057"/>
    <w:rsid w:val="002A72D6"/>
    <w:rsid w:val="002A7361"/>
    <w:rsid w:val="002A76AC"/>
    <w:rsid w:val="002B00AA"/>
    <w:rsid w:val="002B0737"/>
    <w:rsid w:val="002B119F"/>
    <w:rsid w:val="002B1653"/>
    <w:rsid w:val="002B1B82"/>
    <w:rsid w:val="002B1BE9"/>
    <w:rsid w:val="002B2034"/>
    <w:rsid w:val="002B2094"/>
    <w:rsid w:val="002B24F2"/>
    <w:rsid w:val="002B2A09"/>
    <w:rsid w:val="002B2F40"/>
    <w:rsid w:val="002B39F9"/>
    <w:rsid w:val="002B4529"/>
    <w:rsid w:val="002B45B8"/>
    <w:rsid w:val="002B4B07"/>
    <w:rsid w:val="002B530F"/>
    <w:rsid w:val="002B5463"/>
    <w:rsid w:val="002B5BB6"/>
    <w:rsid w:val="002B640A"/>
    <w:rsid w:val="002B670C"/>
    <w:rsid w:val="002B691F"/>
    <w:rsid w:val="002B7AC0"/>
    <w:rsid w:val="002B7D11"/>
    <w:rsid w:val="002C0033"/>
    <w:rsid w:val="002C055D"/>
    <w:rsid w:val="002C0590"/>
    <w:rsid w:val="002C0AED"/>
    <w:rsid w:val="002C1683"/>
    <w:rsid w:val="002C16C8"/>
    <w:rsid w:val="002C1EEE"/>
    <w:rsid w:val="002C2116"/>
    <w:rsid w:val="002C238B"/>
    <w:rsid w:val="002C27EC"/>
    <w:rsid w:val="002C2A6E"/>
    <w:rsid w:val="002C2EA8"/>
    <w:rsid w:val="002C3359"/>
    <w:rsid w:val="002C34EE"/>
    <w:rsid w:val="002C3639"/>
    <w:rsid w:val="002C3911"/>
    <w:rsid w:val="002C395E"/>
    <w:rsid w:val="002C39CA"/>
    <w:rsid w:val="002C44DD"/>
    <w:rsid w:val="002C4536"/>
    <w:rsid w:val="002C4F96"/>
    <w:rsid w:val="002C507C"/>
    <w:rsid w:val="002C5441"/>
    <w:rsid w:val="002C5DA0"/>
    <w:rsid w:val="002C5E58"/>
    <w:rsid w:val="002C6ACA"/>
    <w:rsid w:val="002C6EE9"/>
    <w:rsid w:val="002C7D17"/>
    <w:rsid w:val="002D0129"/>
    <w:rsid w:val="002D01A2"/>
    <w:rsid w:val="002D041A"/>
    <w:rsid w:val="002D0534"/>
    <w:rsid w:val="002D0947"/>
    <w:rsid w:val="002D19E2"/>
    <w:rsid w:val="002D2083"/>
    <w:rsid w:val="002D2AD4"/>
    <w:rsid w:val="002D2B36"/>
    <w:rsid w:val="002D2D57"/>
    <w:rsid w:val="002D30ED"/>
    <w:rsid w:val="002D3164"/>
    <w:rsid w:val="002D3924"/>
    <w:rsid w:val="002D4115"/>
    <w:rsid w:val="002D4B17"/>
    <w:rsid w:val="002D4C82"/>
    <w:rsid w:val="002D4FD1"/>
    <w:rsid w:val="002D567B"/>
    <w:rsid w:val="002D5E45"/>
    <w:rsid w:val="002D60C3"/>
    <w:rsid w:val="002D613F"/>
    <w:rsid w:val="002D6B89"/>
    <w:rsid w:val="002D74F2"/>
    <w:rsid w:val="002D771E"/>
    <w:rsid w:val="002D773E"/>
    <w:rsid w:val="002E025F"/>
    <w:rsid w:val="002E0C34"/>
    <w:rsid w:val="002E1196"/>
    <w:rsid w:val="002E12D3"/>
    <w:rsid w:val="002E13E8"/>
    <w:rsid w:val="002E1894"/>
    <w:rsid w:val="002E1960"/>
    <w:rsid w:val="002E1C26"/>
    <w:rsid w:val="002E269A"/>
    <w:rsid w:val="002E2D90"/>
    <w:rsid w:val="002E2DEC"/>
    <w:rsid w:val="002E3B20"/>
    <w:rsid w:val="002E3B6D"/>
    <w:rsid w:val="002E63A1"/>
    <w:rsid w:val="002E6B87"/>
    <w:rsid w:val="002E6D54"/>
    <w:rsid w:val="002E7061"/>
    <w:rsid w:val="002E7245"/>
    <w:rsid w:val="002E79EB"/>
    <w:rsid w:val="002F0930"/>
    <w:rsid w:val="002F0C66"/>
    <w:rsid w:val="002F0D90"/>
    <w:rsid w:val="002F1289"/>
    <w:rsid w:val="002F1492"/>
    <w:rsid w:val="002F1775"/>
    <w:rsid w:val="002F17C1"/>
    <w:rsid w:val="002F1D7B"/>
    <w:rsid w:val="002F375B"/>
    <w:rsid w:val="002F420E"/>
    <w:rsid w:val="002F429A"/>
    <w:rsid w:val="002F4978"/>
    <w:rsid w:val="002F4DF2"/>
    <w:rsid w:val="002F5BC6"/>
    <w:rsid w:val="002F5D2A"/>
    <w:rsid w:val="002F6465"/>
    <w:rsid w:val="002F75A0"/>
    <w:rsid w:val="002F767F"/>
    <w:rsid w:val="0030009E"/>
    <w:rsid w:val="003000AE"/>
    <w:rsid w:val="00300646"/>
    <w:rsid w:val="00300649"/>
    <w:rsid w:val="00301472"/>
    <w:rsid w:val="0030182A"/>
    <w:rsid w:val="00301E2F"/>
    <w:rsid w:val="00302297"/>
    <w:rsid w:val="00302AF2"/>
    <w:rsid w:val="00302CF5"/>
    <w:rsid w:val="00302D68"/>
    <w:rsid w:val="00302DE0"/>
    <w:rsid w:val="003032CB"/>
    <w:rsid w:val="003033AB"/>
    <w:rsid w:val="00304204"/>
    <w:rsid w:val="00304883"/>
    <w:rsid w:val="00304C9C"/>
    <w:rsid w:val="0030594A"/>
    <w:rsid w:val="0030715D"/>
    <w:rsid w:val="0030750C"/>
    <w:rsid w:val="00307B7B"/>
    <w:rsid w:val="00307D6C"/>
    <w:rsid w:val="0031031C"/>
    <w:rsid w:val="00310556"/>
    <w:rsid w:val="00310FD6"/>
    <w:rsid w:val="003110EF"/>
    <w:rsid w:val="0031127F"/>
    <w:rsid w:val="00311625"/>
    <w:rsid w:val="00312001"/>
    <w:rsid w:val="00312781"/>
    <w:rsid w:val="00313CDA"/>
    <w:rsid w:val="0031406D"/>
    <w:rsid w:val="003145DD"/>
    <w:rsid w:val="003147DD"/>
    <w:rsid w:val="00315998"/>
    <w:rsid w:val="00315A3A"/>
    <w:rsid w:val="00316728"/>
    <w:rsid w:val="00316A6A"/>
    <w:rsid w:val="00316DC2"/>
    <w:rsid w:val="00317595"/>
    <w:rsid w:val="003177A4"/>
    <w:rsid w:val="0031798A"/>
    <w:rsid w:val="00317B9D"/>
    <w:rsid w:val="00320C94"/>
    <w:rsid w:val="00320EC6"/>
    <w:rsid w:val="00321D76"/>
    <w:rsid w:val="00321E75"/>
    <w:rsid w:val="00322144"/>
    <w:rsid w:val="0032216D"/>
    <w:rsid w:val="00322432"/>
    <w:rsid w:val="00322639"/>
    <w:rsid w:val="00322976"/>
    <w:rsid w:val="00322A3E"/>
    <w:rsid w:val="00323C3F"/>
    <w:rsid w:val="0032425D"/>
    <w:rsid w:val="00324371"/>
    <w:rsid w:val="00324549"/>
    <w:rsid w:val="003249E6"/>
    <w:rsid w:val="00325CEA"/>
    <w:rsid w:val="0032600E"/>
    <w:rsid w:val="003261B2"/>
    <w:rsid w:val="00326586"/>
    <w:rsid w:val="0032693A"/>
    <w:rsid w:val="00326B81"/>
    <w:rsid w:val="00326FB7"/>
    <w:rsid w:val="003275E5"/>
    <w:rsid w:val="0032795A"/>
    <w:rsid w:val="00327A6D"/>
    <w:rsid w:val="00331086"/>
    <w:rsid w:val="0033130E"/>
    <w:rsid w:val="00331794"/>
    <w:rsid w:val="003317B4"/>
    <w:rsid w:val="00331899"/>
    <w:rsid w:val="00331BD0"/>
    <w:rsid w:val="00331DBD"/>
    <w:rsid w:val="00332462"/>
    <w:rsid w:val="003325BB"/>
    <w:rsid w:val="00332B9C"/>
    <w:rsid w:val="003330DD"/>
    <w:rsid w:val="00333216"/>
    <w:rsid w:val="003341C2"/>
    <w:rsid w:val="00335040"/>
    <w:rsid w:val="003352BF"/>
    <w:rsid w:val="003356A7"/>
    <w:rsid w:val="0033571B"/>
    <w:rsid w:val="003363FF"/>
    <w:rsid w:val="0033658B"/>
    <w:rsid w:val="00336946"/>
    <w:rsid w:val="00336C7F"/>
    <w:rsid w:val="00336D7F"/>
    <w:rsid w:val="00336F9C"/>
    <w:rsid w:val="0033712F"/>
    <w:rsid w:val="00337749"/>
    <w:rsid w:val="003378C1"/>
    <w:rsid w:val="00337C2E"/>
    <w:rsid w:val="00337CF3"/>
    <w:rsid w:val="00337F6E"/>
    <w:rsid w:val="003400F9"/>
    <w:rsid w:val="003406A6"/>
    <w:rsid w:val="00340813"/>
    <w:rsid w:val="00340CE2"/>
    <w:rsid w:val="003412A1"/>
    <w:rsid w:val="00341828"/>
    <w:rsid w:val="00342B15"/>
    <w:rsid w:val="0034300F"/>
    <w:rsid w:val="00343832"/>
    <w:rsid w:val="00343E31"/>
    <w:rsid w:val="00343FB7"/>
    <w:rsid w:val="003445B2"/>
    <w:rsid w:val="00344C71"/>
    <w:rsid w:val="00345942"/>
    <w:rsid w:val="00345EC8"/>
    <w:rsid w:val="00346125"/>
    <w:rsid w:val="00346257"/>
    <w:rsid w:val="00346377"/>
    <w:rsid w:val="003467A7"/>
    <w:rsid w:val="003471A5"/>
    <w:rsid w:val="0034727B"/>
    <w:rsid w:val="00347702"/>
    <w:rsid w:val="003478B7"/>
    <w:rsid w:val="00350478"/>
    <w:rsid w:val="00350D56"/>
    <w:rsid w:val="00350F0F"/>
    <w:rsid w:val="003515AF"/>
    <w:rsid w:val="00351DB8"/>
    <w:rsid w:val="00351DBE"/>
    <w:rsid w:val="00351F88"/>
    <w:rsid w:val="00352104"/>
    <w:rsid w:val="00352C6D"/>
    <w:rsid w:val="00352CF3"/>
    <w:rsid w:val="00353132"/>
    <w:rsid w:val="003539D8"/>
    <w:rsid w:val="00353A52"/>
    <w:rsid w:val="00353B2C"/>
    <w:rsid w:val="00353CDA"/>
    <w:rsid w:val="00353D4F"/>
    <w:rsid w:val="003543C5"/>
    <w:rsid w:val="003546ED"/>
    <w:rsid w:val="00354926"/>
    <w:rsid w:val="00354B04"/>
    <w:rsid w:val="0035506D"/>
    <w:rsid w:val="003556DA"/>
    <w:rsid w:val="0035620D"/>
    <w:rsid w:val="003562B3"/>
    <w:rsid w:val="00356A3D"/>
    <w:rsid w:val="00357763"/>
    <w:rsid w:val="003577CB"/>
    <w:rsid w:val="00357F06"/>
    <w:rsid w:val="00360453"/>
    <w:rsid w:val="003612A0"/>
    <w:rsid w:val="003613E4"/>
    <w:rsid w:val="00361831"/>
    <w:rsid w:val="00362D6F"/>
    <w:rsid w:val="00363137"/>
    <w:rsid w:val="0036316F"/>
    <w:rsid w:val="00364910"/>
    <w:rsid w:val="003653BC"/>
    <w:rsid w:val="00365A10"/>
    <w:rsid w:val="00365E2A"/>
    <w:rsid w:val="00365EB1"/>
    <w:rsid w:val="003663AF"/>
    <w:rsid w:val="00366679"/>
    <w:rsid w:val="003669EB"/>
    <w:rsid w:val="00367117"/>
    <w:rsid w:val="0036715D"/>
    <w:rsid w:val="003675B7"/>
    <w:rsid w:val="00367760"/>
    <w:rsid w:val="00370385"/>
    <w:rsid w:val="0037061D"/>
    <w:rsid w:val="003707B1"/>
    <w:rsid w:val="003709CC"/>
    <w:rsid w:val="00370C73"/>
    <w:rsid w:val="003713E1"/>
    <w:rsid w:val="0037189A"/>
    <w:rsid w:val="00371F17"/>
    <w:rsid w:val="00371F36"/>
    <w:rsid w:val="00372060"/>
    <w:rsid w:val="00372E17"/>
    <w:rsid w:val="00373506"/>
    <w:rsid w:val="00373E44"/>
    <w:rsid w:val="00374192"/>
    <w:rsid w:val="003751A1"/>
    <w:rsid w:val="003752BD"/>
    <w:rsid w:val="00375FF2"/>
    <w:rsid w:val="00375FFD"/>
    <w:rsid w:val="003764BA"/>
    <w:rsid w:val="003765EE"/>
    <w:rsid w:val="003766D1"/>
    <w:rsid w:val="00376F5C"/>
    <w:rsid w:val="003779CD"/>
    <w:rsid w:val="003805CD"/>
    <w:rsid w:val="0038099E"/>
    <w:rsid w:val="00380E1B"/>
    <w:rsid w:val="00380E2A"/>
    <w:rsid w:val="00380F32"/>
    <w:rsid w:val="00381315"/>
    <w:rsid w:val="00381470"/>
    <w:rsid w:val="00381B0A"/>
    <w:rsid w:val="00381DF8"/>
    <w:rsid w:val="0038215B"/>
    <w:rsid w:val="00382975"/>
    <w:rsid w:val="00382EE5"/>
    <w:rsid w:val="00383005"/>
    <w:rsid w:val="0038395A"/>
    <w:rsid w:val="00384549"/>
    <w:rsid w:val="0038469F"/>
    <w:rsid w:val="00384887"/>
    <w:rsid w:val="0038534B"/>
    <w:rsid w:val="003854B1"/>
    <w:rsid w:val="003868FB"/>
    <w:rsid w:val="00386BDB"/>
    <w:rsid w:val="00387417"/>
    <w:rsid w:val="0039003E"/>
    <w:rsid w:val="003900ED"/>
    <w:rsid w:val="00390138"/>
    <w:rsid w:val="0039045B"/>
    <w:rsid w:val="003904D6"/>
    <w:rsid w:val="003905AE"/>
    <w:rsid w:val="00390AEC"/>
    <w:rsid w:val="003911FC"/>
    <w:rsid w:val="00391305"/>
    <w:rsid w:val="003913CD"/>
    <w:rsid w:val="0039153E"/>
    <w:rsid w:val="003917FC"/>
    <w:rsid w:val="00391E2C"/>
    <w:rsid w:val="0039212C"/>
    <w:rsid w:val="00392144"/>
    <w:rsid w:val="0039264F"/>
    <w:rsid w:val="00392694"/>
    <w:rsid w:val="00392C3F"/>
    <w:rsid w:val="003930D4"/>
    <w:rsid w:val="00393860"/>
    <w:rsid w:val="00393BE5"/>
    <w:rsid w:val="00393FEC"/>
    <w:rsid w:val="003943D4"/>
    <w:rsid w:val="00395558"/>
    <w:rsid w:val="00395621"/>
    <w:rsid w:val="00395BD6"/>
    <w:rsid w:val="00395C88"/>
    <w:rsid w:val="00395FBF"/>
    <w:rsid w:val="0039620D"/>
    <w:rsid w:val="00396468"/>
    <w:rsid w:val="0039688E"/>
    <w:rsid w:val="00396AD9"/>
    <w:rsid w:val="00397724"/>
    <w:rsid w:val="00397D8E"/>
    <w:rsid w:val="003A12E4"/>
    <w:rsid w:val="003A16AD"/>
    <w:rsid w:val="003A1EFD"/>
    <w:rsid w:val="003A35ED"/>
    <w:rsid w:val="003A387B"/>
    <w:rsid w:val="003A3C19"/>
    <w:rsid w:val="003A3FE3"/>
    <w:rsid w:val="003A48A6"/>
    <w:rsid w:val="003A4A44"/>
    <w:rsid w:val="003A4B48"/>
    <w:rsid w:val="003A5062"/>
    <w:rsid w:val="003A5683"/>
    <w:rsid w:val="003A5D53"/>
    <w:rsid w:val="003A5E6C"/>
    <w:rsid w:val="003A6356"/>
    <w:rsid w:val="003A665B"/>
    <w:rsid w:val="003A79A4"/>
    <w:rsid w:val="003A7A46"/>
    <w:rsid w:val="003A7C60"/>
    <w:rsid w:val="003B00B0"/>
    <w:rsid w:val="003B0778"/>
    <w:rsid w:val="003B0A4A"/>
    <w:rsid w:val="003B0DA0"/>
    <w:rsid w:val="003B0EFA"/>
    <w:rsid w:val="003B1379"/>
    <w:rsid w:val="003B146F"/>
    <w:rsid w:val="003B1BDD"/>
    <w:rsid w:val="003B225B"/>
    <w:rsid w:val="003B2814"/>
    <w:rsid w:val="003B2A14"/>
    <w:rsid w:val="003B302F"/>
    <w:rsid w:val="003B3141"/>
    <w:rsid w:val="003B31D7"/>
    <w:rsid w:val="003B35AA"/>
    <w:rsid w:val="003B3BE1"/>
    <w:rsid w:val="003B46B3"/>
    <w:rsid w:val="003B480C"/>
    <w:rsid w:val="003B4A81"/>
    <w:rsid w:val="003B5036"/>
    <w:rsid w:val="003B54DB"/>
    <w:rsid w:val="003B5BF1"/>
    <w:rsid w:val="003B602C"/>
    <w:rsid w:val="003B60E9"/>
    <w:rsid w:val="003B632E"/>
    <w:rsid w:val="003B6AE2"/>
    <w:rsid w:val="003B6B8B"/>
    <w:rsid w:val="003B75EC"/>
    <w:rsid w:val="003B76E7"/>
    <w:rsid w:val="003B7A41"/>
    <w:rsid w:val="003B7D0D"/>
    <w:rsid w:val="003C0317"/>
    <w:rsid w:val="003C0354"/>
    <w:rsid w:val="003C0643"/>
    <w:rsid w:val="003C07E5"/>
    <w:rsid w:val="003C26F8"/>
    <w:rsid w:val="003C3102"/>
    <w:rsid w:val="003C3687"/>
    <w:rsid w:val="003C4347"/>
    <w:rsid w:val="003C4407"/>
    <w:rsid w:val="003C4AB0"/>
    <w:rsid w:val="003C55D2"/>
    <w:rsid w:val="003C61A6"/>
    <w:rsid w:val="003C61C8"/>
    <w:rsid w:val="003C63E1"/>
    <w:rsid w:val="003C6E45"/>
    <w:rsid w:val="003C7319"/>
    <w:rsid w:val="003C756E"/>
    <w:rsid w:val="003C77BC"/>
    <w:rsid w:val="003D0E65"/>
    <w:rsid w:val="003D10A3"/>
    <w:rsid w:val="003D1CBF"/>
    <w:rsid w:val="003D2A85"/>
    <w:rsid w:val="003D2B81"/>
    <w:rsid w:val="003D2CAB"/>
    <w:rsid w:val="003D33BD"/>
    <w:rsid w:val="003D3BB5"/>
    <w:rsid w:val="003D3EF7"/>
    <w:rsid w:val="003D4147"/>
    <w:rsid w:val="003D4477"/>
    <w:rsid w:val="003D4A63"/>
    <w:rsid w:val="003D5591"/>
    <w:rsid w:val="003D5F1E"/>
    <w:rsid w:val="003D6956"/>
    <w:rsid w:val="003D6E5C"/>
    <w:rsid w:val="003D706A"/>
    <w:rsid w:val="003D72A6"/>
    <w:rsid w:val="003D73B8"/>
    <w:rsid w:val="003D7858"/>
    <w:rsid w:val="003D7A2F"/>
    <w:rsid w:val="003D7E30"/>
    <w:rsid w:val="003E019C"/>
    <w:rsid w:val="003E05E1"/>
    <w:rsid w:val="003E0986"/>
    <w:rsid w:val="003E0A23"/>
    <w:rsid w:val="003E0DA7"/>
    <w:rsid w:val="003E0DD0"/>
    <w:rsid w:val="003E2019"/>
    <w:rsid w:val="003E25AC"/>
    <w:rsid w:val="003E263F"/>
    <w:rsid w:val="003E266D"/>
    <w:rsid w:val="003E2C4E"/>
    <w:rsid w:val="003E331C"/>
    <w:rsid w:val="003E3A55"/>
    <w:rsid w:val="003E49EC"/>
    <w:rsid w:val="003E514B"/>
    <w:rsid w:val="003E66D2"/>
    <w:rsid w:val="003E7264"/>
    <w:rsid w:val="003E72B1"/>
    <w:rsid w:val="003E75E0"/>
    <w:rsid w:val="003E7D26"/>
    <w:rsid w:val="003E7DF1"/>
    <w:rsid w:val="003F0703"/>
    <w:rsid w:val="003F0955"/>
    <w:rsid w:val="003F0A37"/>
    <w:rsid w:val="003F1872"/>
    <w:rsid w:val="003F20B8"/>
    <w:rsid w:val="003F2861"/>
    <w:rsid w:val="003F29AF"/>
    <w:rsid w:val="003F2FB0"/>
    <w:rsid w:val="003F3CDD"/>
    <w:rsid w:val="003F3F4B"/>
    <w:rsid w:val="003F3F5F"/>
    <w:rsid w:val="003F47B9"/>
    <w:rsid w:val="003F4874"/>
    <w:rsid w:val="003F48DA"/>
    <w:rsid w:val="003F4DE7"/>
    <w:rsid w:val="003F5028"/>
    <w:rsid w:val="003F5A8C"/>
    <w:rsid w:val="003F62E7"/>
    <w:rsid w:val="003F6EAA"/>
    <w:rsid w:val="003F7024"/>
    <w:rsid w:val="003F7155"/>
    <w:rsid w:val="00400112"/>
    <w:rsid w:val="00400C59"/>
    <w:rsid w:val="00400D03"/>
    <w:rsid w:val="004018E5"/>
    <w:rsid w:val="00403015"/>
    <w:rsid w:val="00403A70"/>
    <w:rsid w:val="00403D53"/>
    <w:rsid w:val="00404416"/>
    <w:rsid w:val="00404C02"/>
    <w:rsid w:val="00405AB2"/>
    <w:rsid w:val="00406206"/>
    <w:rsid w:val="00406215"/>
    <w:rsid w:val="00407776"/>
    <w:rsid w:val="0041039E"/>
    <w:rsid w:val="0041093D"/>
    <w:rsid w:val="00410C38"/>
    <w:rsid w:val="00410C46"/>
    <w:rsid w:val="00410E0D"/>
    <w:rsid w:val="004112D6"/>
    <w:rsid w:val="00411891"/>
    <w:rsid w:val="0041191C"/>
    <w:rsid w:val="00411B11"/>
    <w:rsid w:val="0041251A"/>
    <w:rsid w:val="004128A1"/>
    <w:rsid w:val="00412CC7"/>
    <w:rsid w:val="00412D9D"/>
    <w:rsid w:val="00413A80"/>
    <w:rsid w:val="00414137"/>
    <w:rsid w:val="004142E0"/>
    <w:rsid w:val="00414672"/>
    <w:rsid w:val="00414BBA"/>
    <w:rsid w:val="00414D78"/>
    <w:rsid w:val="0041513E"/>
    <w:rsid w:val="00416427"/>
    <w:rsid w:val="00416DED"/>
    <w:rsid w:val="004171D4"/>
    <w:rsid w:val="0041746A"/>
    <w:rsid w:val="00417534"/>
    <w:rsid w:val="00420BD1"/>
    <w:rsid w:val="00420E19"/>
    <w:rsid w:val="004211AF"/>
    <w:rsid w:val="0042184D"/>
    <w:rsid w:val="004218E9"/>
    <w:rsid w:val="00421A64"/>
    <w:rsid w:val="00421B43"/>
    <w:rsid w:val="00421CD7"/>
    <w:rsid w:val="00421D6D"/>
    <w:rsid w:val="00422C98"/>
    <w:rsid w:val="00422D99"/>
    <w:rsid w:val="0042343F"/>
    <w:rsid w:val="00423754"/>
    <w:rsid w:val="00424552"/>
    <w:rsid w:val="0042496C"/>
    <w:rsid w:val="004249EB"/>
    <w:rsid w:val="00425622"/>
    <w:rsid w:val="004256A4"/>
    <w:rsid w:val="00426A08"/>
    <w:rsid w:val="004272DB"/>
    <w:rsid w:val="00427DF9"/>
    <w:rsid w:val="004304D2"/>
    <w:rsid w:val="0043070C"/>
    <w:rsid w:val="004310D9"/>
    <w:rsid w:val="004311CC"/>
    <w:rsid w:val="004313B0"/>
    <w:rsid w:val="0043163F"/>
    <w:rsid w:val="00431A86"/>
    <w:rsid w:val="00431B29"/>
    <w:rsid w:val="00431BB3"/>
    <w:rsid w:val="00431D4B"/>
    <w:rsid w:val="00432319"/>
    <w:rsid w:val="0043255A"/>
    <w:rsid w:val="0043264A"/>
    <w:rsid w:val="0043286B"/>
    <w:rsid w:val="0043395D"/>
    <w:rsid w:val="00433E6C"/>
    <w:rsid w:val="00433F23"/>
    <w:rsid w:val="00434A37"/>
    <w:rsid w:val="00434B92"/>
    <w:rsid w:val="004355F8"/>
    <w:rsid w:val="00435F57"/>
    <w:rsid w:val="00436548"/>
    <w:rsid w:val="0043720C"/>
    <w:rsid w:val="004374BC"/>
    <w:rsid w:val="004379D2"/>
    <w:rsid w:val="004379EB"/>
    <w:rsid w:val="00437C8F"/>
    <w:rsid w:val="0044035A"/>
    <w:rsid w:val="004405D1"/>
    <w:rsid w:val="0044078F"/>
    <w:rsid w:val="00440BB5"/>
    <w:rsid w:val="00441168"/>
    <w:rsid w:val="004418CD"/>
    <w:rsid w:val="004428FC"/>
    <w:rsid w:val="00442B8C"/>
    <w:rsid w:val="004432F8"/>
    <w:rsid w:val="0044437B"/>
    <w:rsid w:val="00444ABB"/>
    <w:rsid w:val="00444E6E"/>
    <w:rsid w:val="004457AB"/>
    <w:rsid w:val="004459DD"/>
    <w:rsid w:val="00445C6E"/>
    <w:rsid w:val="004465F4"/>
    <w:rsid w:val="004467C7"/>
    <w:rsid w:val="0044687C"/>
    <w:rsid w:val="0044760E"/>
    <w:rsid w:val="0045009A"/>
    <w:rsid w:val="00450441"/>
    <w:rsid w:val="00450A21"/>
    <w:rsid w:val="00450C9E"/>
    <w:rsid w:val="00450E02"/>
    <w:rsid w:val="00451553"/>
    <w:rsid w:val="004518F6"/>
    <w:rsid w:val="00452203"/>
    <w:rsid w:val="0045292C"/>
    <w:rsid w:val="00452F41"/>
    <w:rsid w:val="004531B8"/>
    <w:rsid w:val="0045338D"/>
    <w:rsid w:val="0045416A"/>
    <w:rsid w:val="00454A9B"/>
    <w:rsid w:val="00454ECB"/>
    <w:rsid w:val="0045566D"/>
    <w:rsid w:val="004558D4"/>
    <w:rsid w:val="00455953"/>
    <w:rsid w:val="00455AA1"/>
    <w:rsid w:val="00455B50"/>
    <w:rsid w:val="00455B93"/>
    <w:rsid w:val="004574B0"/>
    <w:rsid w:val="004577D3"/>
    <w:rsid w:val="00457A43"/>
    <w:rsid w:val="00460041"/>
    <w:rsid w:val="004605E0"/>
    <w:rsid w:val="0046088E"/>
    <w:rsid w:val="00460BB0"/>
    <w:rsid w:val="00460D33"/>
    <w:rsid w:val="00460DB1"/>
    <w:rsid w:val="004611EE"/>
    <w:rsid w:val="0046149F"/>
    <w:rsid w:val="00461540"/>
    <w:rsid w:val="00461B0A"/>
    <w:rsid w:val="00461E35"/>
    <w:rsid w:val="00462FE5"/>
    <w:rsid w:val="0046322B"/>
    <w:rsid w:val="00463ECA"/>
    <w:rsid w:val="00464660"/>
    <w:rsid w:val="00465A42"/>
    <w:rsid w:val="00466002"/>
    <w:rsid w:val="0046601D"/>
    <w:rsid w:val="004662D8"/>
    <w:rsid w:val="0046647D"/>
    <w:rsid w:val="00466BAE"/>
    <w:rsid w:val="00466FBF"/>
    <w:rsid w:val="00467AA6"/>
    <w:rsid w:val="00467F73"/>
    <w:rsid w:val="004700AB"/>
    <w:rsid w:val="0047052C"/>
    <w:rsid w:val="0047106C"/>
    <w:rsid w:val="00471142"/>
    <w:rsid w:val="0047186F"/>
    <w:rsid w:val="00471CDA"/>
    <w:rsid w:val="0047246A"/>
    <w:rsid w:val="004725B7"/>
    <w:rsid w:val="0047265E"/>
    <w:rsid w:val="00472714"/>
    <w:rsid w:val="004728F2"/>
    <w:rsid w:val="00472DAC"/>
    <w:rsid w:val="004730F6"/>
    <w:rsid w:val="00473517"/>
    <w:rsid w:val="00473A67"/>
    <w:rsid w:val="004742B4"/>
    <w:rsid w:val="004742B8"/>
    <w:rsid w:val="00474384"/>
    <w:rsid w:val="00475980"/>
    <w:rsid w:val="00475C9C"/>
    <w:rsid w:val="00475DFA"/>
    <w:rsid w:val="00475E2B"/>
    <w:rsid w:val="00476063"/>
    <w:rsid w:val="0047610A"/>
    <w:rsid w:val="00476526"/>
    <w:rsid w:val="004766B8"/>
    <w:rsid w:val="00476A79"/>
    <w:rsid w:val="00477766"/>
    <w:rsid w:val="00477AAC"/>
    <w:rsid w:val="004801DD"/>
    <w:rsid w:val="00480D13"/>
    <w:rsid w:val="004815A2"/>
    <w:rsid w:val="00481B64"/>
    <w:rsid w:val="00481FB2"/>
    <w:rsid w:val="0048206D"/>
    <w:rsid w:val="004828BF"/>
    <w:rsid w:val="00482AEA"/>
    <w:rsid w:val="00482F0B"/>
    <w:rsid w:val="0048322F"/>
    <w:rsid w:val="00483AD4"/>
    <w:rsid w:val="00483E1D"/>
    <w:rsid w:val="0048489C"/>
    <w:rsid w:val="004848FD"/>
    <w:rsid w:val="00484C01"/>
    <w:rsid w:val="00484F37"/>
    <w:rsid w:val="00486EEA"/>
    <w:rsid w:val="00487ADA"/>
    <w:rsid w:val="00487C77"/>
    <w:rsid w:val="00487F08"/>
    <w:rsid w:val="0049095E"/>
    <w:rsid w:val="00490A8C"/>
    <w:rsid w:val="00491625"/>
    <w:rsid w:val="00491AC6"/>
    <w:rsid w:val="00493023"/>
    <w:rsid w:val="004938EC"/>
    <w:rsid w:val="0049426E"/>
    <w:rsid w:val="00494B65"/>
    <w:rsid w:val="0049586C"/>
    <w:rsid w:val="004958EE"/>
    <w:rsid w:val="00495A46"/>
    <w:rsid w:val="00495DDD"/>
    <w:rsid w:val="0049605A"/>
    <w:rsid w:val="00496422"/>
    <w:rsid w:val="00496544"/>
    <w:rsid w:val="00496FA0"/>
    <w:rsid w:val="00496FDE"/>
    <w:rsid w:val="0049793B"/>
    <w:rsid w:val="00497A77"/>
    <w:rsid w:val="00497C93"/>
    <w:rsid w:val="00497CF3"/>
    <w:rsid w:val="004A014E"/>
    <w:rsid w:val="004A1377"/>
    <w:rsid w:val="004A1F26"/>
    <w:rsid w:val="004A22DF"/>
    <w:rsid w:val="004A2406"/>
    <w:rsid w:val="004A240B"/>
    <w:rsid w:val="004A24D6"/>
    <w:rsid w:val="004A29E3"/>
    <w:rsid w:val="004A2B0A"/>
    <w:rsid w:val="004A35BE"/>
    <w:rsid w:val="004A3781"/>
    <w:rsid w:val="004A387C"/>
    <w:rsid w:val="004A3BC1"/>
    <w:rsid w:val="004A3C8D"/>
    <w:rsid w:val="004A3E27"/>
    <w:rsid w:val="004A3E93"/>
    <w:rsid w:val="004A4B0D"/>
    <w:rsid w:val="004A5136"/>
    <w:rsid w:val="004A5180"/>
    <w:rsid w:val="004A5334"/>
    <w:rsid w:val="004A6D40"/>
    <w:rsid w:val="004A6DD4"/>
    <w:rsid w:val="004A6E54"/>
    <w:rsid w:val="004A6FC9"/>
    <w:rsid w:val="004A747B"/>
    <w:rsid w:val="004A7803"/>
    <w:rsid w:val="004A78AC"/>
    <w:rsid w:val="004A7D8B"/>
    <w:rsid w:val="004B0169"/>
    <w:rsid w:val="004B0AF0"/>
    <w:rsid w:val="004B0DD0"/>
    <w:rsid w:val="004B15C7"/>
    <w:rsid w:val="004B17B1"/>
    <w:rsid w:val="004B1CEF"/>
    <w:rsid w:val="004B1EBA"/>
    <w:rsid w:val="004B1F32"/>
    <w:rsid w:val="004B29E0"/>
    <w:rsid w:val="004B2C83"/>
    <w:rsid w:val="004B32DE"/>
    <w:rsid w:val="004B451D"/>
    <w:rsid w:val="004B4907"/>
    <w:rsid w:val="004B4B17"/>
    <w:rsid w:val="004B5156"/>
    <w:rsid w:val="004B5441"/>
    <w:rsid w:val="004B5ACA"/>
    <w:rsid w:val="004B5B23"/>
    <w:rsid w:val="004B5B98"/>
    <w:rsid w:val="004B7524"/>
    <w:rsid w:val="004B7EE1"/>
    <w:rsid w:val="004C024D"/>
    <w:rsid w:val="004C062E"/>
    <w:rsid w:val="004C10B9"/>
    <w:rsid w:val="004C12AB"/>
    <w:rsid w:val="004C15C8"/>
    <w:rsid w:val="004C16B8"/>
    <w:rsid w:val="004C238E"/>
    <w:rsid w:val="004C2BA7"/>
    <w:rsid w:val="004C317F"/>
    <w:rsid w:val="004C3FA2"/>
    <w:rsid w:val="004C4559"/>
    <w:rsid w:val="004C470A"/>
    <w:rsid w:val="004C4AB9"/>
    <w:rsid w:val="004C4E79"/>
    <w:rsid w:val="004C5F45"/>
    <w:rsid w:val="004C5F78"/>
    <w:rsid w:val="004C602A"/>
    <w:rsid w:val="004C684C"/>
    <w:rsid w:val="004C6A64"/>
    <w:rsid w:val="004C6D28"/>
    <w:rsid w:val="004C7073"/>
    <w:rsid w:val="004C721A"/>
    <w:rsid w:val="004C728D"/>
    <w:rsid w:val="004C7320"/>
    <w:rsid w:val="004C7654"/>
    <w:rsid w:val="004C77BC"/>
    <w:rsid w:val="004D000F"/>
    <w:rsid w:val="004D0753"/>
    <w:rsid w:val="004D08BA"/>
    <w:rsid w:val="004D08D2"/>
    <w:rsid w:val="004D0964"/>
    <w:rsid w:val="004D1114"/>
    <w:rsid w:val="004D1251"/>
    <w:rsid w:val="004D135F"/>
    <w:rsid w:val="004D15B5"/>
    <w:rsid w:val="004D1B21"/>
    <w:rsid w:val="004D1DB1"/>
    <w:rsid w:val="004D2F51"/>
    <w:rsid w:val="004D311C"/>
    <w:rsid w:val="004D3C78"/>
    <w:rsid w:val="004D3DFC"/>
    <w:rsid w:val="004D414E"/>
    <w:rsid w:val="004D460A"/>
    <w:rsid w:val="004D5994"/>
    <w:rsid w:val="004D5D08"/>
    <w:rsid w:val="004D602D"/>
    <w:rsid w:val="004D647D"/>
    <w:rsid w:val="004D680C"/>
    <w:rsid w:val="004D722A"/>
    <w:rsid w:val="004D7D67"/>
    <w:rsid w:val="004E0CBE"/>
    <w:rsid w:val="004E1C62"/>
    <w:rsid w:val="004E217A"/>
    <w:rsid w:val="004E220A"/>
    <w:rsid w:val="004E250B"/>
    <w:rsid w:val="004E2606"/>
    <w:rsid w:val="004E308F"/>
    <w:rsid w:val="004E309E"/>
    <w:rsid w:val="004E30CF"/>
    <w:rsid w:val="004E3437"/>
    <w:rsid w:val="004E3F9E"/>
    <w:rsid w:val="004E419F"/>
    <w:rsid w:val="004E4509"/>
    <w:rsid w:val="004E468E"/>
    <w:rsid w:val="004E5A6C"/>
    <w:rsid w:val="004E5BCA"/>
    <w:rsid w:val="004E5EFE"/>
    <w:rsid w:val="004E6967"/>
    <w:rsid w:val="004E7BB0"/>
    <w:rsid w:val="004E7EBB"/>
    <w:rsid w:val="004E7ED1"/>
    <w:rsid w:val="004F08A6"/>
    <w:rsid w:val="004F091C"/>
    <w:rsid w:val="004F1103"/>
    <w:rsid w:val="004F1200"/>
    <w:rsid w:val="004F13DE"/>
    <w:rsid w:val="004F1586"/>
    <w:rsid w:val="004F1DA6"/>
    <w:rsid w:val="004F1EEB"/>
    <w:rsid w:val="004F2958"/>
    <w:rsid w:val="004F2AF0"/>
    <w:rsid w:val="004F31F6"/>
    <w:rsid w:val="004F32A4"/>
    <w:rsid w:val="004F38A5"/>
    <w:rsid w:val="004F55ED"/>
    <w:rsid w:val="004F66BF"/>
    <w:rsid w:val="004F6B47"/>
    <w:rsid w:val="004F7DFC"/>
    <w:rsid w:val="005004F2"/>
    <w:rsid w:val="00501888"/>
    <w:rsid w:val="00501B1F"/>
    <w:rsid w:val="00502467"/>
    <w:rsid w:val="005034AD"/>
    <w:rsid w:val="00504744"/>
    <w:rsid w:val="00504A8A"/>
    <w:rsid w:val="0050511B"/>
    <w:rsid w:val="00505315"/>
    <w:rsid w:val="0050552D"/>
    <w:rsid w:val="00505A37"/>
    <w:rsid w:val="0050623C"/>
    <w:rsid w:val="00506403"/>
    <w:rsid w:val="00506638"/>
    <w:rsid w:val="00506D93"/>
    <w:rsid w:val="00506EF0"/>
    <w:rsid w:val="00506FA4"/>
    <w:rsid w:val="00507B5F"/>
    <w:rsid w:val="00507DE0"/>
    <w:rsid w:val="00510079"/>
    <w:rsid w:val="005103C4"/>
    <w:rsid w:val="00510B5F"/>
    <w:rsid w:val="00512402"/>
    <w:rsid w:val="00512E55"/>
    <w:rsid w:val="00513101"/>
    <w:rsid w:val="00513EA9"/>
    <w:rsid w:val="0051483F"/>
    <w:rsid w:val="005148FC"/>
    <w:rsid w:val="005149B1"/>
    <w:rsid w:val="00514EDA"/>
    <w:rsid w:val="00514F19"/>
    <w:rsid w:val="005150ED"/>
    <w:rsid w:val="00515163"/>
    <w:rsid w:val="00515C94"/>
    <w:rsid w:val="00516271"/>
    <w:rsid w:val="005171EC"/>
    <w:rsid w:val="005213B8"/>
    <w:rsid w:val="00521F59"/>
    <w:rsid w:val="00522347"/>
    <w:rsid w:val="0052329C"/>
    <w:rsid w:val="00523613"/>
    <w:rsid w:val="005236A1"/>
    <w:rsid w:val="005236F9"/>
    <w:rsid w:val="00523805"/>
    <w:rsid w:val="00523F6E"/>
    <w:rsid w:val="00523FFB"/>
    <w:rsid w:val="00524285"/>
    <w:rsid w:val="00524A7B"/>
    <w:rsid w:val="005257BD"/>
    <w:rsid w:val="005266D0"/>
    <w:rsid w:val="00526D02"/>
    <w:rsid w:val="00527F66"/>
    <w:rsid w:val="00530375"/>
    <w:rsid w:val="00530A93"/>
    <w:rsid w:val="005312A7"/>
    <w:rsid w:val="00531DA7"/>
    <w:rsid w:val="00532241"/>
    <w:rsid w:val="005326FF"/>
    <w:rsid w:val="0053279E"/>
    <w:rsid w:val="00533EF4"/>
    <w:rsid w:val="00534147"/>
    <w:rsid w:val="00534624"/>
    <w:rsid w:val="00534693"/>
    <w:rsid w:val="005346F9"/>
    <w:rsid w:val="00534B60"/>
    <w:rsid w:val="005355AE"/>
    <w:rsid w:val="00535AD9"/>
    <w:rsid w:val="00536B1F"/>
    <w:rsid w:val="00536C13"/>
    <w:rsid w:val="005372A4"/>
    <w:rsid w:val="0053785B"/>
    <w:rsid w:val="005379B8"/>
    <w:rsid w:val="0054000C"/>
    <w:rsid w:val="00540192"/>
    <w:rsid w:val="00540241"/>
    <w:rsid w:val="0054029F"/>
    <w:rsid w:val="005402B5"/>
    <w:rsid w:val="00540427"/>
    <w:rsid w:val="0054044F"/>
    <w:rsid w:val="0054056E"/>
    <w:rsid w:val="00540FCE"/>
    <w:rsid w:val="005410AF"/>
    <w:rsid w:val="00541462"/>
    <w:rsid w:val="00541A6D"/>
    <w:rsid w:val="00541B72"/>
    <w:rsid w:val="00541FF0"/>
    <w:rsid w:val="005428B4"/>
    <w:rsid w:val="00542A77"/>
    <w:rsid w:val="005438F9"/>
    <w:rsid w:val="0054418A"/>
    <w:rsid w:val="00545C8C"/>
    <w:rsid w:val="00546761"/>
    <w:rsid w:val="00546955"/>
    <w:rsid w:val="00546AEC"/>
    <w:rsid w:val="00546E2B"/>
    <w:rsid w:val="00547362"/>
    <w:rsid w:val="00547829"/>
    <w:rsid w:val="00550C55"/>
    <w:rsid w:val="005518ED"/>
    <w:rsid w:val="00551CC6"/>
    <w:rsid w:val="005522AF"/>
    <w:rsid w:val="00552768"/>
    <w:rsid w:val="00552DF8"/>
    <w:rsid w:val="00552FA2"/>
    <w:rsid w:val="00553928"/>
    <w:rsid w:val="00554374"/>
    <w:rsid w:val="0055463E"/>
    <w:rsid w:val="00554EA7"/>
    <w:rsid w:val="005555B5"/>
    <w:rsid w:val="005555BA"/>
    <w:rsid w:val="00555B17"/>
    <w:rsid w:val="00555B9D"/>
    <w:rsid w:val="00555E7B"/>
    <w:rsid w:val="00555ED1"/>
    <w:rsid w:val="00556488"/>
    <w:rsid w:val="005568AC"/>
    <w:rsid w:val="005569DF"/>
    <w:rsid w:val="00557BE4"/>
    <w:rsid w:val="00557C73"/>
    <w:rsid w:val="00560404"/>
    <w:rsid w:val="005608E5"/>
    <w:rsid w:val="0056105B"/>
    <w:rsid w:val="0056124F"/>
    <w:rsid w:val="0056226B"/>
    <w:rsid w:val="00562354"/>
    <w:rsid w:val="00562983"/>
    <w:rsid w:val="00562B55"/>
    <w:rsid w:val="00563131"/>
    <w:rsid w:val="0056335C"/>
    <w:rsid w:val="00563367"/>
    <w:rsid w:val="00563398"/>
    <w:rsid w:val="00563917"/>
    <w:rsid w:val="00563BF2"/>
    <w:rsid w:val="00564217"/>
    <w:rsid w:val="005647B0"/>
    <w:rsid w:val="00564C47"/>
    <w:rsid w:val="00564D7C"/>
    <w:rsid w:val="00565A7C"/>
    <w:rsid w:val="00566A62"/>
    <w:rsid w:val="00567889"/>
    <w:rsid w:val="00567C9D"/>
    <w:rsid w:val="0057045E"/>
    <w:rsid w:val="00570A68"/>
    <w:rsid w:val="00573331"/>
    <w:rsid w:val="005738D8"/>
    <w:rsid w:val="00573CC7"/>
    <w:rsid w:val="00573D2D"/>
    <w:rsid w:val="00574227"/>
    <w:rsid w:val="005744B3"/>
    <w:rsid w:val="00574E0C"/>
    <w:rsid w:val="00576210"/>
    <w:rsid w:val="0057645A"/>
    <w:rsid w:val="005770C7"/>
    <w:rsid w:val="0058000E"/>
    <w:rsid w:val="005803C5"/>
    <w:rsid w:val="00580F70"/>
    <w:rsid w:val="00581403"/>
    <w:rsid w:val="0058191B"/>
    <w:rsid w:val="00582E63"/>
    <w:rsid w:val="00582E9E"/>
    <w:rsid w:val="005834E5"/>
    <w:rsid w:val="00584A41"/>
    <w:rsid w:val="00584E78"/>
    <w:rsid w:val="005853EE"/>
    <w:rsid w:val="0058635B"/>
    <w:rsid w:val="005865A3"/>
    <w:rsid w:val="005865E8"/>
    <w:rsid w:val="00586C42"/>
    <w:rsid w:val="00587244"/>
    <w:rsid w:val="00587543"/>
    <w:rsid w:val="00587660"/>
    <w:rsid w:val="00587876"/>
    <w:rsid w:val="00590083"/>
    <w:rsid w:val="005902CB"/>
    <w:rsid w:val="00590625"/>
    <w:rsid w:val="00590684"/>
    <w:rsid w:val="00590ADC"/>
    <w:rsid w:val="0059141B"/>
    <w:rsid w:val="005918E8"/>
    <w:rsid w:val="00591B81"/>
    <w:rsid w:val="0059263E"/>
    <w:rsid w:val="005935D0"/>
    <w:rsid w:val="00594BC7"/>
    <w:rsid w:val="0059506E"/>
    <w:rsid w:val="00597167"/>
    <w:rsid w:val="00597AB0"/>
    <w:rsid w:val="00597C91"/>
    <w:rsid w:val="00597EFA"/>
    <w:rsid w:val="005A002A"/>
    <w:rsid w:val="005A00BB"/>
    <w:rsid w:val="005A0102"/>
    <w:rsid w:val="005A02B9"/>
    <w:rsid w:val="005A05B4"/>
    <w:rsid w:val="005A0955"/>
    <w:rsid w:val="005A10E2"/>
    <w:rsid w:val="005A1361"/>
    <w:rsid w:val="005A1376"/>
    <w:rsid w:val="005A144B"/>
    <w:rsid w:val="005A1564"/>
    <w:rsid w:val="005A192F"/>
    <w:rsid w:val="005A1A63"/>
    <w:rsid w:val="005A1A74"/>
    <w:rsid w:val="005A1B14"/>
    <w:rsid w:val="005A1D01"/>
    <w:rsid w:val="005A1DA2"/>
    <w:rsid w:val="005A2598"/>
    <w:rsid w:val="005A29EB"/>
    <w:rsid w:val="005A2F77"/>
    <w:rsid w:val="005A386A"/>
    <w:rsid w:val="005A3F34"/>
    <w:rsid w:val="005A541D"/>
    <w:rsid w:val="005A6272"/>
    <w:rsid w:val="005A6530"/>
    <w:rsid w:val="005A685A"/>
    <w:rsid w:val="005A69FD"/>
    <w:rsid w:val="005A7670"/>
    <w:rsid w:val="005A7BDC"/>
    <w:rsid w:val="005B01D7"/>
    <w:rsid w:val="005B0B6B"/>
    <w:rsid w:val="005B101E"/>
    <w:rsid w:val="005B19F9"/>
    <w:rsid w:val="005B1D04"/>
    <w:rsid w:val="005B1D18"/>
    <w:rsid w:val="005B1F83"/>
    <w:rsid w:val="005B20CF"/>
    <w:rsid w:val="005B2695"/>
    <w:rsid w:val="005B2AB8"/>
    <w:rsid w:val="005B3433"/>
    <w:rsid w:val="005B37BF"/>
    <w:rsid w:val="005B38F8"/>
    <w:rsid w:val="005B3D23"/>
    <w:rsid w:val="005B4487"/>
    <w:rsid w:val="005B44F9"/>
    <w:rsid w:val="005B4589"/>
    <w:rsid w:val="005B47FD"/>
    <w:rsid w:val="005B4DFE"/>
    <w:rsid w:val="005B4F91"/>
    <w:rsid w:val="005B57B3"/>
    <w:rsid w:val="005B5CEB"/>
    <w:rsid w:val="005B7908"/>
    <w:rsid w:val="005C00C7"/>
    <w:rsid w:val="005C02C1"/>
    <w:rsid w:val="005C19A9"/>
    <w:rsid w:val="005C1CAA"/>
    <w:rsid w:val="005C1DE0"/>
    <w:rsid w:val="005C2230"/>
    <w:rsid w:val="005C3A85"/>
    <w:rsid w:val="005C596A"/>
    <w:rsid w:val="005C6D6B"/>
    <w:rsid w:val="005C6DBA"/>
    <w:rsid w:val="005C7C31"/>
    <w:rsid w:val="005C7CE6"/>
    <w:rsid w:val="005D0269"/>
    <w:rsid w:val="005D043B"/>
    <w:rsid w:val="005D057E"/>
    <w:rsid w:val="005D0999"/>
    <w:rsid w:val="005D0C6F"/>
    <w:rsid w:val="005D1A31"/>
    <w:rsid w:val="005D2075"/>
    <w:rsid w:val="005D2C60"/>
    <w:rsid w:val="005D35F4"/>
    <w:rsid w:val="005D36CC"/>
    <w:rsid w:val="005D3C4D"/>
    <w:rsid w:val="005D43D7"/>
    <w:rsid w:val="005D4BCF"/>
    <w:rsid w:val="005D4EE5"/>
    <w:rsid w:val="005D51E6"/>
    <w:rsid w:val="005D521D"/>
    <w:rsid w:val="005D5635"/>
    <w:rsid w:val="005D5B72"/>
    <w:rsid w:val="005D5E7C"/>
    <w:rsid w:val="005D70FE"/>
    <w:rsid w:val="005D7691"/>
    <w:rsid w:val="005D7711"/>
    <w:rsid w:val="005D772D"/>
    <w:rsid w:val="005D7857"/>
    <w:rsid w:val="005D7C95"/>
    <w:rsid w:val="005D7EA6"/>
    <w:rsid w:val="005D7F69"/>
    <w:rsid w:val="005E0960"/>
    <w:rsid w:val="005E0C3F"/>
    <w:rsid w:val="005E0C4D"/>
    <w:rsid w:val="005E0C59"/>
    <w:rsid w:val="005E0C75"/>
    <w:rsid w:val="005E0D03"/>
    <w:rsid w:val="005E171E"/>
    <w:rsid w:val="005E2678"/>
    <w:rsid w:val="005E2F66"/>
    <w:rsid w:val="005E4AFD"/>
    <w:rsid w:val="005E4FC5"/>
    <w:rsid w:val="005E5253"/>
    <w:rsid w:val="005E52AD"/>
    <w:rsid w:val="005E5B14"/>
    <w:rsid w:val="005E6A69"/>
    <w:rsid w:val="005E6EDD"/>
    <w:rsid w:val="005E6EE3"/>
    <w:rsid w:val="005E6F68"/>
    <w:rsid w:val="005E7230"/>
    <w:rsid w:val="005E72B4"/>
    <w:rsid w:val="005E73C6"/>
    <w:rsid w:val="005F1261"/>
    <w:rsid w:val="005F1331"/>
    <w:rsid w:val="005F1EE5"/>
    <w:rsid w:val="005F1F7A"/>
    <w:rsid w:val="005F3130"/>
    <w:rsid w:val="005F3E50"/>
    <w:rsid w:val="005F3E60"/>
    <w:rsid w:val="005F416F"/>
    <w:rsid w:val="005F5062"/>
    <w:rsid w:val="005F51C8"/>
    <w:rsid w:val="005F56CA"/>
    <w:rsid w:val="005F56EE"/>
    <w:rsid w:val="005F5B4E"/>
    <w:rsid w:val="005F5E3A"/>
    <w:rsid w:val="005F643A"/>
    <w:rsid w:val="005F678F"/>
    <w:rsid w:val="005F7491"/>
    <w:rsid w:val="005F776A"/>
    <w:rsid w:val="005F7C9A"/>
    <w:rsid w:val="005F7D7F"/>
    <w:rsid w:val="00600016"/>
    <w:rsid w:val="006000C5"/>
    <w:rsid w:val="00600954"/>
    <w:rsid w:val="006009E6"/>
    <w:rsid w:val="00600DB9"/>
    <w:rsid w:val="00600EA7"/>
    <w:rsid w:val="0060108A"/>
    <w:rsid w:val="0060186E"/>
    <w:rsid w:val="0060194F"/>
    <w:rsid w:val="00601CB9"/>
    <w:rsid w:val="00601D30"/>
    <w:rsid w:val="006023E6"/>
    <w:rsid w:val="00602729"/>
    <w:rsid w:val="00602794"/>
    <w:rsid w:val="0060336D"/>
    <w:rsid w:val="00603624"/>
    <w:rsid w:val="0060373D"/>
    <w:rsid w:val="00603AF4"/>
    <w:rsid w:val="00604018"/>
    <w:rsid w:val="0060444D"/>
    <w:rsid w:val="00604B5D"/>
    <w:rsid w:val="00604EE7"/>
    <w:rsid w:val="006052C3"/>
    <w:rsid w:val="0060563A"/>
    <w:rsid w:val="00606293"/>
    <w:rsid w:val="0060637F"/>
    <w:rsid w:val="00606B46"/>
    <w:rsid w:val="006070A2"/>
    <w:rsid w:val="00607360"/>
    <w:rsid w:val="00607610"/>
    <w:rsid w:val="00607A72"/>
    <w:rsid w:val="00607E46"/>
    <w:rsid w:val="006101FF"/>
    <w:rsid w:val="00610A60"/>
    <w:rsid w:val="0061104B"/>
    <w:rsid w:val="006112CF"/>
    <w:rsid w:val="00611A6E"/>
    <w:rsid w:val="00611E08"/>
    <w:rsid w:val="006124A6"/>
    <w:rsid w:val="0061295D"/>
    <w:rsid w:val="00613028"/>
    <w:rsid w:val="006137F6"/>
    <w:rsid w:val="00613CA9"/>
    <w:rsid w:val="0061468E"/>
    <w:rsid w:val="00615DC2"/>
    <w:rsid w:val="00616355"/>
    <w:rsid w:val="00616550"/>
    <w:rsid w:val="006168CD"/>
    <w:rsid w:val="006175DE"/>
    <w:rsid w:val="00620974"/>
    <w:rsid w:val="00622127"/>
    <w:rsid w:val="0062238A"/>
    <w:rsid w:val="00622C3D"/>
    <w:rsid w:val="00622EB6"/>
    <w:rsid w:val="006230D7"/>
    <w:rsid w:val="00623196"/>
    <w:rsid w:val="00623366"/>
    <w:rsid w:val="006234F3"/>
    <w:rsid w:val="0062383A"/>
    <w:rsid w:val="006238A5"/>
    <w:rsid w:val="00623A12"/>
    <w:rsid w:val="00623B2C"/>
    <w:rsid w:val="00623B6D"/>
    <w:rsid w:val="0062419C"/>
    <w:rsid w:val="0062429C"/>
    <w:rsid w:val="006242B6"/>
    <w:rsid w:val="00624B5C"/>
    <w:rsid w:val="00624CEC"/>
    <w:rsid w:val="00624D54"/>
    <w:rsid w:val="006251BA"/>
    <w:rsid w:val="006251BB"/>
    <w:rsid w:val="0062585B"/>
    <w:rsid w:val="006258DE"/>
    <w:rsid w:val="00626683"/>
    <w:rsid w:val="0062686C"/>
    <w:rsid w:val="006268CD"/>
    <w:rsid w:val="00626CB3"/>
    <w:rsid w:val="00626EB6"/>
    <w:rsid w:val="0062718E"/>
    <w:rsid w:val="006278EA"/>
    <w:rsid w:val="006301BF"/>
    <w:rsid w:val="006301DB"/>
    <w:rsid w:val="006306AC"/>
    <w:rsid w:val="00630C2B"/>
    <w:rsid w:val="00631952"/>
    <w:rsid w:val="006326E0"/>
    <w:rsid w:val="0063281B"/>
    <w:rsid w:val="006328AC"/>
    <w:rsid w:val="0063312A"/>
    <w:rsid w:val="00633294"/>
    <w:rsid w:val="006332A2"/>
    <w:rsid w:val="006356C4"/>
    <w:rsid w:val="00636132"/>
    <w:rsid w:val="00636C99"/>
    <w:rsid w:val="0063703F"/>
    <w:rsid w:val="00637C4D"/>
    <w:rsid w:val="00637DEA"/>
    <w:rsid w:val="00640786"/>
    <w:rsid w:val="00641696"/>
    <w:rsid w:val="0064203A"/>
    <w:rsid w:val="006420CC"/>
    <w:rsid w:val="0064264A"/>
    <w:rsid w:val="006428E7"/>
    <w:rsid w:val="0064397A"/>
    <w:rsid w:val="00643BA4"/>
    <w:rsid w:val="006441B3"/>
    <w:rsid w:val="00644BA0"/>
    <w:rsid w:val="00644C9E"/>
    <w:rsid w:val="0064549B"/>
    <w:rsid w:val="00645944"/>
    <w:rsid w:val="00646C7E"/>
    <w:rsid w:val="00647C3B"/>
    <w:rsid w:val="006500C4"/>
    <w:rsid w:val="00650999"/>
    <w:rsid w:val="00650BF4"/>
    <w:rsid w:val="00650DA1"/>
    <w:rsid w:val="0065193C"/>
    <w:rsid w:val="0065228B"/>
    <w:rsid w:val="00652471"/>
    <w:rsid w:val="0065248B"/>
    <w:rsid w:val="00653BBD"/>
    <w:rsid w:val="00653C89"/>
    <w:rsid w:val="006549B8"/>
    <w:rsid w:val="00654A52"/>
    <w:rsid w:val="0065506A"/>
    <w:rsid w:val="00655377"/>
    <w:rsid w:val="0065602A"/>
    <w:rsid w:val="00656779"/>
    <w:rsid w:val="00656A98"/>
    <w:rsid w:val="00656B73"/>
    <w:rsid w:val="006571E9"/>
    <w:rsid w:val="00657470"/>
    <w:rsid w:val="00657B86"/>
    <w:rsid w:val="006601ED"/>
    <w:rsid w:val="0066069E"/>
    <w:rsid w:val="00660E67"/>
    <w:rsid w:val="00661443"/>
    <w:rsid w:val="00661467"/>
    <w:rsid w:val="00661AB1"/>
    <w:rsid w:val="00661D7F"/>
    <w:rsid w:val="006624D2"/>
    <w:rsid w:val="006628C1"/>
    <w:rsid w:val="00662CC5"/>
    <w:rsid w:val="00662FFE"/>
    <w:rsid w:val="006633DC"/>
    <w:rsid w:val="006634BD"/>
    <w:rsid w:val="00664644"/>
    <w:rsid w:val="00664903"/>
    <w:rsid w:val="00664E98"/>
    <w:rsid w:val="00664F0B"/>
    <w:rsid w:val="006654F2"/>
    <w:rsid w:val="00665853"/>
    <w:rsid w:val="006660E4"/>
    <w:rsid w:val="0066616B"/>
    <w:rsid w:val="006666A3"/>
    <w:rsid w:val="00666D8F"/>
    <w:rsid w:val="00667A10"/>
    <w:rsid w:val="00667B9C"/>
    <w:rsid w:val="00667DC2"/>
    <w:rsid w:val="00670BEB"/>
    <w:rsid w:val="00670C1B"/>
    <w:rsid w:val="00670FAB"/>
    <w:rsid w:val="0067108B"/>
    <w:rsid w:val="00671227"/>
    <w:rsid w:val="006714C5"/>
    <w:rsid w:val="00671C66"/>
    <w:rsid w:val="00672654"/>
    <w:rsid w:val="00672B88"/>
    <w:rsid w:val="00672FA6"/>
    <w:rsid w:val="00673B16"/>
    <w:rsid w:val="00673DDE"/>
    <w:rsid w:val="00674548"/>
    <w:rsid w:val="0067504A"/>
    <w:rsid w:val="00677001"/>
    <w:rsid w:val="0068093A"/>
    <w:rsid w:val="00681018"/>
    <w:rsid w:val="006813C4"/>
    <w:rsid w:val="00681C0C"/>
    <w:rsid w:val="0068210A"/>
    <w:rsid w:val="00682E49"/>
    <w:rsid w:val="006832DA"/>
    <w:rsid w:val="0068338A"/>
    <w:rsid w:val="00683664"/>
    <w:rsid w:val="00683B7E"/>
    <w:rsid w:val="00683C03"/>
    <w:rsid w:val="00683E84"/>
    <w:rsid w:val="00684B1A"/>
    <w:rsid w:val="00684C64"/>
    <w:rsid w:val="0068525B"/>
    <w:rsid w:val="00685317"/>
    <w:rsid w:val="00685593"/>
    <w:rsid w:val="006855F9"/>
    <w:rsid w:val="00685C70"/>
    <w:rsid w:val="00685E2C"/>
    <w:rsid w:val="0068663E"/>
    <w:rsid w:val="0068754C"/>
    <w:rsid w:val="00690C1E"/>
    <w:rsid w:val="00690D65"/>
    <w:rsid w:val="00691038"/>
    <w:rsid w:val="00691292"/>
    <w:rsid w:val="006919DA"/>
    <w:rsid w:val="006926E6"/>
    <w:rsid w:val="00693431"/>
    <w:rsid w:val="00693585"/>
    <w:rsid w:val="00693C0C"/>
    <w:rsid w:val="00694890"/>
    <w:rsid w:val="00695BE8"/>
    <w:rsid w:val="00695DFA"/>
    <w:rsid w:val="00695E5C"/>
    <w:rsid w:val="006960C6"/>
    <w:rsid w:val="00696536"/>
    <w:rsid w:val="0069660D"/>
    <w:rsid w:val="006968BF"/>
    <w:rsid w:val="006A08A8"/>
    <w:rsid w:val="006A0BAB"/>
    <w:rsid w:val="006A0E43"/>
    <w:rsid w:val="006A1A68"/>
    <w:rsid w:val="006A1E8D"/>
    <w:rsid w:val="006A20CC"/>
    <w:rsid w:val="006A2933"/>
    <w:rsid w:val="006A2E8D"/>
    <w:rsid w:val="006A374D"/>
    <w:rsid w:val="006A3DC1"/>
    <w:rsid w:val="006A421E"/>
    <w:rsid w:val="006A4AE1"/>
    <w:rsid w:val="006A4BDB"/>
    <w:rsid w:val="006A4C93"/>
    <w:rsid w:val="006A5000"/>
    <w:rsid w:val="006A5A45"/>
    <w:rsid w:val="006A608F"/>
    <w:rsid w:val="006A6174"/>
    <w:rsid w:val="006A66D4"/>
    <w:rsid w:val="006A7379"/>
    <w:rsid w:val="006A75FA"/>
    <w:rsid w:val="006A7EC2"/>
    <w:rsid w:val="006B06D8"/>
    <w:rsid w:val="006B1535"/>
    <w:rsid w:val="006B1AA6"/>
    <w:rsid w:val="006B1D59"/>
    <w:rsid w:val="006B2491"/>
    <w:rsid w:val="006B24F9"/>
    <w:rsid w:val="006B317B"/>
    <w:rsid w:val="006B32DB"/>
    <w:rsid w:val="006B35C0"/>
    <w:rsid w:val="006B43A9"/>
    <w:rsid w:val="006B4B54"/>
    <w:rsid w:val="006B50C7"/>
    <w:rsid w:val="006B5AE5"/>
    <w:rsid w:val="006B5CBA"/>
    <w:rsid w:val="006B5E36"/>
    <w:rsid w:val="006B60A2"/>
    <w:rsid w:val="006B6197"/>
    <w:rsid w:val="006B63C7"/>
    <w:rsid w:val="006B6963"/>
    <w:rsid w:val="006B6A5E"/>
    <w:rsid w:val="006B6BB3"/>
    <w:rsid w:val="006B6D10"/>
    <w:rsid w:val="006B7515"/>
    <w:rsid w:val="006B7589"/>
    <w:rsid w:val="006B7D37"/>
    <w:rsid w:val="006B7E0B"/>
    <w:rsid w:val="006C03B0"/>
    <w:rsid w:val="006C081F"/>
    <w:rsid w:val="006C1051"/>
    <w:rsid w:val="006C12CE"/>
    <w:rsid w:val="006C14A3"/>
    <w:rsid w:val="006C1604"/>
    <w:rsid w:val="006C1678"/>
    <w:rsid w:val="006C2A2E"/>
    <w:rsid w:val="006C2E24"/>
    <w:rsid w:val="006C33B4"/>
    <w:rsid w:val="006C3E03"/>
    <w:rsid w:val="006C4076"/>
    <w:rsid w:val="006C4094"/>
    <w:rsid w:val="006C45E2"/>
    <w:rsid w:val="006C46B1"/>
    <w:rsid w:val="006C4A61"/>
    <w:rsid w:val="006C4FD8"/>
    <w:rsid w:val="006C5115"/>
    <w:rsid w:val="006C564F"/>
    <w:rsid w:val="006C5CA4"/>
    <w:rsid w:val="006C5F29"/>
    <w:rsid w:val="006C6182"/>
    <w:rsid w:val="006C6199"/>
    <w:rsid w:val="006C65E6"/>
    <w:rsid w:val="006C664C"/>
    <w:rsid w:val="006C69B0"/>
    <w:rsid w:val="006C6F29"/>
    <w:rsid w:val="006D0D38"/>
    <w:rsid w:val="006D0F05"/>
    <w:rsid w:val="006D17CF"/>
    <w:rsid w:val="006D1933"/>
    <w:rsid w:val="006D21CA"/>
    <w:rsid w:val="006D2818"/>
    <w:rsid w:val="006D2A97"/>
    <w:rsid w:val="006D2DB8"/>
    <w:rsid w:val="006D39FC"/>
    <w:rsid w:val="006D4438"/>
    <w:rsid w:val="006D49C3"/>
    <w:rsid w:val="006D4AD0"/>
    <w:rsid w:val="006D4BB0"/>
    <w:rsid w:val="006D4CC2"/>
    <w:rsid w:val="006D59E7"/>
    <w:rsid w:val="006D74CC"/>
    <w:rsid w:val="006D7597"/>
    <w:rsid w:val="006D7860"/>
    <w:rsid w:val="006D7F2A"/>
    <w:rsid w:val="006D7F6A"/>
    <w:rsid w:val="006E0B92"/>
    <w:rsid w:val="006E0FEE"/>
    <w:rsid w:val="006E10EC"/>
    <w:rsid w:val="006E1FDB"/>
    <w:rsid w:val="006E2A2B"/>
    <w:rsid w:val="006E2AC5"/>
    <w:rsid w:val="006E31FA"/>
    <w:rsid w:val="006E32C5"/>
    <w:rsid w:val="006E3899"/>
    <w:rsid w:val="006E3921"/>
    <w:rsid w:val="006E392B"/>
    <w:rsid w:val="006E3BDF"/>
    <w:rsid w:val="006E3BE2"/>
    <w:rsid w:val="006E3C8A"/>
    <w:rsid w:val="006E40D4"/>
    <w:rsid w:val="006E427A"/>
    <w:rsid w:val="006E5350"/>
    <w:rsid w:val="006E592B"/>
    <w:rsid w:val="006E6405"/>
    <w:rsid w:val="006E679F"/>
    <w:rsid w:val="006E6B5D"/>
    <w:rsid w:val="006F0E84"/>
    <w:rsid w:val="006F1039"/>
    <w:rsid w:val="006F12BA"/>
    <w:rsid w:val="006F17FC"/>
    <w:rsid w:val="006F1BDB"/>
    <w:rsid w:val="006F2174"/>
    <w:rsid w:val="006F28AC"/>
    <w:rsid w:val="006F2F5B"/>
    <w:rsid w:val="006F30E5"/>
    <w:rsid w:val="006F336B"/>
    <w:rsid w:val="006F35DF"/>
    <w:rsid w:val="006F3B87"/>
    <w:rsid w:val="006F3E7F"/>
    <w:rsid w:val="006F3FEE"/>
    <w:rsid w:val="006F46A6"/>
    <w:rsid w:val="006F5244"/>
    <w:rsid w:val="006F55C8"/>
    <w:rsid w:val="006F5652"/>
    <w:rsid w:val="006F570E"/>
    <w:rsid w:val="006F574B"/>
    <w:rsid w:val="006F674C"/>
    <w:rsid w:val="006F6A40"/>
    <w:rsid w:val="006F7B0E"/>
    <w:rsid w:val="00700310"/>
    <w:rsid w:val="0070085C"/>
    <w:rsid w:val="00700958"/>
    <w:rsid w:val="00700E45"/>
    <w:rsid w:val="00701DA2"/>
    <w:rsid w:val="0070216E"/>
    <w:rsid w:val="0070260D"/>
    <w:rsid w:val="0070263D"/>
    <w:rsid w:val="00702AE3"/>
    <w:rsid w:val="00702BF7"/>
    <w:rsid w:val="0070393C"/>
    <w:rsid w:val="00703C4D"/>
    <w:rsid w:val="00703C79"/>
    <w:rsid w:val="00703D69"/>
    <w:rsid w:val="007048C2"/>
    <w:rsid w:val="00704AC9"/>
    <w:rsid w:val="007056CC"/>
    <w:rsid w:val="00705B13"/>
    <w:rsid w:val="00706147"/>
    <w:rsid w:val="00707005"/>
    <w:rsid w:val="007073CB"/>
    <w:rsid w:val="00707517"/>
    <w:rsid w:val="00707DB3"/>
    <w:rsid w:val="00711408"/>
    <w:rsid w:val="007115E1"/>
    <w:rsid w:val="00711F0B"/>
    <w:rsid w:val="007123A3"/>
    <w:rsid w:val="00713490"/>
    <w:rsid w:val="00713642"/>
    <w:rsid w:val="00713BC4"/>
    <w:rsid w:val="007141F9"/>
    <w:rsid w:val="00714730"/>
    <w:rsid w:val="00714A9E"/>
    <w:rsid w:val="00714AF5"/>
    <w:rsid w:val="00714E07"/>
    <w:rsid w:val="00715069"/>
    <w:rsid w:val="0071625B"/>
    <w:rsid w:val="0071653D"/>
    <w:rsid w:val="007165B6"/>
    <w:rsid w:val="0071672E"/>
    <w:rsid w:val="00716BE6"/>
    <w:rsid w:val="007172F4"/>
    <w:rsid w:val="0071744B"/>
    <w:rsid w:val="00717974"/>
    <w:rsid w:val="00717C8D"/>
    <w:rsid w:val="00717E22"/>
    <w:rsid w:val="00720190"/>
    <w:rsid w:val="00720923"/>
    <w:rsid w:val="00720F9F"/>
    <w:rsid w:val="0072170A"/>
    <w:rsid w:val="00721878"/>
    <w:rsid w:val="00721EB7"/>
    <w:rsid w:val="00723718"/>
    <w:rsid w:val="00723EE1"/>
    <w:rsid w:val="00724879"/>
    <w:rsid w:val="00724A98"/>
    <w:rsid w:val="00724C3D"/>
    <w:rsid w:val="00724E96"/>
    <w:rsid w:val="0072511D"/>
    <w:rsid w:val="0072519B"/>
    <w:rsid w:val="007256E8"/>
    <w:rsid w:val="007257DB"/>
    <w:rsid w:val="0072585B"/>
    <w:rsid w:val="0072594F"/>
    <w:rsid w:val="00725B96"/>
    <w:rsid w:val="00726A37"/>
    <w:rsid w:val="007276FD"/>
    <w:rsid w:val="0072782F"/>
    <w:rsid w:val="007306BF"/>
    <w:rsid w:val="0073076B"/>
    <w:rsid w:val="00730C95"/>
    <w:rsid w:val="00732A5E"/>
    <w:rsid w:val="007339E7"/>
    <w:rsid w:val="00733AE1"/>
    <w:rsid w:val="00733B88"/>
    <w:rsid w:val="00733D52"/>
    <w:rsid w:val="007342A8"/>
    <w:rsid w:val="00734430"/>
    <w:rsid w:val="00734871"/>
    <w:rsid w:val="00734A83"/>
    <w:rsid w:val="00735257"/>
    <w:rsid w:val="00735F5E"/>
    <w:rsid w:val="00736339"/>
    <w:rsid w:val="00736494"/>
    <w:rsid w:val="007368E5"/>
    <w:rsid w:val="007369F3"/>
    <w:rsid w:val="00736D92"/>
    <w:rsid w:val="00737353"/>
    <w:rsid w:val="007373BE"/>
    <w:rsid w:val="00737435"/>
    <w:rsid w:val="007374DC"/>
    <w:rsid w:val="007379D9"/>
    <w:rsid w:val="00740222"/>
    <w:rsid w:val="00740359"/>
    <w:rsid w:val="007403F2"/>
    <w:rsid w:val="007415F2"/>
    <w:rsid w:val="00741ADC"/>
    <w:rsid w:val="007422C4"/>
    <w:rsid w:val="007438B7"/>
    <w:rsid w:val="00743EE0"/>
    <w:rsid w:val="007440A4"/>
    <w:rsid w:val="00744AC5"/>
    <w:rsid w:val="00744B9C"/>
    <w:rsid w:val="00744C21"/>
    <w:rsid w:val="00745C42"/>
    <w:rsid w:val="00745FFC"/>
    <w:rsid w:val="0074602A"/>
    <w:rsid w:val="007467A7"/>
    <w:rsid w:val="00746EA9"/>
    <w:rsid w:val="00746F78"/>
    <w:rsid w:val="0074722D"/>
    <w:rsid w:val="0074731D"/>
    <w:rsid w:val="00747CBB"/>
    <w:rsid w:val="00750084"/>
    <w:rsid w:val="00750675"/>
    <w:rsid w:val="00750B9D"/>
    <w:rsid w:val="00750C0D"/>
    <w:rsid w:val="00750D4D"/>
    <w:rsid w:val="00750E3E"/>
    <w:rsid w:val="00750F72"/>
    <w:rsid w:val="007517CC"/>
    <w:rsid w:val="00751AD4"/>
    <w:rsid w:val="0075247A"/>
    <w:rsid w:val="00753488"/>
    <w:rsid w:val="0075355F"/>
    <w:rsid w:val="0075400E"/>
    <w:rsid w:val="007545BB"/>
    <w:rsid w:val="00754A59"/>
    <w:rsid w:val="00754B49"/>
    <w:rsid w:val="007558F5"/>
    <w:rsid w:val="00756343"/>
    <w:rsid w:val="0075689B"/>
    <w:rsid w:val="00756F4E"/>
    <w:rsid w:val="00757274"/>
    <w:rsid w:val="0075727A"/>
    <w:rsid w:val="007573B8"/>
    <w:rsid w:val="0075747F"/>
    <w:rsid w:val="007604A7"/>
    <w:rsid w:val="0076239C"/>
    <w:rsid w:val="007624C8"/>
    <w:rsid w:val="00763057"/>
    <w:rsid w:val="00763182"/>
    <w:rsid w:val="00763BB6"/>
    <w:rsid w:val="007642CA"/>
    <w:rsid w:val="00764875"/>
    <w:rsid w:val="00764BDC"/>
    <w:rsid w:val="00765382"/>
    <w:rsid w:val="007669E9"/>
    <w:rsid w:val="0076720C"/>
    <w:rsid w:val="00767E52"/>
    <w:rsid w:val="007714EB"/>
    <w:rsid w:val="007716F4"/>
    <w:rsid w:val="0077171F"/>
    <w:rsid w:val="00771B09"/>
    <w:rsid w:val="00771E38"/>
    <w:rsid w:val="00772EA1"/>
    <w:rsid w:val="007731AA"/>
    <w:rsid w:val="00773EE1"/>
    <w:rsid w:val="0077415C"/>
    <w:rsid w:val="00774689"/>
    <w:rsid w:val="00774B81"/>
    <w:rsid w:val="00774BC0"/>
    <w:rsid w:val="007753A2"/>
    <w:rsid w:val="007756E5"/>
    <w:rsid w:val="00775B37"/>
    <w:rsid w:val="00775BC3"/>
    <w:rsid w:val="00776260"/>
    <w:rsid w:val="007763B2"/>
    <w:rsid w:val="00776737"/>
    <w:rsid w:val="00776CD3"/>
    <w:rsid w:val="007771BC"/>
    <w:rsid w:val="0077741E"/>
    <w:rsid w:val="00777507"/>
    <w:rsid w:val="007778DA"/>
    <w:rsid w:val="007804AA"/>
    <w:rsid w:val="00780BF5"/>
    <w:rsid w:val="00781B37"/>
    <w:rsid w:val="007821F3"/>
    <w:rsid w:val="007824F5"/>
    <w:rsid w:val="0078301E"/>
    <w:rsid w:val="00783A0D"/>
    <w:rsid w:val="00783E8B"/>
    <w:rsid w:val="007843E9"/>
    <w:rsid w:val="00784F14"/>
    <w:rsid w:val="007853B1"/>
    <w:rsid w:val="007859F5"/>
    <w:rsid w:val="00786038"/>
    <w:rsid w:val="007860E8"/>
    <w:rsid w:val="007861F2"/>
    <w:rsid w:val="00787961"/>
    <w:rsid w:val="00787F49"/>
    <w:rsid w:val="0079089D"/>
    <w:rsid w:val="00790D2F"/>
    <w:rsid w:val="00791079"/>
    <w:rsid w:val="007918F1"/>
    <w:rsid w:val="00791958"/>
    <w:rsid w:val="0079256A"/>
    <w:rsid w:val="00792A00"/>
    <w:rsid w:val="00792D20"/>
    <w:rsid w:val="00793206"/>
    <w:rsid w:val="00793983"/>
    <w:rsid w:val="00793AFC"/>
    <w:rsid w:val="00793E71"/>
    <w:rsid w:val="00794312"/>
    <w:rsid w:val="007946E9"/>
    <w:rsid w:val="00794D2C"/>
    <w:rsid w:val="00795723"/>
    <w:rsid w:val="0079582D"/>
    <w:rsid w:val="00795F69"/>
    <w:rsid w:val="00796041"/>
    <w:rsid w:val="0079635B"/>
    <w:rsid w:val="00796AA7"/>
    <w:rsid w:val="0079799D"/>
    <w:rsid w:val="00797D08"/>
    <w:rsid w:val="007A058F"/>
    <w:rsid w:val="007A05F2"/>
    <w:rsid w:val="007A0917"/>
    <w:rsid w:val="007A148A"/>
    <w:rsid w:val="007A23CC"/>
    <w:rsid w:val="007A25C0"/>
    <w:rsid w:val="007A2633"/>
    <w:rsid w:val="007A347C"/>
    <w:rsid w:val="007A3823"/>
    <w:rsid w:val="007A3909"/>
    <w:rsid w:val="007A3EEF"/>
    <w:rsid w:val="007A3F89"/>
    <w:rsid w:val="007A40CD"/>
    <w:rsid w:val="007A456C"/>
    <w:rsid w:val="007A4B24"/>
    <w:rsid w:val="007A5461"/>
    <w:rsid w:val="007A56E6"/>
    <w:rsid w:val="007A5FAD"/>
    <w:rsid w:val="007A65DA"/>
    <w:rsid w:val="007A73A1"/>
    <w:rsid w:val="007A73F0"/>
    <w:rsid w:val="007A760D"/>
    <w:rsid w:val="007A794C"/>
    <w:rsid w:val="007A7B8D"/>
    <w:rsid w:val="007B0357"/>
    <w:rsid w:val="007B0613"/>
    <w:rsid w:val="007B06F2"/>
    <w:rsid w:val="007B22E1"/>
    <w:rsid w:val="007B2333"/>
    <w:rsid w:val="007B2726"/>
    <w:rsid w:val="007B3402"/>
    <w:rsid w:val="007B3FA6"/>
    <w:rsid w:val="007B44B4"/>
    <w:rsid w:val="007B459A"/>
    <w:rsid w:val="007B4AC2"/>
    <w:rsid w:val="007B4AD5"/>
    <w:rsid w:val="007B4C00"/>
    <w:rsid w:val="007B4F13"/>
    <w:rsid w:val="007B50DE"/>
    <w:rsid w:val="007B56E0"/>
    <w:rsid w:val="007B5B8F"/>
    <w:rsid w:val="007B5BDF"/>
    <w:rsid w:val="007B5E33"/>
    <w:rsid w:val="007B5EE1"/>
    <w:rsid w:val="007B5F91"/>
    <w:rsid w:val="007B6F42"/>
    <w:rsid w:val="007B7337"/>
    <w:rsid w:val="007B758D"/>
    <w:rsid w:val="007B7683"/>
    <w:rsid w:val="007B78E4"/>
    <w:rsid w:val="007C0F06"/>
    <w:rsid w:val="007C244A"/>
    <w:rsid w:val="007C2692"/>
    <w:rsid w:val="007C26F0"/>
    <w:rsid w:val="007C27F8"/>
    <w:rsid w:val="007C2A04"/>
    <w:rsid w:val="007C2E40"/>
    <w:rsid w:val="007C30D2"/>
    <w:rsid w:val="007C31E4"/>
    <w:rsid w:val="007C3337"/>
    <w:rsid w:val="007C3B0F"/>
    <w:rsid w:val="007C3DB4"/>
    <w:rsid w:val="007C424C"/>
    <w:rsid w:val="007C485E"/>
    <w:rsid w:val="007C4BC6"/>
    <w:rsid w:val="007C5110"/>
    <w:rsid w:val="007C582E"/>
    <w:rsid w:val="007C5AC7"/>
    <w:rsid w:val="007C5F78"/>
    <w:rsid w:val="007C6031"/>
    <w:rsid w:val="007C603B"/>
    <w:rsid w:val="007C61D3"/>
    <w:rsid w:val="007C72B7"/>
    <w:rsid w:val="007C757E"/>
    <w:rsid w:val="007C7B45"/>
    <w:rsid w:val="007C7D63"/>
    <w:rsid w:val="007C7DDE"/>
    <w:rsid w:val="007D04AB"/>
    <w:rsid w:val="007D07E5"/>
    <w:rsid w:val="007D0E50"/>
    <w:rsid w:val="007D27A5"/>
    <w:rsid w:val="007D28A0"/>
    <w:rsid w:val="007D2A69"/>
    <w:rsid w:val="007D301B"/>
    <w:rsid w:val="007D32D2"/>
    <w:rsid w:val="007D38D1"/>
    <w:rsid w:val="007D4BF8"/>
    <w:rsid w:val="007D4D64"/>
    <w:rsid w:val="007D4DA8"/>
    <w:rsid w:val="007D5078"/>
    <w:rsid w:val="007D578C"/>
    <w:rsid w:val="007D5D26"/>
    <w:rsid w:val="007D66A4"/>
    <w:rsid w:val="007D67C4"/>
    <w:rsid w:val="007D6B03"/>
    <w:rsid w:val="007D733C"/>
    <w:rsid w:val="007E06DF"/>
    <w:rsid w:val="007E12F6"/>
    <w:rsid w:val="007E17E4"/>
    <w:rsid w:val="007E1DE3"/>
    <w:rsid w:val="007E1F9D"/>
    <w:rsid w:val="007E2338"/>
    <w:rsid w:val="007E2407"/>
    <w:rsid w:val="007E28CA"/>
    <w:rsid w:val="007E2B17"/>
    <w:rsid w:val="007E3EB9"/>
    <w:rsid w:val="007E4719"/>
    <w:rsid w:val="007E48AA"/>
    <w:rsid w:val="007E5383"/>
    <w:rsid w:val="007E579F"/>
    <w:rsid w:val="007E5FEC"/>
    <w:rsid w:val="007E6464"/>
    <w:rsid w:val="007E65E3"/>
    <w:rsid w:val="007E69E2"/>
    <w:rsid w:val="007E73C9"/>
    <w:rsid w:val="007F0706"/>
    <w:rsid w:val="007F0B2A"/>
    <w:rsid w:val="007F2738"/>
    <w:rsid w:val="007F29CD"/>
    <w:rsid w:val="007F2C36"/>
    <w:rsid w:val="007F2CE2"/>
    <w:rsid w:val="007F3007"/>
    <w:rsid w:val="007F3167"/>
    <w:rsid w:val="007F3AD0"/>
    <w:rsid w:val="007F3E87"/>
    <w:rsid w:val="007F3EB6"/>
    <w:rsid w:val="007F3FF7"/>
    <w:rsid w:val="007F4039"/>
    <w:rsid w:val="007F43C4"/>
    <w:rsid w:val="007F4788"/>
    <w:rsid w:val="007F4946"/>
    <w:rsid w:val="007F4E24"/>
    <w:rsid w:val="007F561B"/>
    <w:rsid w:val="007F588E"/>
    <w:rsid w:val="007F5E38"/>
    <w:rsid w:val="007F5E3F"/>
    <w:rsid w:val="007F5EC6"/>
    <w:rsid w:val="007F5FCB"/>
    <w:rsid w:val="007F614F"/>
    <w:rsid w:val="007F64F2"/>
    <w:rsid w:val="007F6733"/>
    <w:rsid w:val="007F691C"/>
    <w:rsid w:val="007F6C8D"/>
    <w:rsid w:val="007F73DE"/>
    <w:rsid w:val="007F7EB4"/>
    <w:rsid w:val="007F7EF8"/>
    <w:rsid w:val="008008CD"/>
    <w:rsid w:val="008008E2"/>
    <w:rsid w:val="00800DCE"/>
    <w:rsid w:val="0080121D"/>
    <w:rsid w:val="00801AAA"/>
    <w:rsid w:val="00801DC6"/>
    <w:rsid w:val="00802164"/>
    <w:rsid w:val="008038E8"/>
    <w:rsid w:val="00803FEC"/>
    <w:rsid w:val="008045A5"/>
    <w:rsid w:val="008059CA"/>
    <w:rsid w:val="00805CEC"/>
    <w:rsid w:val="00806998"/>
    <w:rsid w:val="00806C75"/>
    <w:rsid w:val="00806D80"/>
    <w:rsid w:val="00807400"/>
    <w:rsid w:val="00807AD4"/>
    <w:rsid w:val="00810D41"/>
    <w:rsid w:val="008115C0"/>
    <w:rsid w:val="008119D4"/>
    <w:rsid w:val="00812DDA"/>
    <w:rsid w:val="00813810"/>
    <w:rsid w:val="00813D71"/>
    <w:rsid w:val="00814462"/>
    <w:rsid w:val="00815071"/>
    <w:rsid w:val="008151CD"/>
    <w:rsid w:val="0081549B"/>
    <w:rsid w:val="008156DB"/>
    <w:rsid w:val="00815FA9"/>
    <w:rsid w:val="008165CB"/>
    <w:rsid w:val="008165E0"/>
    <w:rsid w:val="00816793"/>
    <w:rsid w:val="00816D39"/>
    <w:rsid w:val="00817069"/>
    <w:rsid w:val="00817105"/>
    <w:rsid w:val="0081747A"/>
    <w:rsid w:val="00817613"/>
    <w:rsid w:val="0081766A"/>
    <w:rsid w:val="0081775F"/>
    <w:rsid w:val="00817A51"/>
    <w:rsid w:val="00817BAE"/>
    <w:rsid w:val="00817C1C"/>
    <w:rsid w:val="00817C4F"/>
    <w:rsid w:val="00817D4F"/>
    <w:rsid w:val="00817EE7"/>
    <w:rsid w:val="0082003E"/>
    <w:rsid w:val="0082132E"/>
    <w:rsid w:val="0082133F"/>
    <w:rsid w:val="00821793"/>
    <w:rsid w:val="008218E8"/>
    <w:rsid w:val="00821FA4"/>
    <w:rsid w:val="00822192"/>
    <w:rsid w:val="008223C6"/>
    <w:rsid w:val="00822894"/>
    <w:rsid w:val="00822B7C"/>
    <w:rsid w:val="00822EF6"/>
    <w:rsid w:val="00824A7F"/>
    <w:rsid w:val="0082547F"/>
    <w:rsid w:val="0082567C"/>
    <w:rsid w:val="00826565"/>
    <w:rsid w:val="008267C7"/>
    <w:rsid w:val="00826B75"/>
    <w:rsid w:val="00827290"/>
    <w:rsid w:val="00827795"/>
    <w:rsid w:val="008277F4"/>
    <w:rsid w:val="00827B45"/>
    <w:rsid w:val="00827C40"/>
    <w:rsid w:val="00827E8E"/>
    <w:rsid w:val="00827F26"/>
    <w:rsid w:val="008301FF"/>
    <w:rsid w:val="00830465"/>
    <w:rsid w:val="00830B56"/>
    <w:rsid w:val="00830C97"/>
    <w:rsid w:val="00831178"/>
    <w:rsid w:val="008316A7"/>
    <w:rsid w:val="0083192A"/>
    <w:rsid w:val="00831D18"/>
    <w:rsid w:val="00833309"/>
    <w:rsid w:val="008333A4"/>
    <w:rsid w:val="008342BC"/>
    <w:rsid w:val="00834CB1"/>
    <w:rsid w:val="00835B87"/>
    <w:rsid w:val="00836A7D"/>
    <w:rsid w:val="00837721"/>
    <w:rsid w:val="0083775C"/>
    <w:rsid w:val="0084005C"/>
    <w:rsid w:val="00840304"/>
    <w:rsid w:val="00840422"/>
    <w:rsid w:val="00840768"/>
    <w:rsid w:val="008408E0"/>
    <w:rsid w:val="0084097D"/>
    <w:rsid w:val="00840BAA"/>
    <w:rsid w:val="00840CFB"/>
    <w:rsid w:val="008412D8"/>
    <w:rsid w:val="00841345"/>
    <w:rsid w:val="008428EF"/>
    <w:rsid w:val="0084315D"/>
    <w:rsid w:val="00843546"/>
    <w:rsid w:val="008435DC"/>
    <w:rsid w:val="00843685"/>
    <w:rsid w:val="00843780"/>
    <w:rsid w:val="0084433C"/>
    <w:rsid w:val="008448D3"/>
    <w:rsid w:val="00845491"/>
    <w:rsid w:val="008454B1"/>
    <w:rsid w:val="00845A9A"/>
    <w:rsid w:val="00845B70"/>
    <w:rsid w:val="00845C3A"/>
    <w:rsid w:val="00845E30"/>
    <w:rsid w:val="00845FE7"/>
    <w:rsid w:val="008470BD"/>
    <w:rsid w:val="008478F9"/>
    <w:rsid w:val="008507C3"/>
    <w:rsid w:val="00850E37"/>
    <w:rsid w:val="0085130C"/>
    <w:rsid w:val="00851768"/>
    <w:rsid w:val="00851AFD"/>
    <w:rsid w:val="00852434"/>
    <w:rsid w:val="00853147"/>
    <w:rsid w:val="00854D7B"/>
    <w:rsid w:val="00854FA4"/>
    <w:rsid w:val="008554D8"/>
    <w:rsid w:val="0085585C"/>
    <w:rsid w:val="008559FD"/>
    <w:rsid w:val="00855E43"/>
    <w:rsid w:val="00855FDD"/>
    <w:rsid w:val="008566BE"/>
    <w:rsid w:val="00856F19"/>
    <w:rsid w:val="0085756E"/>
    <w:rsid w:val="00857961"/>
    <w:rsid w:val="00860A0C"/>
    <w:rsid w:val="008615FD"/>
    <w:rsid w:val="00862175"/>
    <w:rsid w:val="008624D3"/>
    <w:rsid w:val="008628E3"/>
    <w:rsid w:val="00862CF5"/>
    <w:rsid w:val="008631D0"/>
    <w:rsid w:val="00863476"/>
    <w:rsid w:val="00863787"/>
    <w:rsid w:val="00863CEF"/>
    <w:rsid w:val="008645AC"/>
    <w:rsid w:val="0086486B"/>
    <w:rsid w:val="0086549F"/>
    <w:rsid w:val="008655F5"/>
    <w:rsid w:val="00865651"/>
    <w:rsid w:val="00865C6D"/>
    <w:rsid w:val="00865D6E"/>
    <w:rsid w:val="00866294"/>
    <w:rsid w:val="008664A4"/>
    <w:rsid w:val="008669F2"/>
    <w:rsid w:val="0086734B"/>
    <w:rsid w:val="008674E1"/>
    <w:rsid w:val="00867944"/>
    <w:rsid w:val="00870E90"/>
    <w:rsid w:val="00870ECC"/>
    <w:rsid w:val="00871E19"/>
    <w:rsid w:val="00871F21"/>
    <w:rsid w:val="00872A4A"/>
    <w:rsid w:val="00872FA3"/>
    <w:rsid w:val="00873453"/>
    <w:rsid w:val="0087407A"/>
    <w:rsid w:val="008747FB"/>
    <w:rsid w:val="008749B1"/>
    <w:rsid w:val="00874A25"/>
    <w:rsid w:val="008757EC"/>
    <w:rsid w:val="00875831"/>
    <w:rsid w:val="008759CF"/>
    <w:rsid w:val="00875ABD"/>
    <w:rsid w:val="00875ECC"/>
    <w:rsid w:val="008761B9"/>
    <w:rsid w:val="008767BE"/>
    <w:rsid w:val="008776ED"/>
    <w:rsid w:val="00877A90"/>
    <w:rsid w:val="00880848"/>
    <w:rsid w:val="008810B2"/>
    <w:rsid w:val="008813BE"/>
    <w:rsid w:val="00881C63"/>
    <w:rsid w:val="00882928"/>
    <w:rsid w:val="008829D7"/>
    <w:rsid w:val="00882B77"/>
    <w:rsid w:val="00883331"/>
    <w:rsid w:val="008835B3"/>
    <w:rsid w:val="00883E86"/>
    <w:rsid w:val="00884775"/>
    <w:rsid w:val="00884946"/>
    <w:rsid w:val="008853C4"/>
    <w:rsid w:val="00885DEA"/>
    <w:rsid w:val="008867D2"/>
    <w:rsid w:val="00886E96"/>
    <w:rsid w:val="00887745"/>
    <w:rsid w:val="00887C29"/>
    <w:rsid w:val="00890053"/>
    <w:rsid w:val="0089036F"/>
    <w:rsid w:val="0089065A"/>
    <w:rsid w:val="00890CBC"/>
    <w:rsid w:val="00891183"/>
    <w:rsid w:val="008914BD"/>
    <w:rsid w:val="0089161C"/>
    <w:rsid w:val="00891769"/>
    <w:rsid w:val="00891C10"/>
    <w:rsid w:val="00892150"/>
    <w:rsid w:val="008925F4"/>
    <w:rsid w:val="00892EDD"/>
    <w:rsid w:val="00893307"/>
    <w:rsid w:val="00893852"/>
    <w:rsid w:val="00893D85"/>
    <w:rsid w:val="008941F7"/>
    <w:rsid w:val="0089425E"/>
    <w:rsid w:val="00894573"/>
    <w:rsid w:val="0089458A"/>
    <w:rsid w:val="0089467D"/>
    <w:rsid w:val="008948CE"/>
    <w:rsid w:val="00894B1F"/>
    <w:rsid w:val="00894BA0"/>
    <w:rsid w:val="00894FC6"/>
    <w:rsid w:val="008955E3"/>
    <w:rsid w:val="00896186"/>
    <w:rsid w:val="008966BE"/>
    <w:rsid w:val="008971CE"/>
    <w:rsid w:val="008979F1"/>
    <w:rsid w:val="008A0B36"/>
    <w:rsid w:val="008A0BED"/>
    <w:rsid w:val="008A0F4E"/>
    <w:rsid w:val="008A153C"/>
    <w:rsid w:val="008A1615"/>
    <w:rsid w:val="008A1BC2"/>
    <w:rsid w:val="008A1F21"/>
    <w:rsid w:val="008A24D0"/>
    <w:rsid w:val="008A25A5"/>
    <w:rsid w:val="008A2A9E"/>
    <w:rsid w:val="008A2C70"/>
    <w:rsid w:val="008A330E"/>
    <w:rsid w:val="008A3866"/>
    <w:rsid w:val="008A3BD9"/>
    <w:rsid w:val="008A3BF8"/>
    <w:rsid w:val="008A4642"/>
    <w:rsid w:val="008A4C29"/>
    <w:rsid w:val="008A4E61"/>
    <w:rsid w:val="008A5085"/>
    <w:rsid w:val="008A51A3"/>
    <w:rsid w:val="008A525F"/>
    <w:rsid w:val="008A5696"/>
    <w:rsid w:val="008A6186"/>
    <w:rsid w:val="008A6950"/>
    <w:rsid w:val="008A715E"/>
    <w:rsid w:val="008B002C"/>
    <w:rsid w:val="008B07B3"/>
    <w:rsid w:val="008B1A60"/>
    <w:rsid w:val="008B1B78"/>
    <w:rsid w:val="008B21DD"/>
    <w:rsid w:val="008B2B61"/>
    <w:rsid w:val="008B31E2"/>
    <w:rsid w:val="008B39D2"/>
    <w:rsid w:val="008B3AD9"/>
    <w:rsid w:val="008B3B7B"/>
    <w:rsid w:val="008B3B9B"/>
    <w:rsid w:val="008B3E10"/>
    <w:rsid w:val="008B4331"/>
    <w:rsid w:val="008B489A"/>
    <w:rsid w:val="008B48EF"/>
    <w:rsid w:val="008B508D"/>
    <w:rsid w:val="008B513A"/>
    <w:rsid w:val="008B5490"/>
    <w:rsid w:val="008B5BA7"/>
    <w:rsid w:val="008B6301"/>
    <w:rsid w:val="008B64B1"/>
    <w:rsid w:val="008B7CAB"/>
    <w:rsid w:val="008C09E0"/>
    <w:rsid w:val="008C1167"/>
    <w:rsid w:val="008C225E"/>
    <w:rsid w:val="008C2705"/>
    <w:rsid w:val="008C271E"/>
    <w:rsid w:val="008C2B02"/>
    <w:rsid w:val="008C2E5B"/>
    <w:rsid w:val="008C2FD2"/>
    <w:rsid w:val="008C37B2"/>
    <w:rsid w:val="008C4736"/>
    <w:rsid w:val="008C4925"/>
    <w:rsid w:val="008C54A3"/>
    <w:rsid w:val="008C5612"/>
    <w:rsid w:val="008C56E3"/>
    <w:rsid w:val="008C5B1B"/>
    <w:rsid w:val="008C608E"/>
    <w:rsid w:val="008C68F0"/>
    <w:rsid w:val="008C6E73"/>
    <w:rsid w:val="008C6EA4"/>
    <w:rsid w:val="008C6EF8"/>
    <w:rsid w:val="008C7126"/>
    <w:rsid w:val="008C7269"/>
    <w:rsid w:val="008C737A"/>
    <w:rsid w:val="008C7754"/>
    <w:rsid w:val="008D07C9"/>
    <w:rsid w:val="008D0BBE"/>
    <w:rsid w:val="008D0C83"/>
    <w:rsid w:val="008D133A"/>
    <w:rsid w:val="008D1CE2"/>
    <w:rsid w:val="008D2521"/>
    <w:rsid w:val="008D2D06"/>
    <w:rsid w:val="008D2FC7"/>
    <w:rsid w:val="008D31C4"/>
    <w:rsid w:val="008D34FB"/>
    <w:rsid w:val="008D3626"/>
    <w:rsid w:val="008D3BB9"/>
    <w:rsid w:val="008D44AF"/>
    <w:rsid w:val="008D4766"/>
    <w:rsid w:val="008D4AE0"/>
    <w:rsid w:val="008D50E6"/>
    <w:rsid w:val="008D52AA"/>
    <w:rsid w:val="008D5B02"/>
    <w:rsid w:val="008D5F2C"/>
    <w:rsid w:val="008D6302"/>
    <w:rsid w:val="008D723E"/>
    <w:rsid w:val="008D79E9"/>
    <w:rsid w:val="008D7B17"/>
    <w:rsid w:val="008E0113"/>
    <w:rsid w:val="008E037B"/>
    <w:rsid w:val="008E0690"/>
    <w:rsid w:val="008E0C79"/>
    <w:rsid w:val="008E1526"/>
    <w:rsid w:val="008E1B69"/>
    <w:rsid w:val="008E1CDA"/>
    <w:rsid w:val="008E201E"/>
    <w:rsid w:val="008E201F"/>
    <w:rsid w:val="008E2437"/>
    <w:rsid w:val="008E26BC"/>
    <w:rsid w:val="008E2C6C"/>
    <w:rsid w:val="008E3222"/>
    <w:rsid w:val="008E3F77"/>
    <w:rsid w:val="008E448F"/>
    <w:rsid w:val="008E4811"/>
    <w:rsid w:val="008E4861"/>
    <w:rsid w:val="008E4E1C"/>
    <w:rsid w:val="008E4EEE"/>
    <w:rsid w:val="008E6A39"/>
    <w:rsid w:val="008F0993"/>
    <w:rsid w:val="008F0E45"/>
    <w:rsid w:val="008F0F41"/>
    <w:rsid w:val="008F1D21"/>
    <w:rsid w:val="008F23FC"/>
    <w:rsid w:val="008F2733"/>
    <w:rsid w:val="008F2881"/>
    <w:rsid w:val="008F2B54"/>
    <w:rsid w:val="008F39DD"/>
    <w:rsid w:val="008F3FB7"/>
    <w:rsid w:val="008F4354"/>
    <w:rsid w:val="008F54C0"/>
    <w:rsid w:val="008F5747"/>
    <w:rsid w:val="008F69A3"/>
    <w:rsid w:val="008F6C28"/>
    <w:rsid w:val="008F74DD"/>
    <w:rsid w:val="008F7A9D"/>
    <w:rsid w:val="008F7AD4"/>
    <w:rsid w:val="008F7C9F"/>
    <w:rsid w:val="008F7DCC"/>
    <w:rsid w:val="00900339"/>
    <w:rsid w:val="00900E95"/>
    <w:rsid w:val="00901A36"/>
    <w:rsid w:val="00902253"/>
    <w:rsid w:val="00902560"/>
    <w:rsid w:val="00903553"/>
    <w:rsid w:val="0090379C"/>
    <w:rsid w:val="0090399F"/>
    <w:rsid w:val="00903BB9"/>
    <w:rsid w:val="00904011"/>
    <w:rsid w:val="0090442D"/>
    <w:rsid w:val="0090468A"/>
    <w:rsid w:val="0090545A"/>
    <w:rsid w:val="0090576A"/>
    <w:rsid w:val="00905D14"/>
    <w:rsid w:val="00906523"/>
    <w:rsid w:val="009068E6"/>
    <w:rsid w:val="00906BDF"/>
    <w:rsid w:val="00906C57"/>
    <w:rsid w:val="009071A1"/>
    <w:rsid w:val="0090755B"/>
    <w:rsid w:val="0090784C"/>
    <w:rsid w:val="00910109"/>
    <w:rsid w:val="0091220A"/>
    <w:rsid w:val="00912377"/>
    <w:rsid w:val="0091393F"/>
    <w:rsid w:val="00913A75"/>
    <w:rsid w:val="00913CCA"/>
    <w:rsid w:val="0091403B"/>
    <w:rsid w:val="00914627"/>
    <w:rsid w:val="00915376"/>
    <w:rsid w:val="00916039"/>
    <w:rsid w:val="00917269"/>
    <w:rsid w:val="0092045E"/>
    <w:rsid w:val="00920692"/>
    <w:rsid w:val="00921222"/>
    <w:rsid w:val="0092197D"/>
    <w:rsid w:val="00921F67"/>
    <w:rsid w:val="00922CA6"/>
    <w:rsid w:val="00922CE0"/>
    <w:rsid w:val="0092318D"/>
    <w:rsid w:val="00923337"/>
    <w:rsid w:val="0092376D"/>
    <w:rsid w:val="00923E7E"/>
    <w:rsid w:val="009241A0"/>
    <w:rsid w:val="00924C79"/>
    <w:rsid w:val="009254B6"/>
    <w:rsid w:val="00925E1D"/>
    <w:rsid w:val="00925E2F"/>
    <w:rsid w:val="00925E93"/>
    <w:rsid w:val="00926190"/>
    <w:rsid w:val="00926F52"/>
    <w:rsid w:val="009275AC"/>
    <w:rsid w:val="00927B23"/>
    <w:rsid w:val="0093018B"/>
    <w:rsid w:val="009304B9"/>
    <w:rsid w:val="009308FF"/>
    <w:rsid w:val="0093183C"/>
    <w:rsid w:val="00931B65"/>
    <w:rsid w:val="00931BA4"/>
    <w:rsid w:val="00931CFD"/>
    <w:rsid w:val="0093217C"/>
    <w:rsid w:val="00932520"/>
    <w:rsid w:val="00932887"/>
    <w:rsid w:val="00932E8F"/>
    <w:rsid w:val="00933106"/>
    <w:rsid w:val="00933281"/>
    <w:rsid w:val="00933A0D"/>
    <w:rsid w:val="00933C0B"/>
    <w:rsid w:val="00933E27"/>
    <w:rsid w:val="00934108"/>
    <w:rsid w:val="00934518"/>
    <w:rsid w:val="00934E61"/>
    <w:rsid w:val="0093584A"/>
    <w:rsid w:val="0093641E"/>
    <w:rsid w:val="00936686"/>
    <w:rsid w:val="00936DFE"/>
    <w:rsid w:val="009374BC"/>
    <w:rsid w:val="00937847"/>
    <w:rsid w:val="00937A82"/>
    <w:rsid w:val="00940006"/>
    <w:rsid w:val="009401F7"/>
    <w:rsid w:val="00940518"/>
    <w:rsid w:val="0094091A"/>
    <w:rsid w:val="00940AD5"/>
    <w:rsid w:val="00941095"/>
    <w:rsid w:val="0094195B"/>
    <w:rsid w:val="00941C63"/>
    <w:rsid w:val="00941E27"/>
    <w:rsid w:val="0094212E"/>
    <w:rsid w:val="00942637"/>
    <w:rsid w:val="00942784"/>
    <w:rsid w:val="00942C3B"/>
    <w:rsid w:val="00942DB8"/>
    <w:rsid w:val="00942DCE"/>
    <w:rsid w:val="0094383A"/>
    <w:rsid w:val="00943A4D"/>
    <w:rsid w:val="00943C95"/>
    <w:rsid w:val="00944425"/>
    <w:rsid w:val="009446D9"/>
    <w:rsid w:val="00944BBB"/>
    <w:rsid w:val="00944E47"/>
    <w:rsid w:val="00945F67"/>
    <w:rsid w:val="00946540"/>
    <w:rsid w:val="00946B5A"/>
    <w:rsid w:val="00946C42"/>
    <w:rsid w:val="00950656"/>
    <w:rsid w:val="00951334"/>
    <w:rsid w:val="0095149B"/>
    <w:rsid w:val="00951631"/>
    <w:rsid w:val="009519EA"/>
    <w:rsid w:val="00952BDC"/>
    <w:rsid w:val="00952C10"/>
    <w:rsid w:val="00953288"/>
    <w:rsid w:val="00953392"/>
    <w:rsid w:val="009537F7"/>
    <w:rsid w:val="00953E8A"/>
    <w:rsid w:val="0095450E"/>
    <w:rsid w:val="00954722"/>
    <w:rsid w:val="00955076"/>
    <w:rsid w:val="009557E7"/>
    <w:rsid w:val="00955F15"/>
    <w:rsid w:val="00956E31"/>
    <w:rsid w:val="00956F40"/>
    <w:rsid w:val="009570D6"/>
    <w:rsid w:val="0095785F"/>
    <w:rsid w:val="00957C15"/>
    <w:rsid w:val="00957F04"/>
    <w:rsid w:val="0096024C"/>
    <w:rsid w:val="009615AE"/>
    <w:rsid w:val="00961A75"/>
    <w:rsid w:val="0096216A"/>
    <w:rsid w:val="0096224B"/>
    <w:rsid w:val="009627CE"/>
    <w:rsid w:val="00962A39"/>
    <w:rsid w:val="0096336D"/>
    <w:rsid w:val="00963C05"/>
    <w:rsid w:val="00963CA9"/>
    <w:rsid w:val="00964C8D"/>
    <w:rsid w:val="00964F2E"/>
    <w:rsid w:val="00965180"/>
    <w:rsid w:val="009652D0"/>
    <w:rsid w:val="00965794"/>
    <w:rsid w:val="0096584B"/>
    <w:rsid w:val="009659ED"/>
    <w:rsid w:val="00966A38"/>
    <w:rsid w:val="00966FB5"/>
    <w:rsid w:val="0096737D"/>
    <w:rsid w:val="0096748F"/>
    <w:rsid w:val="00967B03"/>
    <w:rsid w:val="00967B06"/>
    <w:rsid w:val="00967EC8"/>
    <w:rsid w:val="00970144"/>
    <w:rsid w:val="0097026A"/>
    <w:rsid w:val="00970371"/>
    <w:rsid w:val="00970495"/>
    <w:rsid w:val="00970A7C"/>
    <w:rsid w:val="00971847"/>
    <w:rsid w:val="00971F17"/>
    <w:rsid w:val="0097218C"/>
    <w:rsid w:val="00972D32"/>
    <w:rsid w:val="00972E0A"/>
    <w:rsid w:val="00973FB1"/>
    <w:rsid w:val="009748DE"/>
    <w:rsid w:val="009755F3"/>
    <w:rsid w:val="00975C3B"/>
    <w:rsid w:val="00975FB0"/>
    <w:rsid w:val="00976175"/>
    <w:rsid w:val="009768DF"/>
    <w:rsid w:val="00977B8D"/>
    <w:rsid w:val="00977BBF"/>
    <w:rsid w:val="00977CF4"/>
    <w:rsid w:val="009809B4"/>
    <w:rsid w:val="0098114F"/>
    <w:rsid w:val="00981682"/>
    <w:rsid w:val="00981D5F"/>
    <w:rsid w:val="009826CE"/>
    <w:rsid w:val="00982ECD"/>
    <w:rsid w:val="00983577"/>
    <w:rsid w:val="00983E6E"/>
    <w:rsid w:val="009841A9"/>
    <w:rsid w:val="00984738"/>
    <w:rsid w:val="00984A18"/>
    <w:rsid w:val="00984DAA"/>
    <w:rsid w:val="00984E88"/>
    <w:rsid w:val="00984EB7"/>
    <w:rsid w:val="0098505E"/>
    <w:rsid w:val="00985063"/>
    <w:rsid w:val="009857A9"/>
    <w:rsid w:val="00985902"/>
    <w:rsid w:val="00985A59"/>
    <w:rsid w:val="00985C51"/>
    <w:rsid w:val="00985ED8"/>
    <w:rsid w:val="00986B47"/>
    <w:rsid w:val="009874E7"/>
    <w:rsid w:val="00987829"/>
    <w:rsid w:val="00987ABC"/>
    <w:rsid w:val="00990368"/>
    <w:rsid w:val="0099053A"/>
    <w:rsid w:val="00991187"/>
    <w:rsid w:val="009928D9"/>
    <w:rsid w:val="009929A7"/>
    <w:rsid w:val="00992ECF"/>
    <w:rsid w:val="0099333F"/>
    <w:rsid w:val="00993382"/>
    <w:rsid w:val="0099341A"/>
    <w:rsid w:val="00993C62"/>
    <w:rsid w:val="00994273"/>
    <w:rsid w:val="009945EF"/>
    <w:rsid w:val="00994AC0"/>
    <w:rsid w:val="0099504B"/>
    <w:rsid w:val="0099530E"/>
    <w:rsid w:val="009953CE"/>
    <w:rsid w:val="00995527"/>
    <w:rsid w:val="0099581B"/>
    <w:rsid w:val="009972D9"/>
    <w:rsid w:val="00997A03"/>
    <w:rsid w:val="00997CB9"/>
    <w:rsid w:val="009A03F5"/>
    <w:rsid w:val="009A142A"/>
    <w:rsid w:val="009A1A20"/>
    <w:rsid w:val="009A1E38"/>
    <w:rsid w:val="009A1E52"/>
    <w:rsid w:val="009A2A18"/>
    <w:rsid w:val="009A2B7E"/>
    <w:rsid w:val="009A2D1F"/>
    <w:rsid w:val="009A4575"/>
    <w:rsid w:val="009A4F2C"/>
    <w:rsid w:val="009A5039"/>
    <w:rsid w:val="009A534E"/>
    <w:rsid w:val="009A5816"/>
    <w:rsid w:val="009A6561"/>
    <w:rsid w:val="009A661F"/>
    <w:rsid w:val="009A685B"/>
    <w:rsid w:val="009A6F9B"/>
    <w:rsid w:val="009A793B"/>
    <w:rsid w:val="009A79E1"/>
    <w:rsid w:val="009A7C99"/>
    <w:rsid w:val="009B00A3"/>
    <w:rsid w:val="009B079B"/>
    <w:rsid w:val="009B0868"/>
    <w:rsid w:val="009B0BDF"/>
    <w:rsid w:val="009B0F35"/>
    <w:rsid w:val="009B17C4"/>
    <w:rsid w:val="009B1B16"/>
    <w:rsid w:val="009B1C19"/>
    <w:rsid w:val="009B1EE1"/>
    <w:rsid w:val="009B2479"/>
    <w:rsid w:val="009B2CCC"/>
    <w:rsid w:val="009B3671"/>
    <w:rsid w:val="009B4553"/>
    <w:rsid w:val="009B4755"/>
    <w:rsid w:val="009B4AB2"/>
    <w:rsid w:val="009B4BA3"/>
    <w:rsid w:val="009B4F92"/>
    <w:rsid w:val="009B54FD"/>
    <w:rsid w:val="009B57C8"/>
    <w:rsid w:val="009B5C30"/>
    <w:rsid w:val="009B5D66"/>
    <w:rsid w:val="009B6027"/>
    <w:rsid w:val="009B612A"/>
    <w:rsid w:val="009B6140"/>
    <w:rsid w:val="009B6E68"/>
    <w:rsid w:val="009B76B9"/>
    <w:rsid w:val="009B7A21"/>
    <w:rsid w:val="009B7E6F"/>
    <w:rsid w:val="009B7F92"/>
    <w:rsid w:val="009C0029"/>
    <w:rsid w:val="009C04A2"/>
    <w:rsid w:val="009C0903"/>
    <w:rsid w:val="009C127E"/>
    <w:rsid w:val="009C1921"/>
    <w:rsid w:val="009C1A52"/>
    <w:rsid w:val="009C1CA2"/>
    <w:rsid w:val="009C2226"/>
    <w:rsid w:val="009C2EEC"/>
    <w:rsid w:val="009C3353"/>
    <w:rsid w:val="009C459C"/>
    <w:rsid w:val="009C481A"/>
    <w:rsid w:val="009C4C63"/>
    <w:rsid w:val="009C4CDD"/>
    <w:rsid w:val="009C4F07"/>
    <w:rsid w:val="009C4FB1"/>
    <w:rsid w:val="009C54D0"/>
    <w:rsid w:val="009C5859"/>
    <w:rsid w:val="009C59D8"/>
    <w:rsid w:val="009C5CC1"/>
    <w:rsid w:val="009C660D"/>
    <w:rsid w:val="009C6644"/>
    <w:rsid w:val="009C699C"/>
    <w:rsid w:val="009C6B29"/>
    <w:rsid w:val="009C6C18"/>
    <w:rsid w:val="009C7305"/>
    <w:rsid w:val="009C75EE"/>
    <w:rsid w:val="009C775F"/>
    <w:rsid w:val="009C7B82"/>
    <w:rsid w:val="009C7C14"/>
    <w:rsid w:val="009D01C2"/>
    <w:rsid w:val="009D03A8"/>
    <w:rsid w:val="009D0901"/>
    <w:rsid w:val="009D0C05"/>
    <w:rsid w:val="009D0EAC"/>
    <w:rsid w:val="009D1CD4"/>
    <w:rsid w:val="009D2306"/>
    <w:rsid w:val="009D260D"/>
    <w:rsid w:val="009D286A"/>
    <w:rsid w:val="009D288F"/>
    <w:rsid w:val="009D3195"/>
    <w:rsid w:val="009D398A"/>
    <w:rsid w:val="009D3C8B"/>
    <w:rsid w:val="009D43C1"/>
    <w:rsid w:val="009D4611"/>
    <w:rsid w:val="009D4D29"/>
    <w:rsid w:val="009D61F6"/>
    <w:rsid w:val="009D6244"/>
    <w:rsid w:val="009D6256"/>
    <w:rsid w:val="009D70A2"/>
    <w:rsid w:val="009D7354"/>
    <w:rsid w:val="009D7383"/>
    <w:rsid w:val="009D7459"/>
    <w:rsid w:val="009D7889"/>
    <w:rsid w:val="009D7C86"/>
    <w:rsid w:val="009E0256"/>
    <w:rsid w:val="009E0AAA"/>
    <w:rsid w:val="009E0E36"/>
    <w:rsid w:val="009E1527"/>
    <w:rsid w:val="009E19A3"/>
    <w:rsid w:val="009E1D7F"/>
    <w:rsid w:val="009E239D"/>
    <w:rsid w:val="009E2968"/>
    <w:rsid w:val="009E2D38"/>
    <w:rsid w:val="009E33AF"/>
    <w:rsid w:val="009E37A6"/>
    <w:rsid w:val="009E3B79"/>
    <w:rsid w:val="009E3B87"/>
    <w:rsid w:val="009E43E5"/>
    <w:rsid w:val="009E4E39"/>
    <w:rsid w:val="009E4FDF"/>
    <w:rsid w:val="009E53F7"/>
    <w:rsid w:val="009E552F"/>
    <w:rsid w:val="009E5639"/>
    <w:rsid w:val="009E59CC"/>
    <w:rsid w:val="009E61FD"/>
    <w:rsid w:val="009E71F0"/>
    <w:rsid w:val="009E7478"/>
    <w:rsid w:val="009E7870"/>
    <w:rsid w:val="009E7E0E"/>
    <w:rsid w:val="009F0FF4"/>
    <w:rsid w:val="009F1060"/>
    <w:rsid w:val="009F1CD9"/>
    <w:rsid w:val="009F2B3B"/>
    <w:rsid w:val="009F2F10"/>
    <w:rsid w:val="009F3EA9"/>
    <w:rsid w:val="009F4108"/>
    <w:rsid w:val="009F4672"/>
    <w:rsid w:val="009F4721"/>
    <w:rsid w:val="009F48CC"/>
    <w:rsid w:val="009F4A8B"/>
    <w:rsid w:val="009F4F77"/>
    <w:rsid w:val="009F5479"/>
    <w:rsid w:val="009F58D1"/>
    <w:rsid w:val="009F599A"/>
    <w:rsid w:val="009F5C2A"/>
    <w:rsid w:val="009F6310"/>
    <w:rsid w:val="009F6DC3"/>
    <w:rsid w:val="009F73F7"/>
    <w:rsid w:val="009F76FC"/>
    <w:rsid w:val="00A00045"/>
    <w:rsid w:val="00A006E0"/>
    <w:rsid w:val="00A00AE1"/>
    <w:rsid w:val="00A00CE0"/>
    <w:rsid w:val="00A01068"/>
    <w:rsid w:val="00A023B9"/>
    <w:rsid w:val="00A024D0"/>
    <w:rsid w:val="00A0285D"/>
    <w:rsid w:val="00A0288B"/>
    <w:rsid w:val="00A02899"/>
    <w:rsid w:val="00A02928"/>
    <w:rsid w:val="00A02A68"/>
    <w:rsid w:val="00A02B25"/>
    <w:rsid w:val="00A02E68"/>
    <w:rsid w:val="00A02F00"/>
    <w:rsid w:val="00A02F04"/>
    <w:rsid w:val="00A043B5"/>
    <w:rsid w:val="00A04C12"/>
    <w:rsid w:val="00A054A1"/>
    <w:rsid w:val="00A05C68"/>
    <w:rsid w:val="00A05E0D"/>
    <w:rsid w:val="00A06631"/>
    <w:rsid w:val="00A06CA6"/>
    <w:rsid w:val="00A06EFA"/>
    <w:rsid w:val="00A0704D"/>
    <w:rsid w:val="00A079C6"/>
    <w:rsid w:val="00A07E31"/>
    <w:rsid w:val="00A10368"/>
    <w:rsid w:val="00A1045B"/>
    <w:rsid w:val="00A10826"/>
    <w:rsid w:val="00A10ED0"/>
    <w:rsid w:val="00A11365"/>
    <w:rsid w:val="00A1147D"/>
    <w:rsid w:val="00A1192E"/>
    <w:rsid w:val="00A11CA2"/>
    <w:rsid w:val="00A11E67"/>
    <w:rsid w:val="00A120DF"/>
    <w:rsid w:val="00A12970"/>
    <w:rsid w:val="00A13067"/>
    <w:rsid w:val="00A13A36"/>
    <w:rsid w:val="00A14F68"/>
    <w:rsid w:val="00A155A7"/>
    <w:rsid w:val="00A15856"/>
    <w:rsid w:val="00A16B58"/>
    <w:rsid w:val="00A177B9"/>
    <w:rsid w:val="00A207A9"/>
    <w:rsid w:val="00A208AF"/>
    <w:rsid w:val="00A208BE"/>
    <w:rsid w:val="00A21170"/>
    <w:rsid w:val="00A214D2"/>
    <w:rsid w:val="00A2182B"/>
    <w:rsid w:val="00A219FB"/>
    <w:rsid w:val="00A234DD"/>
    <w:rsid w:val="00A23A9D"/>
    <w:rsid w:val="00A23D6B"/>
    <w:rsid w:val="00A24205"/>
    <w:rsid w:val="00A24734"/>
    <w:rsid w:val="00A25C2E"/>
    <w:rsid w:val="00A265CF"/>
    <w:rsid w:val="00A2756A"/>
    <w:rsid w:val="00A27F8E"/>
    <w:rsid w:val="00A3042C"/>
    <w:rsid w:val="00A3069A"/>
    <w:rsid w:val="00A306CC"/>
    <w:rsid w:val="00A30E4D"/>
    <w:rsid w:val="00A31874"/>
    <w:rsid w:val="00A31C1D"/>
    <w:rsid w:val="00A3209B"/>
    <w:rsid w:val="00A320AF"/>
    <w:rsid w:val="00A323B9"/>
    <w:rsid w:val="00A3310D"/>
    <w:rsid w:val="00A33453"/>
    <w:rsid w:val="00A3347A"/>
    <w:rsid w:val="00A3356C"/>
    <w:rsid w:val="00A336EA"/>
    <w:rsid w:val="00A34D4A"/>
    <w:rsid w:val="00A3539E"/>
    <w:rsid w:val="00A357F6"/>
    <w:rsid w:val="00A35AF4"/>
    <w:rsid w:val="00A36362"/>
    <w:rsid w:val="00A367C3"/>
    <w:rsid w:val="00A37143"/>
    <w:rsid w:val="00A37A14"/>
    <w:rsid w:val="00A37F9C"/>
    <w:rsid w:val="00A406C2"/>
    <w:rsid w:val="00A40973"/>
    <w:rsid w:val="00A41A55"/>
    <w:rsid w:val="00A41C33"/>
    <w:rsid w:val="00A42104"/>
    <w:rsid w:val="00A437FE"/>
    <w:rsid w:val="00A43E57"/>
    <w:rsid w:val="00A43E9B"/>
    <w:rsid w:val="00A44314"/>
    <w:rsid w:val="00A448A5"/>
    <w:rsid w:val="00A4565D"/>
    <w:rsid w:val="00A46C70"/>
    <w:rsid w:val="00A46CC9"/>
    <w:rsid w:val="00A4775B"/>
    <w:rsid w:val="00A47B4E"/>
    <w:rsid w:val="00A47F91"/>
    <w:rsid w:val="00A50DFE"/>
    <w:rsid w:val="00A50E6B"/>
    <w:rsid w:val="00A51E21"/>
    <w:rsid w:val="00A525C4"/>
    <w:rsid w:val="00A52675"/>
    <w:rsid w:val="00A52D34"/>
    <w:rsid w:val="00A538EC"/>
    <w:rsid w:val="00A53EB6"/>
    <w:rsid w:val="00A55466"/>
    <w:rsid w:val="00A5610E"/>
    <w:rsid w:val="00A56696"/>
    <w:rsid w:val="00A569FE"/>
    <w:rsid w:val="00A56D37"/>
    <w:rsid w:val="00A56EF7"/>
    <w:rsid w:val="00A5774F"/>
    <w:rsid w:val="00A57A02"/>
    <w:rsid w:val="00A57EC3"/>
    <w:rsid w:val="00A6051A"/>
    <w:rsid w:val="00A609FD"/>
    <w:rsid w:val="00A60BB3"/>
    <w:rsid w:val="00A61249"/>
    <w:rsid w:val="00A62EE9"/>
    <w:rsid w:val="00A63E6E"/>
    <w:rsid w:val="00A6407E"/>
    <w:rsid w:val="00A64BD2"/>
    <w:rsid w:val="00A65312"/>
    <w:rsid w:val="00A65B52"/>
    <w:rsid w:val="00A6636A"/>
    <w:rsid w:val="00A66679"/>
    <w:rsid w:val="00A66A4D"/>
    <w:rsid w:val="00A66D9E"/>
    <w:rsid w:val="00A66F04"/>
    <w:rsid w:val="00A66FDB"/>
    <w:rsid w:val="00A6715F"/>
    <w:rsid w:val="00A674E7"/>
    <w:rsid w:val="00A67537"/>
    <w:rsid w:val="00A6794F"/>
    <w:rsid w:val="00A67EA2"/>
    <w:rsid w:val="00A7028D"/>
    <w:rsid w:val="00A70B15"/>
    <w:rsid w:val="00A71107"/>
    <w:rsid w:val="00A7132D"/>
    <w:rsid w:val="00A717F8"/>
    <w:rsid w:val="00A718FC"/>
    <w:rsid w:val="00A71C66"/>
    <w:rsid w:val="00A72034"/>
    <w:rsid w:val="00A72EBE"/>
    <w:rsid w:val="00A72EE0"/>
    <w:rsid w:val="00A73B8A"/>
    <w:rsid w:val="00A74085"/>
    <w:rsid w:val="00A7409B"/>
    <w:rsid w:val="00A74498"/>
    <w:rsid w:val="00A747D4"/>
    <w:rsid w:val="00A749B2"/>
    <w:rsid w:val="00A74C55"/>
    <w:rsid w:val="00A74F68"/>
    <w:rsid w:val="00A755FE"/>
    <w:rsid w:val="00A7590D"/>
    <w:rsid w:val="00A760B4"/>
    <w:rsid w:val="00A76493"/>
    <w:rsid w:val="00A76503"/>
    <w:rsid w:val="00A7789C"/>
    <w:rsid w:val="00A80F3E"/>
    <w:rsid w:val="00A81624"/>
    <w:rsid w:val="00A820A8"/>
    <w:rsid w:val="00A82251"/>
    <w:rsid w:val="00A823A9"/>
    <w:rsid w:val="00A824E0"/>
    <w:rsid w:val="00A8309C"/>
    <w:rsid w:val="00A83E60"/>
    <w:rsid w:val="00A8411C"/>
    <w:rsid w:val="00A84386"/>
    <w:rsid w:val="00A84653"/>
    <w:rsid w:val="00A846FC"/>
    <w:rsid w:val="00A8526D"/>
    <w:rsid w:val="00A86DE0"/>
    <w:rsid w:val="00A86FC9"/>
    <w:rsid w:val="00A871C4"/>
    <w:rsid w:val="00A879B8"/>
    <w:rsid w:val="00A9028A"/>
    <w:rsid w:val="00A9052D"/>
    <w:rsid w:val="00A907D3"/>
    <w:rsid w:val="00A90993"/>
    <w:rsid w:val="00A912CC"/>
    <w:rsid w:val="00A92F2B"/>
    <w:rsid w:val="00A93C78"/>
    <w:rsid w:val="00A93CA2"/>
    <w:rsid w:val="00A94517"/>
    <w:rsid w:val="00A94D3E"/>
    <w:rsid w:val="00A953EB"/>
    <w:rsid w:val="00A95E54"/>
    <w:rsid w:val="00A9655F"/>
    <w:rsid w:val="00A9656F"/>
    <w:rsid w:val="00A978C3"/>
    <w:rsid w:val="00AA0B54"/>
    <w:rsid w:val="00AA0D8A"/>
    <w:rsid w:val="00AA0DAD"/>
    <w:rsid w:val="00AA1F7E"/>
    <w:rsid w:val="00AA21BF"/>
    <w:rsid w:val="00AA24C5"/>
    <w:rsid w:val="00AA3284"/>
    <w:rsid w:val="00AA34F6"/>
    <w:rsid w:val="00AA3BBC"/>
    <w:rsid w:val="00AA3DAA"/>
    <w:rsid w:val="00AA42EF"/>
    <w:rsid w:val="00AA42F8"/>
    <w:rsid w:val="00AA4310"/>
    <w:rsid w:val="00AA4A58"/>
    <w:rsid w:val="00AA5612"/>
    <w:rsid w:val="00AA565B"/>
    <w:rsid w:val="00AA5BE1"/>
    <w:rsid w:val="00AA5ED7"/>
    <w:rsid w:val="00AA6590"/>
    <w:rsid w:val="00AA68A9"/>
    <w:rsid w:val="00AA6B6C"/>
    <w:rsid w:val="00AA7E5F"/>
    <w:rsid w:val="00AB00A0"/>
    <w:rsid w:val="00AB010D"/>
    <w:rsid w:val="00AB0B43"/>
    <w:rsid w:val="00AB0EE1"/>
    <w:rsid w:val="00AB10A3"/>
    <w:rsid w:val="00AB12A2"/>
    <w:rsid w:val="00AB2A6D"/>
    <w:rsid w:val="00AB3336"/>
    <w:rsid w:val="00AB357C"/>
    <w:rsid w:val="00AB3D49"/>
    <w:rsid w:val="00AB415A"/>
    <w:rsid w:val="00AB446E"/>
    <w:rsid w:val="00AB44A6"/>
    <w:rsid w:val="00AB4A96"/>
    <w:rsid w:val="00AB50E3"/>
    <w:rsid w:val="00AB537B"/>
    <w:rsid w:val="00AB5428"/>
    <w:rsid w:val="00AB583D"/>
    <w:rsid w:val="00AB5992"/>
    <w:rsid w:val="00AB59B8"/>
    <w:rsid w:val="00AB5F0F"/>
    <w:rsid w:val="00AB6534"/>
    <w:rsid w:val="00AB65B4"/>
    <w:rsid w:val="00AB6BC7"/>
    <w:rsid w:val="00AB6C12"/>
    <w:rsid w:val="00AB7392"/>
    <w:rsid w:val="00AB778E"/>
    <w:rsid w:val="00AB7B68"/>
    <w:rsid w:val="00AC02B7"/>
    <w:rsid w:val="00AC06EC"/>
    <w:rsid w:val="00AC0FCD"/>
    <w:rsid w:val="00AC1195"/>
    <w:rsid w:val="00AC1522"/>
    <w:rsid w:val="00AC17D4"/>
    <w:rsid w:val="00AC1F89"/>
    <w:rsid w:val="00AC304F"/>
    <w:rsid w:val="00AC3C2C"/>
    <w:rsid w:val="00AC43CF"/>
    <w:rsid w:val="00AC446A"/>
    <w:rsid w:val="00AC47B4"/>
    <w:rsid w:val="00AC4C4E"/>
    <w:rsid w:val="00AC4F46"/>
    <w:rsid w:val="00AC501E"/>
    <w:rsid w:val="00AC5782"/>
    <w:rsid w:val="00AC5CF6"/>
    <w:rsid w:val="00AC6131"/>
    <w:rsid w:val="00AC6148"/>
    <w:rsid w:val="00AC684B"/>
    <w:rsid w:val="00AC697F"/>
    <w:rsid w:val="00AC6BE6"/>
    <w:rsid w:val="00AC6EA8"/>
    <w:rsid w:val="00AC72C4"/>
    <w:rsid w:val="00AC78C3"/>
    <w:rsid w:val="00AC7C78"/>
    <w:rsid w:val="00AC7F3C"/>
    <w:rsid w:val="00AD0257"/>
    <w:rsid w:val="00AD162E"/>
    <w:rsid w:val="00AD1B93"/>
    <w:rsid w:val="00AD1DB3"/>
    <w:rsid w:val="00AD1DC6"/>
    <w:rsid w:val="00AD1F5A"/>
    <w:rsid w:val="00AD2179"/>
    <w:rsid w:val="00AD25D6"/>
    <w:rsid w:val="00AD291A"/>
    <w:rsid w:val="00AD33F0"/>
    <w:rsid w:val="00AD385E"/>
    <w:rsid w:val="00AD3A7D"/>
    <w:rsid w:val="00AD404F"/>
    <w:rsid w:val="00AD4071"/>
    <w:rsid w:val="00AD4264"/>
    <w:rsid w:val="00AD4A62"/>
    <w:rsid w:val="00AD51ED"/>
    <w:rsid w:val="00AD60A9"/>
    <w:rsid w:val="00AD6194"/>
    <w:rsid w:val="00AD6675"/>
    <w:rsid w:val="00AD70D2"/>
    <w:rsid w:val="00AD73C8"/>
    <w:rsid w:val="00AD76F2"/>
    <w:rsid w:val="00AE0555"/>
    <w:rsid w:val="00AE07BF"/>
    <w:rsid w:val="00AE0CBD"/>
    <w:rsid w:val="00AE19D7"/>
    <w:rsid w:val="00AE1A68"/>
    <w:rsid w:val="00AE1D1C"/>
    <w:rsid w:val="00AE1FD5"/>
    <w:rsid w:val="00AE252A"/>
    <w:rsid w:val="00AE2CA2"/>
    <w:rsid w:val="00AE2DFD"/>
    <w:rsid w:val="00AE33C7"/>
    <w:rsid w:val="00AE3A65"/>
    <w:rsid w:val="00AE3FA3"/>
    <w:rsid w:val="00AE4178"/>
    <w:rsid w:val="00AE4C9C"/>
    <w:rsid w:val="00AE6333"/>
    <w:rsid w:val="00AE6664"/>
    <w:rsid w:val="00AE6C41"/>
    <w:rsid w:val="00AE77BD"/>
    <w:rsid w:val="00AF03A7"/>
    <w:rsid w:val="00AF07B2"/>
    <w:rsid w:val="00AF0A42"/>
    <w:rsid w:val="00AF0EDF"/>
    <w:rsid w:val="00AF1E4F"/>
    <w:rsid w:val="00AF1F58"/>
    <w:rsid w:val="00AF22C2"/>
    <w:rsid w:val="00AF2A45"/>
    <w:rsid w:val="00AF3692"/>
    <w:rsid w:val="00AF3B51"/>
    <w:rsid w:val="00AF3BB9"/>
    <w:rsid w:val="00AF4121"/>
    <w:rsid w:val="00AF579F"/>
    <w:rsid w:val="00AF59E0"/>
    <w:rsid w:val="00AF616B"/>
    <w:rsid w:val="00AF6942"/>
    <w:rsid w:val="00AF7ABF"/>
    <w:rsid w:val="00AF7D3F"/>
    <w:rsid w:val="00AF7EED"/>
    <w:rsid w:val="00AF7EFC"/>
    <w:rsid w:val="00AF7F2F"/>
    <w:rsid w:val="00B000E8"/>
    <w:rsid w:val="00B004EF"/>
    <w:rsid w:val="00B00F88"/>
    <w:rsid w:val="00B01333"/>
    <w:rsid w:val="00B013B6"/>
    <w:rsid w:val="00B016BD"/>
    <w:rsid w:val="00B01F43"/>
    <w:rsid w:val="00B026C3"/>
    <w:rsid w:val="00B031D0"/>
    <w:rsid w:val="00B03E3C"/>
    <w:rsid w:val="00B03F8D"/>
    <w:rsid w:val="00B048CE"/>
    <w:rsid w:val="00B05100"/>
    <w:rsid w:val="00B05D9C"/>
    <w:rsid w:val="00B05EC6"/>
    <w:rsid w:val="00B063FC"/>
    <w:rsid w:val="00B07D4D"/>
    <w:rsid w:val="00B104AC"/>
    <w:rsid w:val="00B1067B"/>
    <w:rsid w:val="00B10874"/>
    <w:rsid w:val="00B10ACD"/>
    <w:rsid w:val="00B110A4"/>
    <w:rsid w:val="00B11995"/>
    <w:rsid w:val="00B11E16"/>
    <w:rsid w:val="00B12301"/>
    <w:rsid w:val="00B127DD"/>
    <w:rsid w:val="00B13B3A"/>
    <w:rsid w:val="00B14141"/>
    <w:rsid w:val="00B14168"/>
    <w:rsid w:val="00B152CA"/>
    <w:rsid w:val="00B15DB5"/>
    <w:rsid w:val="00B16D13"/>
    <w:rsid w:val="00B177C2"/>
    <w:rsid w:val="00B20390"/>
    <w:rsid w:val="00B20504"/>
    <w:rsid w:val="00B205CD"/>
    <w:rsid w:val="00B20D28"/>
    <w:rsid w:val="00B2166A"/>
    <w:rsid w:val="00B21748"/>
    <w:rsid w:val="00B222EB"/>
    <w:rsid w:val="00B22F3B"/>
    <w:rsid w:val="00B232C5"/>
    <w:rsid w:val="00B237D5"/>
    <w:rsid w:val="00B2418E"/>
    <w:rsid w:val="00B24992"/>
    <w:rsid w:val="00B24E06"/>
    <w:rsid w:val="00B251EC"/>
    <w:rsid w:val="00B25321"/>
    <w:rsid w:val="00B256A7"/>
    <w:rsid w:val="00B25B8E"/>
    <w:rsid w:val="00B25C65"/>
    <w:rsid w:val="00B25C6B"/>
    <w:rsid w:val="00B2692E"/>
    <w:rsid w:val="00B26AE0"/>
    <w:rsid w:val="00B27469"/>
    <w:rsid w:val="00B27545"/>
    <w:rsid w:val="00B27DB4"/>
    <w:rsid w:val="00B30230"/>
    <w:rsid w:val="00B30733"/>
    <w:rsid w:val="00B307BA"/>
    <w:rsid w:val="00B31BE2"/>
    <w:rsid w:val="00B32792"/>
    <w:rsid w:val="00B32DDF"/>
    <w:rsid w:val="00B33719"/>
    <w:rsid w:val="00B3462E"/>
    <w:rsid w:val="00B348EF"/>
    <w:rsid w:val="00B35149"/>
    <w:rsid w:val="00B35D95"/>
    <w:rsid w:val="00B36090"/>
    <w:rsid w:val="00B36A83"/>
    <w:rsid w:val="00B36FE1"/>
    <w:rsid w:val="00B370E3"/>
    <w:rsid w:val="00B37459"/>
    <w:rsid w:val="00B37AC0"/>
    <w:rsid w:val="00B401C7"/>
    <w:rsid w:val="00B4067C"/>
    <w:rsid w:val="00B4079A"/>
    <w:rsid w:val="00B40815"/>
    <w:rsid w:val="00B40C75"/>
    <w:rsid w:val="00B40D10"/>
    <w:rsid w:val="00B40EE7"/>
    <w:rsid w:val="00B41C0C"/>
    <w:rsid w:val="00B424B9"/>
    <w:rsid w:val="00B4256C"/>
    <w:rsid w:val="00B42A8B"/>
    <w:rsid w:val="00B43099"/>
    <w:rsid w:val="00B441FC"/>
    <w:rsid w:val="00B45147"/>
    <w:rsid w:val="00B459F3"/>
    <w:rsid w:val="00B45AE1"/>
    <w:rsid w:val="00B4685F"/>
    <w:rsid w:val="00B4703E"/>
    <w:rsid w:val="00B47393"/>
    <w:rsid w:val="00B476D3"/>
    <w:rsid w:val="00B4775E"/>
    <w:rsid w:val="00B47B09"/>
    <w:rsid w:val="00B47F2A"/>
    <w:rsid w:val="00B50007"/>
    <w:rsid w:val="00B50A4C"/>
    <w:rsid w:val="00B50BF1"/>
    <w:rsid w:val="00B50DE7"/>
    <w:rsid w:val="00B51D99"/>
    <w:rsid w:val="00B52360"/>
    <w:rsid w:val="00B527B6"/>
    <w:rsid w:val="00B52F27"/>
    <w:rsid w:val="00B5316B"/>
    <w:rsid w:val="00B53300"/>
    <w:rsid w:val="00B534C1"/>
    <w:rsid w:val="00B538EC"/>
    <w:rsid w:val="00B53A80"/>
    <w:rsid w:val="00B54378"/>
    <w:rsid w:val="00B543E2"/>
    <w:rsid w:val="00B54625"/>
    <w:rsid w:val="00B54BAA"/>
    <w:rsid w:val="00B55231"/>
    <w:rsid w:val="00B552AE"/>
    <w:rsid w:val="00B557E2"/>
    <w:rsid w:val="00B56209"/>
    <w:rsid w:val="00B5627B"/>
    <w:rsid w:val="00B5687A"/>
    <w:rsid w:val="00B578DB"/>
    <w:rsid w:val="00B57AEF"/>
    <w:rsid w:val="00B6017D"/>
    <w:rsid w:val="00B605DB"/>
    <w:rsid w:val="00B6100C"/>
    <w:rsid w:val="00B6117C"/>
    <w:rsid w:val="00B61725"/>
    <w:rsid w:val="00B61A58"/>
    <w:rsid w:val="00B61BAA"/>
    <w:rsid w:val="00B61D64"/>
    <w:rsid w:val="00B622F4"/>
    <w:rsid w:val="00B63156"/>
    <w:rsid w:val="00B63741"/>
    <w:rsid w:val="00B63838"/>
    <w:rsid w:val="00B641C1"/>
    <w:rsid w:val="00B64441"/>
    <w:rsid w:val="00B6491E"/>
    <w:rsid w:val="00B64975"/>
    <w:rsid w:val="00B656D5"/>
    <w:rsid w:val="00B65EF5"/>
    <w:rsid w:val="00B65F1B"/>
    <w:rsid w:val="00B66373"/>
    <w:rsid w:val="00B66B38"/>
    <w:rsid w:val="00B66F59"/>
    <w:rsid w:val="00B66FEE"/>
    <w:rsid w:val="00B6709E"/>
    <w:rsid w:val="00B675B1"/>
    <w:rsid w:val="00B7059E"/>
    <w:rsid w:val="00B70F7F"/>
    <w:rsid w:val="00B71182"/>
    <w:rsid w:val="00B7143C"/>
    <w:rsid w:val="00B71791"/>
    <w:rsid w:val="00B71BF4"/>
    <w:rsid w:val="00B71C87"/>
    <w:rsid w:val="00B71E76"/>
    <w:rsid w:val="00B71E81"/>
    <w:rsid w:val="00B72E73"/>
    <w:rsid w:val="00B73E70"/>
    <w:rsid w:val="00B75801"/>
    <w:rsid w:val="00B758C0"/>
    <w:rsid w:val="00B75AC0"/>
    <w:rsid w:val="00B77172"/>
    <w:rsid w:val="00B776AD"/>
    <w:rsid w:val="00B777F9"/>
    <w:rsid w:val="00B80454"/>
    <w:rsid w:val="00B80B1E"/>
    <w:rsid w:val="00B8213E"/>
    <w:rsid w:val="00B8255E"/>
    <w:rsid w:val="00B82778"/>
    <w:rsid w:val="00B828A9"/>
    <w:rsid w:val="00B831A6"/>
    <w:rsid w:val="00B8331B"/>
    <w:rsid w:val="00B833BE"/>
    <w:rsid w:val="00B836E2"/>
    <w:rsid w:val="00B8455D"/>
    <w:rsid w:val="00B84891"/>
    <w:rsid w:val="00B85717"/>
    <w:rsid w:val="00B8593F"/>
    <w:rsid w:val="00B85B11"/>
    <w:rsid w:val="00B85C9C"/>
    <w:rsid w:val="00B86017"/>
    <w:rsid w:val="00B86523"/>
    <w:rsid w:val="00B86532"/>
    <w:rsid w:val="00B8671A"/>
    <w:rsid w:val="00B87CAA"/>
    <w:rsid w:val="00B90292"/>
    <w:rsid w:val="00B90CCC"/>
    <w:rsid w:val="00B91975"/>
    <w:rsid w:val="00B9226F"/>
    <w:rsid w:val="00B9395C"/>
    <w:rsid w:val="00B9401F"/>
    <w:rsid w:val="00B94419"/>
    <w:rsid w:val="00B94892"/>
    <w:rsid w:val="00B94895"/>
    <w:rsid w:val="00B9490D"/>
    <w:rsid w:val="00B94DE1"/>
    <w:rsid w:val="00B94F0F"/>
    <w:rsid w:val="00B95B20"/>
    <w:rsid w:val="00B9670B"/>
    <w:rsid w:val="00B968BB"/>
    <w:rsid w:val="00B96BF6"/>
    <w:rsid w:val="00B96F32"/>
    <w:rsid w:val="00B97C81"/>
    <w:rsid w:val="00B97E4D"/>
    <w:rsid w:val="00BA052D"/>
    <w:rsid w:val="00BA0E7E"/>
    <w:rsid w:val="00BA126F"/>
    <w:rsid w:val="00BA30D9"/>
    <w:rsid w:val="00BA383E"/>
    <w:rsid w:val="00BA3ABF"/>
    <w:rsid w:val="00BA3B8F"/>
    <w:rsid w:val="00BA40A6"/>
    <w:rsid w:val="00BA4B88"/>
    <w:rsid w:val="00BA5209"/>
    <w:rsid w:val="00BA5574"/>
    <w:rsid w:val="00BA60B7"/>
    <w:rsid w:val="00BA658D"/>
    <w:rsid w:val="00BA723C"/>
    <w:rsid w:val="00BA757C"/>
    <w:rsid w:val="00BB000B"/>
    <w:rsid w:val="00BB07BF"/>
    <w:rsid w:val="00BB0897"/>
    <w:rsid w:val="00BB0F2A"/>
    <w:rsid w:val="00BB1636"/>
    <w:rsid w:val="00BB177D"/>
    <w:rsid w:val="00BB232A"/>
    <w:rsid w:val="00BB25D1"/>
    <w:rsid w:val="00BB27D7"/>
    <w:rsid w:val="00BB2D18"/>
    <w:rsid w:val="00BB374A"/>
    <w:rsid w:val="00BB3B8E"/>
    <w:rsid w:val="00BB3D56"/>
    <w:rsid w:val="00BB42E7"/>
    <w:rsid w:val="00BB4BAE"/>
    <w:rsid w:val="00BB4DC2"/>
    <w:rsid w:val="00BB522C"/>
    <w:rsid w:val="00BB545A"/>
    <w:rsid w:val="00BB592B"/>
    <w:rsid w:val="00BB5931"/>
    <w:rsid w:val="00BB5D92"/>
    <w:rsid w:val="00BB5F73"/>
    <w:rsid w:val="00BB6468"/>
    <w:rsid w:val="00BB691C"/>
    <w:rsid w:val="00BB722B"/>
    <w:rsid w:val="00BB767C"/>
    <w:rsid w:val="00BB76E6"/>
    <w:rsid w:val="00BB7D3E"/>
    <w:rsid w:val="00BC007D"/>
    <w:rsid w:val="00BC1048"/>
    <w:rsid w:val="00BC114F"/>
    <w:rsid w:val="00BC17F7"/>
    <w:rsid w:val="00BC1C46"/>
    <w:rsid w:val="00BC1FF2"/>
    <w:rsid w:val="00BC206F"/>
    <w:rsid w:val="00BC2233"/>
    <w:rsid w:val="00BC2311"/>
    <w:rsid w:val="00BC270B"/>
    <w:rsid w:val="00BC295C"/>
    <w:rsid w:val="00BC2A06"/>
    <w:rsid w:val="00BC306F"/>
    <w:rsid w:val="00BC32B7"/>
    <w:rsid w:val="00BC3BE0"/>
    <w:rsid w:val="00BC3DF6"/>
    <w:rsid w:val="00BC63EB"/>
    <w:rsid w:val="00BC744F"/>
    <w:rsid w:val="00BC75E3"/>
    <w:rsid w:val="00BC77F6"/>
    <w:rsid w:val="00BD0291"/>
    <w:rsid w:val="00BD0752"/>
    <w:rsid w:val="00BD09D5"/>
    <w:rsid w:val="00BD0B92"/>
    <w:rsid w:val="00BD0BF6"/>
    <w:rsid w:val="00BD1221"/>
    <w:rsid w:val="00BD23BA"/>
    <w:rsid w:val="00BD2F0C"/>
    <w:rsid w:val="00BD3444"/>
    <w:rsid w:val="00BD386E"/>
    <w:rsid w:val="00BD3D77"/>
    <w:rsid w:val="00BD44FA"/>
    <w:rsid w:val="00BD45D4"/>
    <w:rsid w:val="00BD5F24"/>
    <w:rsid w:val="00BD5FCF"/>
    <w:rsid w:val="00BD6282"/>
    <w:rsid w:val="00BD69FC"/>
    <w:rsid w:val="00BD6A60"/>
    <w:rsid w:val="00BD6AF3"/>
    <w:rsid w:val="00BD6CCE"/>
    <w:rsid w:val="00BD6D38"/>
    <w:rsid w:val="00BE0476"/>
    <w:rsid w:val="00BE06E9"/>
    <w:rsid w:val="00BE1024"/>
    <w:rsid w:val="00BE24AE"/>
    <w:rsid w:val="00BE387A"/>
    <w:rsid w:val="00BE4DCC"/>
    <w:rsid w:val="00BE4DCE"/>
    <w:rsid w:val="00BE4DDF"/>
    <w:rsid w:val="00BE534D"/>
    <w:rsid w:val="00BE548B"/>
    <w:rsid w:val="00BE5830"/>
    <w:rsid w:val="00BE6989"/>
    <w:rsid w:val="00BE7522"/>
    <w:rsid w:val="00BF004B"/>
    <w:rsid w:val="00BF083B"/>
    <w:rsid w:val="00BF09DB"/>
    <w:rsid w:val="00BF1E08"/>
    <w:rsid w:val="00BF295D"/>
    <w:rsid w:val="00BF2A4A"/>
    <w:rsid w:val="00BF2B5C"/>
    <w:rsid w:val="00BF3396"/>
    <w:rsid w:val="00BF3591"/>
    <w:rsid w:val="00BF38E2"/>
    <w:rsid w:val="00BF3B58"/>
    <w:rsid w:val="00BF3DFD"/>
    <w:rsid w:val="00BF471E"/>
    <w:rsid w:val="00BF4BB8"/>
    <w:rsid w:val="00BF53EB"/>
    <w:rsid w:val="00BF5782"/>
    <w:rsid w:val="00BF57B3"/>
    <w:rsid w:val="00BF59CF"/>
    <w:rsid w:val="00BF649A"/>
    <w:rsid w:val="00BF6529"/>
    <w:rsid w:val="00BF6A21"/>
    <w:rsid w:val="00BF70DD"/>
    <w:rsid w:val="00BF7642"/>
    <w:rsid w:val="00BF7C31"/>
    <w:rsid w:val="00BF7CB6"/>
    <w:rsid w:val="00BF7FE9"/>
    <w:rsid w:val="00C004D6"/>
    <w:rsid w:val="00C0059F"/>
    <w:rsid w:val="00C008B0"/>
    <w:rsid w:val="00C00F2A"/>
    <w:rsid w:val="00C0110B"/>
    <w:rsid w:val="00C01C13"/>
    <w:rsid w:val="00C01CCC"/>
    <w:rsid w:val="00C01D2D"/>
    <w:rsid w:val="00C0232A"/>
    <w:rsid w:val="00C02DE9"/>
    <w:rsid w:val="00C0354F"/>
    <w:rsid w:val="00C0368C"/>
    <w:rsid w:val="00C03AE1"/>
    <w:rsid w:val="00C03B5E"/>
    <w:rsid w:val="00C03C5B"/>
    <w:rsid w:val="00C0477A"/>
    <w:rsid w:val="00C04B58"/>
    <w:rsid w:val="00C052AB"/>
    <w:rsid w:val="00C0615F"/>
    <w:rsid w:val="00C0652C"/>
    <w:rsid w:val="00C07AD7"/>
    <w:rsid w:val="00C1071A"/>
    <w:rsid w:val="00C120B2"/>
    <w:rsid w:val="00C122A9"/>
    <w:rsid w:val="00C13054"/>
    <w:rsid w:val="00C13A58"/>
    <w:rsid w:val="00C14399"/>
    <w:rsid w:val="00C143CD"/>
    <w:rsid w:val="00C1514E"/>
    <w:rsid w:val="00C155EE"/>
    <w:rsid w:val="00C16162"/>
    <w:rsid w:val="00C16592"/>
    <w:rsid w:val="00C169EA"/>
    <w:rsid w:val="00C16A98"/>
    <w:rsid w:val="00C16EB9"/>
    <w:rsid w:val="00C17039"/>
    <w:rsid w:val="00C17703"/>
    <w:rsid w:val="00C17907"/>
    <w:rsid w:val="00C17F82"/>
    <w:rsid w:val="00C2076A"/>
    <w:rsid w:val="00C20A48"/>
    <w:rsid w:val="00C20CC8"/>
    <w:rsid w:val="00C21778"/>
    <w:rsid w:val="00C21854"/>
    <w:rsid w:val="00C21AFF"/>
    <w:rsid w:val="00C22535"/>
    <w:rsid w:val="00C2272A"/>
    <w:rsid w:val="00C2277F"/>
    <w:rsid w:val="00C24650"/>
    <w:rsid w:val="00C24A87"/>
    <w:rsid w:val="00C24BEE"/>
    <w:rsid w:val="00C24CD0"/>
    <w:rsid w:val="00C2577A"/>
    <w:rsid w:val="00C25CF6"/>
    <w:rsid w:val="00C25D99"/>
    <w:rsid w:val="00C261C7"/>
    <w:rsid w:val="00C26457"/>
    <w:rsid w:val="00C26963"/>
    <w:rsid w:val="00C26BE4"/>
    <w:rsid w:val="00C26F40"/>
    <w:rsid w:val="00C2716D"/>
    <w:rsid w:val="00C27FA0"/>
    <w:rsid w:val="00C30883"/>
    <w:rsid w:val="00C30A6E"/>
    <w:rsid w:val="00C30C40"/>
    <w:rsid w:val="00C30C93"/>
    <w:rsid w:val="00C30FA9"/>
    <w:rsid w:val="00C31333"/>
    <w:rsid w:val="00C31431"/>
    <w:rsid w:val="00C31DDE"/>
    <w:rsid w:val="00C32095"/>
    <w:rsid w:val="00C326EB"/>
    <w:rsid w:val="00C32B43"/>
    <w:rsid w:val="00C32BC1"/>
    <w:rsid w:val="00C32E8D"/>
    <w:rsid w:val="00C331BF"/>
    <w:rsid w:val="00C3382C"/>
    <w:rsid w:val="00C33B5D"/>
    <w:rsid w:val="00C343DB"/>
    <w:rsid w:val="00C3451B"/>
    <w:rsid w:val="00C348F3"/>
    <w:rsid w:val="00C34DE0"/>
    <w:rsid w:val="00C3545E"/>
    <w:rsid w:val="00C35902"/>
    <w:rsid w:val="00C35D54"/>
    <w:rsid w:val="00C36684"/>
    <w:rsid w:val="00C369DA"/>
    <w:rsid w:val="00C36A03"/>
    <w:rsid w:val="00C371E0"/>
    <w:rsid w:val="00C37578"/>
    <w:rsid w:val="00C37AC7"/>
    <w:rsid w:val="00C4021F"/>
    <w:rsid w:val="00C4063B"/>
    <w:rsid w:val="00C407D9"/>
    <w:rsid w:val="00C409BE"/>
    <w:rsid w:val="00C41424"/>
    <w:rsid w:val="00C41762"/>
    <w:rsid w:val="00C420B6"/>
    <w:rsid w:val="00C420C5"/>
    <w:rsid w:val="00C437EA"/>
    <w:rsid w:val="00C43803"/>
    <w:rsid w:val="00C439FC"/>
    <w:rsid w:val="00C43EBB"/>
    <w:rsid w:val="00C43F30"/>
    <w:rsid w:val="00C4456D"/>
    <w:rsid w:val="00C4506F"/>
    <w:rsid w:val="00C463A1"/>
    <w:rsid w:val="00C4656A"/>
    <w:rsid w:val="00C46B6E"/>
    <w:rsid w:val="00C4731D"/>
    <w:rsid w:val="00C476D5"/>
    <w:rsid w:val="00C479F5"/>
    <w:rsid w:val="00C50077"/>
    <w:rsid w:val="00C50236"/>
    <w:rsid w:val="00C50666"/>
    <w:rsid w:val="00C507F6"/>
    <w:rsid w:val="00C509FC"/>
    <w:rsid w:val="00C50B8B"/>
    <w:rsid w:val="00C50CFB"/>
    <w:rsid w:val="00C51380"/>
    <w:rsid w:val="00C518DE"/>
    <w:rsid w:val="00C52584"/>
    <w:rsid w:val="00C5272A"/>
    <w:rsid w:val="00C528EF"/>
    <w:rsid w:val="00C52E13"/>
    <w:rsid w:val="00C532AD"/>
    <w:rsid w:val="00C53562"/>
    <w:rsid w:val="00C53786"/>
    <w:rsid w:val="00C5393A"/>
    <w:rsid w:val="00C53974"/>
    <w:rsid w:val="00C54254"/>
    <w:rsid w:val="00C5490C"/>
    <w:rsid w:val="00C54B4D"/>
    <w:rsid w:val="00C5504E"/>
    <w:rsid w:val="00C5513B"/>
    <w:rsid w:val="00C554EC"/>
    <w:rsid w:val="00C5569D"/>
    <w:rsid w:val="00C56050"/>
    <w:rsid w:val="00C567CD"/>
    <w:rsid w:val="00C57D0A"/>
    <w:rsid w:val="00C57FC6"/>
    <w:rsid w:val="00C60310"/>
    <w:rsid w:val="00C6167F"/>
    <w:rsid w:val="00C616BA"/>
    <w:rsid w:val="00C61775"/>
    <w:rsid w:val="00C61912"/>
    <w:rsid w:val="00C61DCF"/>
    <w:rsid w:val="00C61E38"/>
    <w:rsid w:val="00C6237C"/>
    <w:rsid w:val="00C62C31"/>
    <w:rsid w:val="00C62C8D"/>
    <w:rsid w:val="00C6337A"/>
    <w:rsid w:val="00C634E6"/>
    <w:rsid w:val="00C6395B"/>
    <w:rsid w:val="00C63ABC"/>
    <w:rsid w:val="00C63B9B"/>
    <w:rsid w:val="00C63E67"/>
    <w:rsid w:val="00C63FB7"/>
    <w:rsid w:val="00C6414F"/>
    <w:rsid w:val="00C6525B"/>
    <w:rsid w:val="00C65B88"/>
    <w:rsid w:val="00C65C45"/>
    <w:rsid w:val="00C65D7B"/>
    <w:rsid w:val="00C667E0"/>
    <w:rsid w:val="00C6680A"/>
    <w:rsid w:val="00C67284"/>
    <w:rsid w:val="00C677B2"/>
    <w:rsid w:val="00C678D4"/>
    <w:rsid w:val="00C700A4"/>
    <w:rsid w:val="00C703BF"/>
    <w:rsid w:val="00C70FB0"/>
    <w:rsid w:val="00C71332"/>
    <w:rsid w:val="00C71347"/>
    <w:rsid w:val="00C71785"/>
    <w:rsid w:val="00C721B5"/>
    <w:rsid w:val="00C72237"/>
    <w:rsid w:val="00C73574"/>
    <w:rsid w:val="00C736D2"/>
    <w:rsid w:val="00C73C26"/>
    <w:rsid w:val="00C73D2E"/>
    <w:rsid w:val="00C73D74"/>
    <w:rsid w:val="00C741C6"/>
    <w:rsid w:val="00C7420B"/>
    <w:rsid w:val="00C75199"/>
    <w:rsid w:val="00C75BC2"/>
    <w:rsid w:val="00C765F4"/>
    <w:rsid w:val="00C767A3"/>
    <w:rsid w:val="00C76B7D"/>
    <w:rsid w:val="00C771EB"/>
    <w:rsid w:val="00C77BF7"/>
    <w:rsid w:val="00C803E6"/>
    <w:rsid w:val="00C808A8"/>
    <w:rsid w:val="00C81059"/>
    <w:rsid w:val="00C81ECD"/>
    <w:rsid w:val="00C82245"/>
    <w:rsid w:val="00C8232F"/>
    <w:rsid w:val="00C827C4"/>
    <w:rsid w:val="00C83189"/>
    <w:rsid w:val="00C83774"/>
    <w:rsid w:val="00C843D8"/>
    <w:rsid w:val="00C846E8"/>
    <w:rsid w:val="00C8472F"/>
    <w:rsid w:val="00C852D9"/>
    <w:rsid w:val="00C85460"/>
    <w:rsid w:val="00C85FD2"/>
    <w:rsid w:val="00C86165"/>
    <w:rsid w:val="00C86C3A"/>
    <w:rsid w:val="00C871EB"/>
    <w:rsid w:val="00C87517"/>
    <w:rsid w:val="00C87CC4"/>
    <w:rsid w:val="00C9064B"/>
    <w:rsid w:val="00C90D52"/>
    <w:rsid w:val="00C914D1"/>
    <w:rsid w:val="00C917AD"/>
    <w:rsid w:val="00C91AF5"/>
    <w:rsid w:val="00C921E9"/>
    <w:rsid w:val="00C92345"/>
    <w:rsid w:val="00C923F1"/>
    <w:rsid w:val="00C937B8"/>
    <w:rsid w:val="00C93D95"/>
    <w:rsid w:val="00C942F2"/>
    <w:rsid w:val="00C948D7"/>
    <w:rsid w:val="00C94B12"/>
    <w:rsid w:val="00C94DF2"/>
    <w:rsid w:val="00C954D7"/>
    <w:rsid w:val="00C956F1"/>
    <w:rsid w:val="00C96C08"/>
    <w:rsid w:val="00C9719E"/>
    <w:rsid w:val="00C971F8"/>
    <w:rsid w:val="00C9784D"/>
    <w:rsid w:val="00C97B16"/>
    <w:rsid w:val="00C97BFB"/>
    <w:rsid w:val="00CA026E"/>
    <w:rsid w:val="00CA06CB"/>
    <w:rsid w:val="00CA0857"/>
    <w:rsid w:val="00CA0D3A"/>
    <w:rsid w:val="00CA1B55"/>
    <w:rsid w:val="00CA1C19"/>
    <w:rsid w:val="00CA1ED5"/>
    <w:rsid w:val="00CA2120"/>
    <w:rsid w:val="00CA2D65"/>
    <w:rsid w:val="00CA32A4"/>
    <w:rsid w:val="00CA3E77"/>
    <w:rsid w:val="00CA47B3"/>
    <w:rsid w:val="00CA4D7E"/>
    <w:rsid w:val="00CA5FC4"/>
    <w:rsid w:val="00CA607B"/>
    <w:rsid w:val="00CA6400"/>
    <w:rsid w:val="00CA65F7"/>
    <w:rsid w:val="00CA6B4D"/>
    <w:rsid w:val="00CA6C82"/>
    <w:rsid w:val="00CA70A2"/>
    <w:rsid w:val="00CA714E"/>
    <w:rsid w:val="00CA7C34"/>
    <w:rsid w:val="00CB0031"/>
    <w:rsid w:val="00CB0434"/>
    <w:rsid w:val="00CB0FB7"/>
    <w:rsid w:val="00CB10BD"/>
    <w:rsid w:val="00CB1A66"/>
    <w:rsid w:val="00CB1E7A"/>
    <w:rsid w:val="00CB245D"/>
    <w:rsid w:val="00CB24C6"/>
    <w:rsid w:val="00CB27DA"/>
    <w:rsid w:val="00CB2B6E"/>
    <w:rsid w:val="00CB2BA6"/>
    <w:rsid w:val="00CB2C16"/>
    <w:rsid w:val="00CB314F"/>
    <w:rsid w:val="00CB399C"/>
    <w:rsid w:val="00CB3AF6"/>
    <w:rsid w:val="00CB3EF2"/>
    <w:rsid w:val="00CB4022"/>
    <w:rsid w:val="00CB5559"/>
    <w:rsid w:val="00CB5963"/>
    <w:rsid w:val="00CB6838"/>
    <w:rsid w:val="00CB689C"/>
    <w:rsid w:val="00CB6A37"/>
    <w:rsid w:val="00CB74DD"/>
    <w:rsid w:val="00CB74EA"/>
    <w:rsid w:val="00CB751B"/>
    <w:rsid w:val="00CC018E"/>
    <w:rsid w:val="00CC022E"/>
    <w:rsid w:val="00CC08CF"/>
    <w:rsid w:val="00CC0A6A"/>
    <w:rsid w:val="00CC0EFC"/>
    <w:rsid w:val="00CC0F36"/>
    <w:rsid w:val="00CC0F94"/>
    <w:rsid w:val="00CC11D6"/>
    <w:rsid w:val="00CC1433"/>
    <w:rsid w:val="00CC17D0"/>
    <w:rsid w:val="00CC1AB6"/>
    <w:rsid w:val="00CC208D"/>
    <w:rsid w:val="00CC2703"/>
    <w:rsid w:val="00CC2F8E"/>
    <w:rsid w:val="00CC426A"/>
    <w:rsid w:val="00CC4829"/>
    <w:rsid w:val="00CC4ADA"/>
    <w:rsid w:val="00CC4C49"/>
    <w:rsid w:val="00CC5321"/>
    <w:rsid w:val="00CC54D7"/>
    <w:rsid w:val="00CC5CA0"/>
    <w:rsid w:val="00CC6FA6"/>
    <w:rsid w:val="00CC722F"/>
    <w:rsid w:val="00CD009C"/>
    <w:rsid w:val="00CD0E73"/>
    <w:rsid w:val="00CD0F40"/>
    <w:rsid w:val="00CD11A6"/>
    <w:rsid w:val="00CD18F7"/>
    <w:rsid w:val="00CD1AD4"/>
    <w:rsid w:val="00CD1CF6"/>
    <w:rsid w:val="00CD1F8F"/>
    <w:rsid w:val="00CD33E2"/>
    <w:rsid w:val="00CD4176"/>
    <w:rsid w:val="00CD57C9"/>
    <w:rsid w:val="00CD5930"/>
    <w:rsid w:val="00CD5E14"/>
    <w:rsid w:val="00CD6418"/>
    <w:rsid w:val="00CD651C"/>
    <w:rsid w:val="00CD69D0"/>
    <w:rsid w:val="00CD7D27"/>
    <w:rsid w:val="00CD7E0A"/>
    <w:rsid w:val="00CE0012"/>
    <w:rsid w:val="00CE04F0"/>
    <w:rsid w:val="00CE05E4"/>
    <w:rsid w:val="00CE09D7"/>
    <w:rsid w:val="00CE0BF8"/>
    <w:rsid w:val="00CE203C"/>
    <w:rsid w:val="00CE287C"/>
    <w:rsid w:val="00CE3229"/>
    <w:rsid w:val="00CE3A52"/>
    <w:rsid w:val="00CE3B79"/>
    <w:rsid w:val="00CE4055"/>
    <w:rsid w:val="00CE4782"/>
    <w:rsid w:val="00CE4EDB"/>
    <w:rsid w:val="00CE56A8"/>
    <w:rsid w:val="00CE571E"/>
    <w:rsid w:val="00CE5F70"/>
    <w:rsid w:val="00CE6658"/>
    <w:rsid w:val="00CE6E82"/>
    <w:rsid w:val="00CF049D"/>
    <w:rsid w:val="00CF0969"/>
    <w:rsid w:val="00CF0CF2"/>
    <w:rsid w:val="00CF118D"/>
    <w:rsid w:val="00CF131F"/>
    <w:rsid w:val="00CF1469"/>
    <w:rsid w:val="00CF19D3"/>
    <w:rsid w:val="00CF215A"/>
    <w:rsid w:val="00CF233C"/>
    <w:rsid w:val="00CF2688"/>
    <w:rsid w:val="00CF2AFE"/>
    <w:rsid w:val="00CF2BA8"/>
    <w:rsid w:val="00CF2FD8"/>
    <w:rsid w:val="00CF3723"/>
    <w:rsid w:val="00CF3B90"/>
    <w:rsid w:val="00CF46FF"/>
    <w:rsid w:val="00CF4954"/>
    <w:rsid w:val="00CF6281"/>
    <w:rsid w:val="00CF6BDE"/>
    <w:rsid w:val="00D000CE"/>
    <w:rsid w:val="00D00475"/>
    <w:rsid w:val="00D00683"/>
    <w:rsid w:val="00D0078A"/>
    <w:rsid w:val="00D00E86"/>
    <w:rsid w:val="00D017C7"/>
    <w:rsid w:val="00D01EBD"/>
    <w:rsid w:val="00D02468"/>
    <w:rsid w:val="00D02F52"/>
    <w:rsid w:val="00D045A5"/>
    <w:rsid w:val="00D054CD"/>
    <w:rsid w:val="00D05978"/>
    <w:rsid w:val="00D05B90"/>
    <w:rsid w:val="00D05C5E"/>
    <w:rsid w:val="00D061BE"/>
    <w:rsid w:val="00D063E4"/>
    <w:rsid w:val="00D06C5E"/>
    <w:rsid w:val="00D07054"/>
    <w:rsid w:val="00D07062"/>
    <w:rsid w:val="00D07152"/>
    <w:rsid w:val="00D07225"/>
    <w:rsid w:val="00D10092"/>
    <w:rsid w:val="00D103C4"/>
    <w:rsid w:val="00D10960"/>
    <w:rsid w:val="00D11126"/>
    <w:rsid w:val="00D111A8"/>
    <w:rsid w:val="00D11319"/>
    <w:rsid w:val="00D114F1"/>
    <w:rsid w:val="00D11C0A"/>
    <w:rsid w:val="00D11C9C"/>
    <w:rsid w:val="00D1272E"/>
    <w:rsid w:val="00D139E0"/>
    <w:rsid w:val="00D13A6B"/>
    <w:rsid w:val="00D13B25"/>
    <w:rsid w:val="00D13E5B"/>
    <w:rsid w:val="00D141F9"/>
    <w:rsid w:val="00D148D9"/>
    <w:rsid w:val="00D14C72"/>
    <w:rsid w:val="00D1518E"/>
    <w:rsid w:val="00D15351"/>
    <w:rsid w:val="00D15FFD"/>
    <w:rsid w:val="00D1668B"/>
    <w:rsid w:val="00D169BA"/>
    <w:rsid w:val="00D16F0D"/>
    <w:rsid w:val="00D17591"/>
    <w:rsid w:val="00D17618"/>
    <w:rsid w:val="00D1762D"/>
    <w:rsid w:val="00D17A41"/>
    <w:rsid w:val="00D20570"/>
    <w:rsid w:val="00D20D3E"/>
    <w:rsid w:val="00D218AA"/>
    <w:rsid w:val="00D21CA1"/>
    <w:rsid w:val="00D21FB2"/>
    <w:rsid w:val="00D22233"/>
    <w:rsid w:val="00D2257D"/>
    <w:rsid w:val="00D23C69"/>
    <w:rsid w:val="00D2431E"/>
    <w:rsid w:val="00D24EE0"/>
    <w:rsid w:val="00D25594"/>
    <w:rsid w:val="00D25B43"/>
    <w:rsid w:val="00D264E5"/>
    <w:rsid w:val="00D30EC2"/>
    <w:rsid w:val="00D30F0E"/>
    <w:rsid w:val="00D3153C"/>
    <w:rsid w:val="00D31A09"/>
    <w:rsid w:val="00D32556"/>
    <w:rsid w:val="00D32ACA"/>
    <w:rsid w:val="00D33EF7"/>
    <w:rsid w:val="00D33F73"/>
    <w:rsid w:val="00D349BA"/>
    <w:rsid w:val="00D34D44"/>
    <w:rsid w:val="00D352EB"/>
    <w:rsid w:val="00D35D34"/>
    <w:rsid w:val="00D364A6"/>
    <w:rsid w:val="00D3716C"/>
    <w:rsid w:val="00D37246"/>
    <w:rsid w:val="00D3761D"/>
    <w:rsid w:val="00D402D3"/>
    <w:rsid w:val="00D403AC"/>
    <w:rsid w:val="00D40C34"/>
    <w:rsid w:val="00D411B5"/>
    <w:rsid w:val="00D415D0"/>
    <w:rsid w:val="00D41645"/>
    <w:rsid w:val="00D41F08"/>
    <w:rsid w:val="00D41FD6"/>
    <w:rsid w:val="00D42573"/>
    <w:rsid w:val="00D42679"/>
    <w:rsid w:val="00D4270B"/>
    <w:rsid w:val="00D429FA"/>
    <w:rsid w:val="00D432E9"/>
    <w:rsid w:val="00D43452"/>
    <w:rsid w:val="00D43ACC"/>
    <w:rsid w:val="00D43C5A"/>
    <w:rsid w:val="00D43EC9"/>
    <w:rsid w:val="00D445BC"/>
    <w:rsid w:val="00D44BCB"/>
    <w:rsid w:val="00D44E68"/>
    <w:rsid w:val="00D45035"/>
    <w:rsid w:val="00D466BB"/>
    <w:rsid w:val="00D46853"/>
    <w:rsid w:val="00D471DA"/>
    <w:rsid w:val="00D47ABD"/>
    <w:rsid w:val="00D50296"/>
    <w:rsid w:val="00D507F3"/>
    <w:rsid w:val="00D50F16"/>
    <w:rsid w:val="00D51723"/>
    <w:rsid w:val="00D5180D"/>
    <w:rsid w:val="00D51946"/>
    <w:rsid w:val="00D51B58"/>
    <w:rsid w:val="00D51C0B"/>
    <w:rsid w:val="00D52079"/>
    <w:rsid w:val="00D520D1"/>
    <w:rsid w:val="00D524A9"/>
    <w:rsid w:val="00D52537"/>
    <w:rsid w:val="00D52BFC"/>
    <w:rsid w:val="00D53015"/>
    <w:rsid w:val="00D5378A"/>
    <w:rsid w:val="00D542CA"/>
    <w:rsid w:val="00D544CC"/>
    <w:rsid w:val="00D5495E"/>
    <w:rsid w:val="00D54ED0"/>
    <w:rsid w:val="00D559EA"/>
    <w:rsid w:val="00D55AE3"/>
    <w:rsid w:val="00D56160"/>
    <w:rsid w:val="00D56F7E"/>
    <w:rsid w:val="00D57754"/>
    <w:rsid w:val="00D6002B"/>
    <w:rsid w:val="00D603F8"/>
    <w:rsid w:val="00D608A0"/>
    <w:rsid w:val="00D61183"/>
    <w:rsid w:val="00D615CD"/>
    <w:rsid w:val="00D61F26"/>
    <w:rsid w:val="00D61FDF"/>
    <w:rsid w:val="00D624DE"/>
    <w:rsid w:val="00D62CB1"/>
    <w:rsid w:val="00D62DD9"/>
    <w:rsid w:val="00D63312"/>
    <w:rsid w:val="00D63978"/>
    <w:rsid w:val="00D63B99"/>
    <w:rsid w:val="00D63F9E"/>
    <w:rsid w:val="00D644A7"/>
    <w:rsid w:val="00D645CD"/>
    <w:rsid w:val="00D646D7"/>
    <w:rsid w:val="00D64A83"/>
    <w:rsid w:val="00D64DB6"/>
    <w:rsid w:val="00D65181"/>
    <w:rsid w:val="00D665AF"/>
    <w:rsid w:val="00D6686A"/>
    <w:rsid w:val="00D66B69"/>
    <w:rsid w:val="00D66D01"/>
    <w:rsid w:val="00D66D9C"/>
    <w:rsid w:val="00D67F16"/>
    <w:rsid w:val="00D705CF"/>
    <w:rsid w:val="00D70D4D"/>
    <w:rsid w:val="00D71029"/>
    <w:rsid w:val="00D710C8"/>
    <w:rsid w:val="00D710F4"/>
    <w:rsid w:val="00D7163F"/>
    <w:rsid w:val="00D71B04"/>
    <w:rsid w:val="00D7216D"/>
    <w:rsid w:val="00D726AD"/>
    <w:rsid w:val="00D73287"/>
    <w:rsid w:val="00D732E0"/>
    <w:rsid w:val="00D73740"/>
    <w:rsid w:val="00D73867"/>
    <w:rsid w:val="00D73C65"/>
    <w:rsid w:val="00D747FD"/>
    <w:rsid w:val="00D75111"/>
    <w:rsid w:val="00D754C8"/>
    <w:rsid w:val="00D75538"/>
    <w:rsid w:val="00D75E5E"/>
    <w:rsid w:val="00D76043"/>
    <w:rsid w:val="00D76897"/>
    <w:rsid w:val="00D771FC"/>
    <w:rsid w:val="00D77BE7"/>
    <w:rsid w:val="00D77DC5"/>
    <w:rsid w:val="00D77E1A"/>
    <w:rsid w:val="00D80256"/>
    <w:rsid w:val="00D80A42"/>
    <w:rsid w:val="00D80CE3"/>
    <w:rsid w:val="00D80E0E"/>
    <w:rsid w:val="00D813D8"/>
    <w:rsid w:val="00D81983"/>
    <w:rsid w:val="00D82525"/>
    <w:rsid w:val="00D82A5F"/>
    <w:rsid w:val="00D833A3"/>
    <w:rsid w:val="00D8387B"/>
    <w:rsid w:val="00D840CC"/>
    <w:rsid w:val="00D844FB"/>
    <w:rsid w:val="00D84A3D"/>
    <w:rsid w:val="00D84A6C"/>
    <w:rsid w:val="00D84C15"/>
    <w:rsid w:val="00D84C43"/>
    <w:rsid w:val="00D8513B"/>
    <w:rsid w:val="00D860A1"/>
    <w:rsid w:val="00D865A1"/>
    <w:rsid w:val="00D872EF"/>
    <w:rsid w:val="00D877AF"/>
    <w:rsid w:val="00D87A16"/>
    <w:rsid w:val="00D90B60"/>
    <w:rsid w:val="00D90D4D"/>
    <w:rsid w:val="00D90D8F"/>
    <w:rsid w:val="00D91C94"/>
    <w:rsid w:val="00D91EDC"/>
    <w:rsid w:val="00D920E3"/>
    <w:rsid w:val="00D9215D"/>
    <w:rsid w:val="00D923C6"/>
    <w:rsid w:val="00D929E6"/>
    <w:rsid w:val="00D9318C"/>
    <w:rsid w:val="00D932F7"/>
    <w:rsid w:val="00D935DD"/>
    <w:rsid w:val="00D93941"/>
    <w:rsid w:val="00D93B8E"/>
    <w:rsid w:val="00D946BF"/>
    <w:rsid w:val="00D94F62"/>
    <w:rsid w:val="00D95006"/>
    <w:rsid w:val="00D95151"/>
    <w:rsid w:val="00D9533F"/>
    <w:rsid w:val="00D956DD"/>
    <w:rsid w:val="00D95A6D"/>
    <w:rsid w:val="00D96046"/>
    <w:rsid w:val="00D96941"/>
    <w:rsid w:val="00D96CEC"/>
    <w:rsid w:val="00DA0460"/>
    <w:rsid w:val="00DA2BB0"/>
    <w:rsid w:val="00DA2C8E"/>
    <w:rsid w:val="00DA3275"/>
    <w:rsid w:val="00DA34FA"/>
    <w:rsid w:val="00DA5A48"/>
    <w:rsid w:val="00DA61BE"/>
    <w:rsid w:val="00DA636C"/>
    <w:rsid w:val="00DA67AB"/>
    <w:rsid w:val="00DA696E"/>
    <w:rsid w:val="00DA729D"/>
    <w:rsid w:val="00DA7615"/>
    <w:rsid w:val="00DA76F3"/>
    <w:rsid w:val="00DB00FC"/>
    <w:rsid w:val="00DB0689"/>
    <w:rsid w:val="00DB08C1"/>
    <w:rsid w:val="00DB0A37"/>
    <w:rsid w:val="00DB0A3D"/>
    <w:rsid w:val="00DB0DB8"/>
    <w:rsid w:val="00DB154D"/>
    <w:rsid w:val="00DB1BCA"/>
    <w:rsid w:val="00DB22B6"/>
    <w:rsid w:val="00DB2752"/>
    <w:rsid w:val="00DB3102"/>
    <w:rsid w:val="00DB323A"/>
    <w:rsid w:val="00DB35B8"/>
    <w:rsid w:val="00DB362F"/>
    <w:rsid w:val="00DB472A"/>
    <w:rsid w:val="00DB5AD2"/>
    <w:rsid w:val="00DB64F0"/>
    <w:rsid w:val="00DB6533"/>
    <w:rsid w:val="00DB663B"/>
    <w:rsid w:val="00DB67CF"/>
    <w:rsid w:val="00DB68A2"/>
    <w:rsid w:val="00DB6A47"/>
    <w:rsid w:val="00DB6D88"/>
    <w:rsid w:val="00DB6EBD"/>
    <w:rsid w:val="00DB6F28"/>
    <w:rsid w:val="00DB703C"/>
    <w:rsid w:val="00DB7665"/>
    <w:rsid w:val="00DC02E2"/>
    <w:rsid w:val="00DC056D"/>
    <w:rsid w:val="00DC05E1"/>
    <w:rsid w:val="00DC076C"/>
    <w:rsid w:val="00DC11CE"/>
    <w:rsid w:val="00DC2765"/>
    <w:rsid w:val="00DC2DBC"/>
    <w:rsid w:val="00DC3662"/>
    <w:rsid w:val="00DC3844"/>
    <w:rsid w:val="00DC3B82"/>
    <w:rsid w:val="00DC3CFE"/>
    <w:rsid w:val="00DC44A4"/>
    <w:rsid w:val="00DC4840"/>
    <w:rsid w:val="00DC4D3D"/>
    <w:rsid w:val="00DC51A0"/>
    <w:rsid w:val="00DC5985"/>
    <w:rsid w:val="00DC5C06"/>
    <w:rsid w:val="00DC5F43"/>
    <w:rsid w:val="00DC66B0"/>
    <w:rsid w:val="00DC68F5"/>
    <w:rsid w:val="00DC6AA3"/>
    <w:rsid w:val="00DC6F14"/>
    <w:rsid w:val="00DC708E"/>
    <w:rsid w:val="00DC73F8"/>
    <w:rsid w:val="00DC7ADC"/>
    <w:rsid w:val="00DC7E80"/>
    <w:rsid w:val="00DC7F16"/>
    <w:rsid w:val="00DD016F"/>
    <w:rsid w:val="00DD02C5"/>
    <w:rsid w:val="00DD0913"/>
    <w:rsid w:val="00DD0C88"/>
    <w:rsid w:val="00DD23E7"/>
    <w:rsid w:val="00DD25F1"/>
    <w:rsid w:val="00DD29AB"/>
    <w:rsid w:val="00DD29DC"/>
    <w:rsid w:val="00DD2BCF"/>
    <w:rsid w:val="00DD30DD"/>
    <w:rsid w:val="00DD3D83"/>
    <w:rsid w:val="00DD489C"/>
    <w:rsid w:val="00DD5B6A"/>
    <w:rsid w:val="00DD5DB2"/>
    <w:rsid w:val="00DD60F8"/>
    <w:rsid w:val="00DD6555"/>
    <w:rsid w:val="00DD686C"/>
    <w:rsid w:val="00DD6CF9"/>
    <w:rsid w:val="00DD6DC0"/>
    <w:rsid w:val="00DD6F1D"/>
    <w:rsid w:val="00DD7F12"/>
    <w:rsid w:val="00DE0281"/>
    <w:rsid w:val="00DE0292"/>
    <w:rsid w:val="00DE12FC"/>
    <w:rsid w:val="00DE15A3"/>
    <w:rsid w:val="00DE1AAE"/>
    <w:rsid w:val="00DE1DC6"/>
    <w:rsid w:val="00DE2AA0"/>
    <w:rsid w:val="00DE2E48"/>
    <w:rsid w:val="00DE31F3"/>
    <w:rsid w:val="00DE396C"/>
    <w:rsid w:val="00DE4AAA"/>
    <w:rsid w:val="00DE4BF0"/>
    <w:rsid w:val="00DE58F6"/>
    <w:rsid w:val="00DE615B"/>
    <w:rsid w:val="00DE66EF"/>
    <w:rsid w:val="00DE68B4"/>
    <w:rsid w:val="00DF0456"/>
    <w:rsid w:val="00DF04A9"/>
    <w:rsid w:val="00DF09C5"/>
    <w:rsid w:val="00DF2621"/>
    <w:rsid w:val="00DF28E6"/>
    <w:rsid w:val="00DF2990"/>
    <w:rsid w:val="00DF354D"/>
    <w:rsid w:val="00DF39CF"/>
    <w:rsid w:val="00DF4537"/>
    <w:rsid w:val="00DF5347"/>
    <w:rsid w:val="00DF5B3E"/>
    <w:rsid w:val="00DF61A0"/>
    <w:rsid w:val="00DF6BD0"/>
    <w:rsid w:val="00DF6E42"/>
    <w:rsid w:val="00DF6FAB"/>
    <w:rsid w:val="00DF73A1"/>
    <w:rsid w:val="00DF74F7"/>
    <w:rsid w:val="00DF7966"/>
    <w:rsid w:val="00DF7B2D"/>
    <w:rsid w:val="00DF7C53"/>
    <w:rsid w:val="00E0024A"/>
    <w:rsid w:val="00E004C3"/>
    <w:rsid w:val="00E005C4"/>
    <w:rsid w:val="00E017FE"/>
    <w:rsid w:val="00E01A0B"/>
    <w:rsid w:val="00E01C88"/>
    <w:rsid w:val="00E0203B"/>
    <w:rsid w:val="00E02111"/>
    <w:rsid w:val="00E0268C"/>
    <w:rsid w:val="00E032DB"/>
    <w:rsid w:val="00E03F38"/>
    <w:rsid w:val="00E041D6"/>
    <w:rsid w:val="00E04B8A"/>
    <w:rsid w:val="00E04DCB"/>
    <w:rsid w:val="00E05193"/>
    <w:rsid w:val="00E05533"/>
    <w:rsid w:val="00E055B3"/>
    <w:rsid w:val="00E05667"/>
    <w:rsid w:val="00E05B26"/>
    <w:rsid w:val="00E060B7"/>
    <w:rsid w:val="00E063AD"/>
    <w:rsid w:val="00E065A0"/>
    <w:rsid w:val="00E06D8C"/>
    <w:rsid w:val="00E06EFC"/>
    <w:rsid w:val="00E073B5"/>
    <w:rsid w:val="00E077F7"/>
    <w:rsid w:val="00E107CF"/>
    <w:rsid w:val="00E11686"/>
    <w:rsid w:val="00E117F3"/>
    <w:rsid w:val="00E118F8"/>
    <w:rsid w:val="00E11DD9"/>
    <w:rsid w:val="00E11EE5"/>
    <w:rsid w:val="00E11EE7"/>
    <w:rsid w:val="00E11FB8"/>
    <w:rsid w:val="00E12301"/>
    <w:rsid w:val="00E12404"/>
    <w:rsid w:val="00E12E88"/>
    <w:rsid w:val="00E12F94"/>
    <w:rsid w:val="00E13069"/>
    <w:rsid w:val="00E1368E"/>
    <w:rsid w:val="00E13779"/>
    <w:rsid w:val="00E1388B"/>
    <w:rsid w:val="00E145A3"/>
    <w:rsid w:val="00E15823"/>
    <w:rsid w:val="00E15F46"/>
    <w:rsid w:val="00E16CBA"/>
    <w:rsid w:val="00E16E09"/>
    <w:rsid w:val="00E20146"/>
    <w:rsid w:val="00E20E25"/>
    <w:rsid w:val="00E2133D"/>
    <w:rsid w:val="00E21D7D"/>
    <w:rsid w:val="00E21F01"/>
    <w:rsid w:val="00E221BD"/>
    <w:rsid w:val="00E22827"/>
    <w:rsid w:val="00E22BEE"/>
    <w:rsid w:val="00E23724"/>
    <w:rsid w:val="00E23E34"/>
    <w:rsid w:val="00E23F79"/>
    <w:rsid w:val="00E24690"/>
    <w:rsid w:val="00E24876"/>
    <w:rsid w:val="00E24878"/>
    <w:rsid w:val="00E24ECF"/>
    <w:rsid w:val="00E250D3"/>
    <w:rsid w:val="00E25528"/>
    <w:rsid w:val="00E26229"/>
    <w:rsid w:val="00E2649A"/>
    <w:rsid w:val="00E26F3A"/>
    <w:rsid w:val="00E271F1"/>
    <w:rsid w:val="00E2724B"/>
    <w:rsid w:val="00E2778F"/>
    <w:rsid w:val="00E27C00"/>
    <w:rsid w:val="00E3009E"/>
    <w:rsid w:val="00E30469"/>
    <w:rsid w:val="00E30704"/>
    <w:rsid w:val="00E30977"/>
    <w:rsid w:val="00E30C6D"/>
    <w:rsid w:val="00E30CFF"/>
    <w:rsid w:val="00E3178F"/>
    <w:rsid w:val="00E31B58"/>
    <w:rsid w:val="00E31D88"/>
    <w:rsid w:val="00E32091"/>
    <w:rsid w:val="00E3279F"/>
    <w:rsid w:val="00E32F17"/>
    <w:rsid w:val="00E33215"/>
    <w:rsid w:val="00E33652"/>
    <w:rsid w:val="00E3371F"/>
    <w:rsid w:val="00E33860"/>
    <w:rsid w:val="00E338D1"/>
    <w:rsid w:val="00E33949"/>
    <w:rsid w:val="00E345BD"/>
    <w:rsid w:val="00E35A57"/>
    <w:rsid w:val="00E35DA1"/>
    <w:rsid w:val="00E35F94"/>
    <w:rsid w:val="00E37CE3"/>
    <w:rsid w:val="00E40149"/>
    <w:rsid w:val="00E40183"/>
    <w:rsid w:val="00E40F19"/>
    <w:rsid w:val="00E4108F"/>
    <w:rsid w:val="00E4137F"/>
    <w:rsid w:val="00E41497"/>
    <w:rsid w:val="00E4151B"/>
    <w:rsid w:val="00E416AE"/>
    <w:rsid w:val="00E417C0"/>
    <w:rsid w:val="00E41BC1"/>
    <w:rsid w:val="00E41E2E"/>
    <w:rsid w:val="00E426B3"/>
    <w:rsid w:val="00E42965"/>
    <w:rsid w:val="00E42EDA"/>
    <w:rsid w:val="00E4319E"/>
    <w:rsid w:val="00E43DC3"/>
    <w:rsid w:val="00E43E07"/>
    <w:rsid w:val="00E44880"/>
    <w:rsid w:val="00E44DA6"/>
    <w:rsid w:val="00E45935"/>
    <w:rsid w:val="00E459BA"/>
    <w:rsid w:val="00E45AB8"/>
    <w:rsid w:val="00E45F82"/>
    <w:rsid w:val="00E46667"/>
    <w:rsid w:val="00E466BF"/>
    <w:rsid w:val="00E472CF"/>
    <w:rsid w:val="00E476CE"/>
    <w:rsid w:val="00E47B71"/>
    <w:rsid w:val="00E47BF0"/>
    <w:rsid w:val="00E47C15"/>
    <w:rsid w:val="00E47FCB"/>
    <w:rsid w:val="00E500CB"/>
    <w:rsid w:val="00E51120"/>
    <w:rsid w:val="00E514DF"/>
    <w:rsid w:val="00E53441"/>
    <w:rsid w:val="00E54BA1"/>
    <w:rsid w:val="00E555C0"/>
    <w:rsid w:val="00E5593C"/>
    <w:rsid w:val="00E55C4B"/>
    <w:rsid w:val="00E56525"/>
    <w:rsid w:val="00E56813"/>
    <w:rsid w:val="00E569F4"/>
    <w:rsid w:val="00E577EB"/>
    <w:rsid w:val="00E57877"/>
    <w:rsid w:val="00E57CBA"/>
    <w:rsid w:val="00E57FE5"/>
    <w:rsid w:val="00E6014D"/>
    <w:rsid w:val="00E601C3"/>
    <w:rsid w:val="00E6061B"/>
    <w:rsid w:val="00E60C0A"/>
    <w:rsid w:val="00E60EC3"/>
    <w:rsid w:val="00E611A6"/>
    <w:rsid w:val="00E611EE"/>
    <w:rsid w:val="00E6208F"/>
    <w:rsid w:val="00E62D0B"/>
    <w:rsid w:val="00E63550"/>
    <w:rsid w:val="00E635DB"/>
    <w:rsid w:val="00E640BE"/>
    <w:rsid w:val="00E648F3"/>
    <w:rsid w:val="00E65074"/>
    <w:rsid w:val="00E65A85"/>
    <w:rsid w:val="00E65D1C"/>
    <w:rsid w:val="00E65F07"/>
    <w:rsid w:val="00E665A6"/>
    <w:rsid w:val="00E669DF"/>
    <w:rsid w:val="00E675C7"/>
    <w:rsid w:val="00E67C1E"/>
    <w:rsid w:val="00E7004D"/>
    <w:rsid w:val="00E706F7"/>
    <w:rsid w:val="00E710CE"/>
    <w:rsid w:val="00E71222"/>
    <w:rsid w:val="00E71302"/>
    <w:rsid w:val="00E71614"/>
    <w:rsid w:val="00E718C1"/>
    <w:rsid w:val="00E7287D"/>
    <w:rsid w:val="00E72F9B"/>
    <w:rsid w:val="00E73688"/>
    <w:rsid w:val="00E73857"/>
    <w:rsid w:val="00E73ACE"/>
    <w:rsid w:val="00E73FE4"/>
    <w:rsid w:val="00E7461E"/>
    <w:rsid w:val="00E7537E"/>
    <w:rsid w:val="00E75E27"/>
    <w:rsid w:val="00E75F76"/>
    <w:rsid w:val="00E7614E"/>
    <w:rsid w:val="00E762FE"/>
    <w:rsid w:val="00E7648D"/>
    <w:rsid w:val="00E769A1"/>
    <w:rsid w:val="00E76E39"/>
    <w:rsid w:val="00E771C8"/>
    <w:rsid w:val="00E77467"/>
    <w:rsid w:val="00E77552"/>
    <w:rsid w:val="00E77834"/>
    <w:rsid w:val="00E80C88"/>
    <w:rsid w:val="00E80EA8"/>
    <w:rsid w:val="00E811F8"/>
    <w:rsid w:val="00E813CC"/>
    <w:rsid w:val="00E813F4"/>
    <w:rsid w:val="00E8142F"/>
    <w:rsid w:val="00E8171A"/>
    <w:rsid w:val="00E81A13"/>
    <w:rsid w:val="00E81A29"/>
    <w:rsid w:val="00E81C3B"/>
    <w:rsid w:val="00E823AE"/>
    <w:rsid w:val="00E82B52"/>
    <w:rsid w:val="00E82EEC"/>
    <w:rsid w:val="00E830E3"/>
    <w:rsid w:val="00E83933"/>
    <w:rsid w:val="00E84737"/>
    <w:rsid w:val="00E848EA"/>
    <w:rsid w:val="00E84B3E"/>
    <w:rsid w:val="00E84C09"/>
    <w:rsid w:val="00E84E5A"/>
    <w:rsid w:val="00E85424"/>
    <w:rsid w:val="00E8575C"/>
    <w:rsid w:val="00E8597E"/>
    <w:rsid w:val="00E85ACE"/>
    <w:rsid w:val="00E85B2B"/>
    <w:rsid w:val="00E86934"/>
    <w:rsid w:val="00E86EC0"/>
    <w:rsid w:val="00E87082"/>
    <w:rsid w:val="00E876EF"/>
    <w:rsid w:val="00E87C4D"/>
    <w:rsid w:val="00E87CF0"/>
    <w:rsid w:val="00E909AA"/>
    <w:rsid w:val="00E90AE2"/>
    <w:rsid w:val="00E911E7"/>
    <w:rsid w:val="00E916AC"/>
    <w:rsid w:val="00E91FCC"/>
    <w:rsid w:val="00E925D9"/>
    <w:rsid w:val="00E92EDA"/>
    <w:rsid w:val="00E9312D"/>
    <w:rsid w:val="00E93193"/>
    <w:rsid w:val="00E93DAB"/>
    <w:rsid w:val="00E9433A"/>
    <w:rsid w:val="00E9448B"/>
    <w:rsid w:val="00E944EC"/>
    <w:rsid w:val="00E94697"/>
    <w:rsid w:val="00E948B1"/>
    <w:rsid w:val="00E949BE"/>
    <w:rsid w:val="00E94BE2"/>
    <w:rsid w:val="00E94FD8"/>
    <w:rsid w:val="00E952DB"/>
    <w:rsid w:val="00E96277"/>
    <w:rsid w:val="00E96B6F"/>
    <w:rsid w:val="00E96C42"/>
    <w:rsid w:val="00E972B8"/>
    <w:rsid w:val="00EA022B"/>
    <w:rsid w:val="00EA0629"/>
    <w:rsid w:val="00EA1007"/>
    <w:rsid w:val="00EA1451"/>
    <w:rsid w:val="00EA19CB"/>
    <w:rsid w:val="00EA1BD8"/>
    <w:rsid w:val="00EA273D"/>
    <w:rsid w:val="00EA2C3D"/>
    <w:rsid w:val="00EA3171"/>
    <w:rsid w:val="00EA3907"/>
    <w:rsid w:val="00EA3AD8"/>
    <w:rsid w:val="00EA44EA"/>
    <w:rsid w:val="00EA4DB6"/>
    <w:rsid w:val="00EA543B"/>
    <w:rsid w:val="00EA5A61"/>
    <w:rsid w:val="00EA5EA0"/>
    <w:rsid w:val="00EA63E9"/>
    <w:rsid w:val="00EA65D8"/>
    <w:rsid w:val="00EA662E"/>
    <w:rsid w:val="00EA6F18"/>
    <w:rsid w:val="00EA7D93"/>
    <w:rsid w:val="00EA7FC3"/>
    <w:rsid w:val="00EB04B0"/>
    <w:rsid w:val="00EB098D"/>
    <w:rsid w:val="00EB0CC5"/>
    <w:rsid w:val="00EB0D5B"/>
    <w:rsid w:val="00EB12FE"/>
    <w:rsid w:val="00EB1452"/>
    <w:rsid w:val="00EB1F79"/>
    <w:rsid w:val="00EB2BD0"/>
    <w:rsid w:val="00EB3F76"/>
    <w:rsid w:val="00EB4158"/>
    <w:rsid w:val="00EB4265"/>
    <w:rsid w:val="00EB53B6"/>
    <w:rsid w:val="00EB5855"/>
    <w:rsid w:val="00EB58E5"/>
    <w:rsid w:val="00EB58F3"/>
    <w:rsid w:val="00EB62BA"/>
    <w:rsid w:val="00EB6665"/>
    <w:rsid w:val="00EB67D4"/>
    <w:rsid w:val="00EB699B"/>
    <w:rsid w:val="00EB6D2F"/>
    <w:rsid w:val="00EB7313"/>
    <w:rsid w:val="00EB77D5"/>
    <w:rsid w:val="00EC00CB"/>
    <w:rsid w:val="00EC01C8"/>
    <w:rsid w:val="00EC030E"/>
    <w:rsid w:val="00EC03C4"/>
    <w:rsid w:val="00EC05E9"/>
    <w:rsid w:val="00EC080D"/>
    <w:rsid w:val="00EC1157"/>
    <w:rsid w:val="00EC14E2"/>
    <w:rsid w:val="00EC1717"/>
    <w:rsid w:val="00EC1FF6"/>
    <w:rsid w:val="00EC2004"/>
    <w:rsid w:val="00EC2112"/>
    <w:rsid w:val="00EC2344"/>
    <w:rsid w:val="00EC23F6"/>
    <w:rsid w:val="00EC39D9"/>
    <w:rsid w:val="00EC3EFD"/>
    <w:rsid w:val="00EC40EF"/>
    <w:rsid w:val="00EC4745"/>
    <w:rsid w:val="00EC4D6A"/>
    <w:rsid w:val="00EC550E"/>
    <w:rsid w:val="00EC5AFD"/>
    <w:rsid w:val="00EC5C3C"/>
    <w:rsid w:val="00EC6689"/>
    <w:rsid w:val="00EC6896"/>
    <w:rsid w:val="00EC6D53"/>
    <w:rsid w:val="00EC73B4"/>
    <w:rsid w:val="00EC7C8C"/>
    <w:rsid w:val="00ED005A"/>
    <w:rsid w:val="00ED0529"/>
    <w:rsid w:val="00ED0BA0"/>
    <w:rsid w:val="00ED12B1"/>
    <w:rsid w:val="00ED1D8A"/>
    <w:rsid w:val="00ED28E2"/>
    <w:rsid w:val="00ED3DDA"/>
    <w:rsid w:val="00ED43CB"/>
    <w:rsid w:val="00ED5928"/>
    <w:rsid w:val="00ED59A8"/>
    <w:rsid w:val="00ED61A6"/>
    <w:rsid w:val="00ED6420"/>
    <w:rsid w:val="00ED6424"/>
    <w:rsid w:val="00ED6AF2"/>
    <w:rsid w:val="00ED6BBF"/>
    <w:rsid w:val="00ED6C52"/>
    <w:rsid w:val="00ED6E0B"/>
    <w:rsid w:val="00ED6E68"/>
    <w:rsid w:val="00ED72C0"/>
    <w:rsid w:val="00ED7726"/>
    <w:rsid w:val="00ED79CD"/>
    <w:rsid w:val="00ED7BDF"/>
    <w:rsid w:val="00ED7E01"/>
    <w:rsid w:val="00EE0A3F"/>
    <w:rsid w:val="00EE0A80"/>
    <w:rsid w:val="00EE271B"/>
    <w:rsid w:val="00EE2F10"/>
    <w:rsid w:val="00EE3072"/>
    <w:rsid w:val="00EE354B"/>
    <w:rsid w:val="00EE4C4C"/>
    <w:rsid w:val="00EE52D0"/>
    <w:rsid w:val="00EE5572"/>
    <w:rsid w:val="00EE57A6"/>
    <w:rsid w:val="00EE6011"/>
    <w:rsid w:val="00EE64A8"/>
    <w:rsid w:val="00EE69F9"/>
    <w:rsid w:val="00EE72CE"/>
    <w:rsid w:val="00EE7809"/>
    <w:rsid w:val="00EF05FB"/>
    <w:rsid w:val="00EF0DAC"/>
    <w:rsid w:val="00EF1A48"/>
    <w:rsid w:val="00EF1B66"/>
    <w:rsid w:val="00EF1E75"/>
    <w:rsid w:val="00EF2D80"/>
    <w:rsid w:val="00EF3828"/>
    <w:rsid w:val="00EF43B7"/>
    <w:rsid w:val="00EF446E"/>
    <w:rsid w:val="00EF4C1A"/>
    <w:rsid w:val="00EF4DBA"/>
    <w:rsid w:val="00EF5037"/>
    <w:rsid w:val="00EF5421"/>
    <w:rsid w:val="00EF5A76"/>
    <w:rsid w:val="00EF609F"/>
    <w:rsid w:val="00EF6311"/>
    <w:rsid w:val="00EF6645"/>
    <w:rsid w:val="00EF69D0"/>
    <w:rsid w:val="00EF6E29"/>
    <w:rsid w:val="00EF6FFD"/>
    <w:rsid w:val="00EF7115"/>
    <w:rsid w:val="00F00452"/>
    <w:rsid w:val="00F0095D"/>
    <w:rsid w:val="00F00DE8"/>
    <w:rsid w:val="00F02821"/>
    <w:rsid w:val="00F02FF3"/>
    <w:rsid w:val="00F03115"/>
    <w:rsid w:val="00F037E0"/>
    <w:rsid w:val="00F04C42"/>
    <w:rsid w:val="00F04E15"/>
    <w:rsid w:val="00F055D2"/>
    <w:rsid w:val="00F0579C"/>
    <w:rsid w:val="00F05984"/>
    <w:rsid w:val="00F062B8"/>
    <w:rsid w:val="00F063F4"/>
    <w:rsid w:val="00F06615"/>
    <w:rsid w:val="00F068A6"/>
    <w:rsid w:val="00F0699D"/>
    <w:rsid w:val="00F06AE9"/>
    <w:rsid w:val="00F06D44"/>
    <w:rsid w:val="00F06FEB"/>
    <w:rsid w:val="00F070EB"/>
    <w:rsid w:val="00F07891"/>
    <w:rsid w:val="00F07ABB"/>
    <w:rsid w:val="00F07C5C"/>
    <w:rsid w:val="00F07CA7"/>
    <w:rsid w:val="00F07CF4"/>
    <w:rsid w:val="00F10368"/>
    <w:rsid w:val="00F1053D"/>
    <w:rsid w:val="00F107DF"/>
    <w:rsid w:val="00F10DC2"/>
    <w:rsid w:val="00F11252"/>
    <w:rsid w:val="00F122BC"/>
    <w:rsid w:val="00F1248A"/>
    <w:rsid w:val="00F12A0E"/>
    <w:rsid w:val="00F12AD5"/>
    <w:rsid w:val="00F13121"/>
    <w:rsid w:val="00F1342F"/>
    <w:rsid w:val="00F1360C"/>
    <w:rsid w:val="00F13663"/>
    <w:rsid w:val="00F13B41"/>
    <w:rsid w:val="00F13E05"/>
    <w:rsid w:val="00F140D6"/>
    <w:rsid w:val="00F14575"/>
    <w:rsid w:val="00F14FF0"/>
    <w:rsid w:val="00F15091"/>
    <w:rsid w:val="00F1552B"/>
    <w:rsid w:val="00F15A3C"/>
    <w:rsid w:val="00F15BCB"/>
    <w:rsid w:val="00F162B8"/>
    <w:rsid w:val="00F162EA"/>
    <w:rsid w:val="00F16571"/>
    <w:rsid w:val="00F171D9"/>
    <w:rsid w:val="00F202C0"/>
    <w:rsid w:val="00F2056D"/>
    <w:rsid w:val="00F205CA"/>
    <w:rsid w:val="00F2069B"/>
    <w:rsid w:val="00F211AE"/>
    <w:rsid w:val="00F21437"/>
    <w:rsid w:val="00F21655"/>
    <w:rsid w:val="00F216DF"/>
    <w:rsid w:val="00F21BB3"/>
    <w:rsid w:val="00F21D6C"/>
    <w:rsid w:val="00F22387"/>
    <w:rsid w:val="00F22627"/>
    <w:rsid w:val="00F229CF"/>
    <w:rsid w:val="00F22D72"/>
    <w:rsid w:val="00F236A0"/>
    <w:rsid w:val="00F236ED"/>
    <w:rsid w:val="00F23B3C"/>
    <w:rsid w:val="00F23B51"/>
    <w:rsid w:val="00F23C4C"/>
    <w:rsid w:val="00F23CF8"/>
    <w:rsid w:val="00F240E7"/>
    <w:rsid w:val="00F24117"/>
    <w:rsid w:val="00F24EAE"/>
    <w:rsid w:val="00F259F4"/>
    <w:rsid w:val="00F25BE5"/>
    <w:rsid w:val="00F26309"/>
    <w:rsid w:val="00F26E44"/>
    <w:rsid w:val="00F27B46"/>
    <w:rsid w:val="00F27DDC"/>
    <w:rsid w:val="00F300DC"/>
    <w:rsid w:val="00F30D62"/>
    <w:rsid w:val="00F317C6"/>
    <w:rsid w:val="00F3219D"/>
    <w:rsid w:val="00F33548"/>
    <w:rsid w:val="00F336CA"/>
    <w:rsid w:val="00F338FA"/>
    <w:rsid w:val="00F34D27"/>
    <w:rsid w:val="00F353D1"/>
    <w:rsid w:val="00F356F5"/>
    <w:rsid w:val="00F35E1B"/>
    <w:rsid w:val="00F3611A"/>
    <w:rsid w:val="00F36AEF"/>
    <w:rsid w:val="00F36B64"/>
    <w:rsid w:val="00F36C0A"/>
    <w:rsid w:val="00F36E8E"/>
    <w:rsid w:val="00F373A9"/>
    <w:rsid w:val="00F374CA"/>
    <w:rsid w:val="00F37537"/>
    <w:rsid w:val="00F375B0"/>
    <w:rsid w:val="00F375FC"/>
    <w:rsid w:val="00F37DB2"/>
    <w:rsid w:val="00F403E7"/>
    <w:rsid w:val="00F406CE"/>
    <w:rsid w:val="00F40795"/>
    <w:rsid w:val="00F40958"/>
    <w:rsid w:val="00F40E52"/>
    <w:rsid w:val="00F410D7"/>
    <w:rsid w:val="00F419FC"/>
    <w:rsid w:val="00F41B09"/>
    <w:rsid w:val="00F42B55"/>
    <w:rsid w:val="00F42C8B"/>
    <w:rsid w:val="00F4352D"/>
    <w:rsid w:val="00F4372B"/>
    <w:rsid w:val="00F4380A"/>
    <w:rsid w:val="00F45242"/>
    <w:rsid w:val="00F457A7"/>
    <w:rsid w:val="00F45BFC"/>
    <w:rsid w:val="00F45DCB"/>
    <w:rsid w:val="00F45E1D"/>
    <w:rsid w:val="00F45F56"/>
    <w:rsid w:val="00F46810"/>
    <w:rsid w:val="00F47519"/>
    <w:rsid w:val="00F47965"/>
    <w:rsid w:val="00F47A8F"/>
    <w:rsid w:val="00F50758"/>
    <w:rsid w:val="00F51D21"/>
    <w:rsid w:val="00F51D26"/>
    <w:rsid w:val="00F530B3"/>
    <w:rsid w:val="00F539B3"/>
    <w:rsid w:val="00F539BB"/>
    <w:rsid w:val="00F53F3B"/>
    <w:rsid w:val="00F54055"/>
    <w:rsid w:val="00F54225"/>
    <w:rsid w:val="00F54829"/>
    <w:rsid w:val="00F561D8"/>
    <w:rsid w:val="00F56438"/>
    <w:rsid w:val="00F56C65"/>
    <w:rsid w:val="00F56FB4"/>
    <w:rsid w:val="00F572EB"/>
    <w:rsid w:val="00F5773F"/>
    <w:rsid w:val="00F57A01"/>
    <w:rsid w:val="00F60589"/>
    <w:rsid w:val="00F606D6"/>
    <w:rsid w:val="00F607B5"/>
    <w:rsid w:val="00F60830"/>
    <w:rsid w:val="00F60F5E"/>
    <w:rsid w:val="00F6103D"/>
    <w:rsid w:val="00F613BB"/>
    <w:rsid w:val="00F61553"/>
    <w:rsid w:val="00F61671"/>
    <w:rsid w:val="00F61B00"/>
    <w:rsid w:val="00F61F96"/>
    <w:rsid w:val="00F625B0"/>
    <w:rsid w:val="00F63047"/>
    <w:rsid w:val="00F630D6"/>
    <w:rsid w:val="00F635E7"/>
    <w:rsid w:val="00F63E48"/>
    <w:rsid w:val="00F645B4"/>
    <w:rsid w:val="00F64B46"/>
    <w:rsid w:val="00F64C99"/>
    <w:rsid w:val="00F6514E"/>
    <w:rsid w:val="00F65369"/>
    <w:rsid w:val="00F66125"/>
    <w:rsid w:val="00F6631B"/>
    <w:rsid w:val="00F66FB4"/>
    <w:rsid w:val="00F673F1"/>
    <w:rsid w:val="00F676AE"/>
    <w:rsid w:val="00F7082C"/>
    <w:rsid w:val="00F70B86"/>
    <w:rsid w:val="00F70EE1"/>
    <w:rsid w:val="00F70FA4"/>
    <w:rsid w:val="00F7115C"/>
    <w:rsid w:val="00F72349"/>
    <w:rsid w:val="00F726F7"/>
    <w:rsid w:val="00F72964"/>
    <w:rsid w:val="00F7390A"/>
    <w:rsid w:val="00F7390E"/>
    <w:rsid w:val="00F73E4A"/>
    <w:rsid w:val="00F73F6D"/>
    <w:rsid w:val="00F74BCB"/>
    <w:rsid w:val="00F74D33"/>
    <w:rsid w:val="00F74ECE"/>
    <w:rsid w:val="00F7526D"/>
    <w:rsid w:val="00F75673"/>
    <w:rsid w:val="00F75773"/>
    <w:rsid w:val="00F757C0"/>
    <w:rsid w:val="00F758EB"/>
    <w:rsid w:val="00F75C16"/>
    <w:rsid w:val="00F75E5D"/>
    <w:rsid w:val="00F7645C"/>
    <w:rsid w:val="00F769C9"/>
    <w:rsid w:val="00F77C73"/>
    <w:rsid w:val="00F80778"/>
    <w:rsid w:val="00F808C7"/>
    <w:rsid w:val="00F815AC"/>
    <w:rsid w:val="00F815CB"/>
    <w:rsid w:val="00F81ABF"/>
    <w:rsid w:val="00F8207B"/>
    <w:rsid w:val="00F8246F"/>
    <w:rsid w:val="00F82BE2"/>
    <w:rsid w:val="00F836F6"/>
    <w:rsid w:val="00F83D51"/>
    <w:rsid w:val="00F83D60"/>
    <w:rsid w:val="00F84D3C"/>
    <w:rsid w:val="00F85476"/>
    <w:rsid w:val="00F8574E"/>
    <w:rsid w:val="00F85EE3"/>
    <w:rsid w:val="00F86B80"/>
    <w:rsid w:val="00F86C2F"/>
    <w:rsid w:val="00F87108"/>
    <w:rsid w:val="00F87534"/>
    <w:rsid w:val="00F876BB"/>
    <w:rsid w:val="00F87749"/>
    <w:rsid w:val="00F87E0A"/>
    <w:rsid w:val="00F90F66"/>
    <w:rsid w:val="00F91094"/>
    <w:rsid w:val="00F92326"/>
    <w:rsid w:val="00F92582"/>
    <w:rsid w:val="00F92752"/>
    <w:rsid w:val="00F929BE"/>
    <w:rsid w:val="00F9336D"/>
    <w:rsid w:val="00F93880"/>
    <w:rsid w:val="00F9478E"/>
    <w:rsid w:val="00F9535C"/>
    <w:rsid w:val="00F977F0"/>
    <w:rsid w:val="00FA07D9"/>
    <w:rsid w:val="00FA134C"/>
    <w:rsid w:val="00FA171A"/>
    <w:rsid w:val="00FA1E0B"/>
    <w:rsid w:val="00FA3227"/>
    <w:rsid w:val="00FA4493"/>
    <w:rsid w:val="00FA455B"/>
    <w:rsid w:val="00FA598C"/>
    <w:rsid w:val="00FA6506"/>
    <w:rsid w:val="00FA7360"/>
    <w:rsid w:val="00FA7511"/>
    <w:rsid w:val="00FA76B8"/>
    <w:rsid w:val="00FA7A92"/>
    <w:rsid w:val="00FA7E8D"/>
    <w:rsid w:val="00FB064A"/>
    <w:rsid w:val="00FB075B"/>
    <w:rsid w:val="00FB0A20"/>
    <w:rsid w:val="00FB0D4F"/>
    <w:rsid w:val="00FB0FC7"/>
    <w:rsid w:val="00FB117B"/>
    <w:rsid w:val="00FB1F35"/>
    <w:rsid w:val="00FB21C6"/>
    <w:rsid w:val="00FB25C4"/>
    <w:rsid w:val="00FB262A"/>
    <w:rsid w:val="00FB2802"/>
    <w:rsid w:val="00FB29FE"/>
    <w:rsid w:val="00FB2E48"/>
    <w:rsid w:val="00FB300B"/>
    <w:rsid w:val="00FB3092"/>
    <w:rsid w:val="00FB3229"/>
    <w:rsid w:val="00FB3BE4"/>
    <w:rsid w:val="00FB40DA"/>
    <w:rsid w:val="00FB42FE"/>
    <w:rsid w:val="00FB470C"/>
    <w:rsid w:val="00FB4C7D"/>
    <w:rsid w:val="00FB4DDB"/>
    <w:rsid w:val="00FB50B7"/>
    <w:rsid w:val="00FB5815"/>
    <w:rsid w:val="00FB5F33"/>
    <w:rsid w:val="00FB616F"/>
    <w:rsid w:val="00FB6905"/>
    <w:rsid w:val="00FB7180"/>
    <w:rsid w:val="00FB7AA5"/>
    <w:rsid w:val="00FB7AC2"/>
    <w:rsid w:val="00FC0166"/>
    <w:rsid w:val="00FC02D9"/>
    <w:rsid w:val="00FC04E7"/>
    <w:rsid w:val="00FC0513"/>
    <w:rsid w:val="00FC0AAA"/>
    <w:rsid w:val="00FC1160"/>
    <w:rsid w:val="00FC131B"/>
    <w:rsid w:val="00FC1659"/>
    <w:rsid w:val="00FC1867"/>
    <w:rsid w:val="00FC1DCB"/>
    <w:rsid w:val="00FC1FEA"/>
    <w:rsid w:val="00FC20CE"/>
    <w:rsid w:val="00FC24ED"/>
    <w:rsid w:val="00FC3190"/>
    <w:rsid w:val="00FC3273"/>
    <w:rsid w:val="00FC3666"/>
    <w:rsid w:val="00FC396A"/>
    <w:rsid w:val="00FC3EB3"/>
    <w:rsid w:val="00FC3EE3"/>
    <w:rsid w:val="00FC45DF"/>
    <w:rsid w:val="00FC487E"/>
    <w:rsid w:val="00FC4953"/>
    <w:rsid w:val="00FC4E49"/>
    <w:rsid w:val="00FC538A"/>
    <w:rsid w:val="00FC5BE8"/>
    <w:rsid w:val="00FC5E5E"/>
    <w:rsid w:val="00FC5F41"/>
    <w:rsid w:val="00FC664F"/>
    <w:rsid w:val="00FC67B2"/>
    <w:rsid w:val="00FC70AD"/>
    <w:rsid w:val="00FC72F2"/>
    <w:rsid w:val="00FC77EA"/>
    <w:rsid w:val="00FC7BDC"/>
    <w:rsid w:val="00FC7C10"/>
    <w:rsid w:val="00FD01D7"/>
    <w:rsid w:val="00FD04BB"/>
    <w:rsid w:val="00FD05A6"/>
    <w:rsid w:val="00FD0BD5"/>
    <w:rsid w:val="00FD1097"/>
    <w:rsid w:val="00FD124F"/>
    <w:rsid w:val="00FD1274"/>
    <w:rsid w:val="00FD1C99"/>
    <w:rsid w:val="00FD1D4D"/>
    <w:rsid w:val="00FD1DE1"/>
    <w:rsid w:val="00FD1F39"/>
    <w:rsid w:val="00FD2201"/>
    <w:rsid w:val="00FD27C7"/>
    <w:rsid w:val="00FD2A0A"/>
    <w:rsid w:val="00FD2BB8"/>
    <w:rsid w:val="00FD2F1A"/>
    <w:rsid w:val="00FD2F8A"/>
    <w:rsid w:val="00FD336A"/>
    <w:rsid w:val="00FD351A"/>
    <w:rsid w:val="00FD39B6"/>
    <w:rsid w:val="00FD3B20"/>
    <w:rsid w:val="00FD3E50"/>
    <w:rsid w:val="00FD4220"/>
    <w:rsid w:val="00FD5368"/>
    <w:rsid w:val="00FD561D"/>
    <w:rsid w:val="00FD57CA"/>
    <w:rsid w:val="00FD6AB6"/>
    <w:rsid w:val="00FD6D5F"/>
    <w:rsid w:val="00FD75FE"/>
    <w:rsid w:val="00FD7714"/>
    <w:rsid w:val="00FD77AE"/>
    <w:rsid w:val="00FD7CFD"/>
    <w:rsid w:val="00FE0189"/>
    <w:rsid w:val="00FE0286"/>
    <w:rsid w:val="00FE0362"/>
    <w:rsid w:val="00FE0FCC"/>
    <w:rsid w:val="00FE1234"/>
    <w:rsid w:val="00FE1B5E"/>
    <w:rsid w:val="00FE1BF2"/>
    <w:rsid w:val="00FE1C81"/>
    <w:rsid w:val="00FE24DE"/>
    <w:rsid w:val="00FE2697"/>
    <w:rsid w:val="00FE2A8D"/>
    <w:rsid w:val="00FE4441"/>
    <w:rsid w:val="00FE45D6"/>
    <w:rsid w:val="00FE512F"/>
    <w:rsid w:val="00FE58CE"/>
    <w:rsid w:val="00FE5E9D"/>
    <w:rsid w:val="00FE6A30"/>
    <w:rsid w:val="00FE705C"/>
    <w:rsid w:val="00FE79C8"/>
    <w:rsid w:val="00FE7C00"/>
    <w:rsid w:val="00FF0264"/>
    <w:rsid w:val="00FF096D"/>
    <w:rsid w:val="00FF09E6"/>
    <w:rsid w:val="00FF0B58"/>
    <w:rsid w:val="00FF0B64"/>
    <w:rsid w:val="00FF14FD"/>
    <w:rsid w:val="00FF19B6"/>
    <w:rsid w:val="00FF1AF2"/>
    <w:rsid w:val="00FF1CD9"/>
    <w:rsid w:val="00FF1E38"/>
    <w:rsid w:val="00FF2BFC"/>
    <w:rsid w:val="00FF2DEC"/>
    <w:rsid w:val="00FF338A"/>
    <w:rsid w:val="00FF4252"/>
    <w:rsid w:val="00FF4B06"/>
    <w:rsid w:val="00FF4C7D"/>
    <w:rsid w:val="00FF4E1E"/>
    <w:rsid w:val="00FF5C48"/>
    <w:rsid w:val="00FF5DAC"/>
    <w:rsid w:val="00FF649E"/>
    <w:rsid w:val="00FF6D7E"/>
    <w:rsid w:val="00FF6E36"/>
    <w:rsid w:val="00FF6EE9"/>
    <w:rsid w:val="00FF7BD3"/>
    <w:rsid w:val="018E3672"/>
    <w:rsid w:val="029055F2"/>
    <w:rsid w:val="03256A6C"/>
    <w:rsid w:val="034A0DF4"/>
    <w:rsid w:val="04D168D7"/>
    <w:rsid w:val="060644F0"/>
    <w:rsid w:val="0627537E"/>
    <w:rsid w:val="06A116ED"/>
    <w:rsid w:val="06F40373"/>
    <w:rsid w:val="0723124C"/>
    <w:rsid w:val="07B45315"/>
    <w:rsid w:val="08246A68"/>
    <w:rsid w:val="082F165E"/>
    <w:rsid w:val="08520BE7"/>
    <w:rsid w:val="08FF1C4F"/>
    <w:rsid w:val="0B1120E5"/>
    <w:rsid w:val="0C7E7BF7"/>
    <w:rsid w:val="0CE17CCE"/>
    <w:rsid w:val="0DD84FC2"/>
    <w:rsid w:val="12924A15"/>
    <w:rsid w:val="15051099"/>
    <w:rsid w:val="15D14E87"/>
    <w:rsid w:val="161A71A5"/>
    <w:rsid w:val="1655529B"/>
    <w:rsid w:val="198F32D7"/>
    <w:rsid w:val="19DD4C7B"/>
    <w:rsid w:val="1ADD2620"/>
    <w:rsid w:val="1B4F1853"/>
    <w:rsid w:val="1C091D8D"/>
    <w:rsid w:val="1CBE6433"/>
    <w:rsid w:val="1D190BC3"/>
    <w:rsid w:val="1E86551A"/>
    <w:rsid w:val="1F5634E7"/>
    <w:rsid w:val="201723F5"/>
    <w:rsid w:val="2079747D"/>
    <w:rsid w:val="20951FE6"/>
    <w:rsid w:val="21BF095A"/>
    <w:rsid w:val="21FB5F9F"/>
    <w:rsid w:val="22CE59C7"/>
    <w:rsid w:val="232C7925"/>
    <w:rsid w:val="23776ADE"/>
    <w:rsid w:val="251463C2"/>
    <w:rsid w:val="25A64EF2"/>
    <w:rsid w:val="26410713"/>
    <w:rsid w:val="266B19FD"/>
    <w:rsid w:val="271E568B"/>
    <w:rsid w:val="27D83969"/>
    <w:rsid w:val="2E532A1D"/>
    <w:rsid w:val="306519BF"/>
    <w:rsid w:val="343F7577"/>
    <w:rsid w:val="351964F7"/>
    <w:rsid w:val="365F6866"/>
    <w:rsid w:val="366C7300"/>
    <w:rsid w:val="38743A1E"/>
    <w:rsid w:val="39D44EA4"/>
    <w:rsid w:val="3B8820E3"/>
    <w:rsid w:val="3C875EDC"/>
    <w:rsid w:val="3DBF1E7D"/>
    <w:rsid w:val="3DD65E81"/>
    <w:rsid w:val="3E7B4411"/>
    <w:rsid w:val="3EF011BB"/>
    <w:rsid w:val="42276431"/>
    <w:rsid w:val="42FF2253"/>
    <w:rsid w:val="43B70AA5"/>
    <w:rsid w:val="43CC3F57"/>
    <w:rsid w:val="44C74550"/>
    <w:rsid w:val="45685F5C"/>
    <w:rsid w:val="45FF52BF"/>
    <w:rsid w:val="46394F03"/>
    <w:rsid w:val="4B2772B4"/>
    <w:rsid w:val="4C6267F5"/>
    <w:rsid w:val="4CF12C79"/>
    <w:rsid w:val="51781432"/>
    <w:rsid w:val="52025AE9"/>
    <w:rsid w:val="522A19F7"/>
    <w:rsid w:val="523227C6"/>
    <w:rsid w:val="525168D1"/>
    <w:rsid w:val="52CB3A93"/>
    <w:rsid w:val="542B42D1"/>
    <w:rsid w:val="55DD395E"/>
    <w:rsid w:val="57A04D4E"/>
    <w:rsid w:val="598558D1"/>
    <w:rsid w:val="59C74640"/>
    <w:rsid w:val="59CD78E2"/>
    <w:rsid w:val="5A082F03"/>
    <w:rsid w:val="5E2745E9"/>
    <w:rsid w:val="5F41673E"/>
    <w:rsid w:val="5F66224E"/>
    <w:rsid w:val="637D45D8"/>
    <w:rsid w:val="63DE2FB6"/>
    <w:rsid w:val="64583BDF"/>
    <w:rsid w:val="654913F5"/>
    <w:rsid w:val="663E3E1C"/>
    <w:rsid w:val="681C56E8"/>
    <w:rsid w:val="693A18C7"/>
    <w:rsid w:val="6A072877"/>
    <w:rsid w:val="6B85523A"/>
    <w:rsid w:val="6C6E48EB"/>
    <w:rsid w:val="6E5A0C83"/>
    <w:rsid w:val="6E7100B0"/>
    <w:rsid w:val="6F5601B5"/>
    <w:rsid w:val="6FFB465B"/>
    <w:rsid w:val="724F27D3"/>
    <w:rsid w:val="75E15289"/>
    <w:rsid w:val="7606432D"/>
    <w:rsid w:val="762D6A90"/>
    <w:rsid w:val="76332AC4"/>
    <w:rsid w:val="766F1A66"/>
    <w:rsid w:val="76FE15E0"/>
    <w:rsid w:val="77963A41"/>
    <w:rsid w:val="787B5828"/>
    <w:rsid w:val="79357CCC"/>
    <w:rsid w:val="7A2478D5"/>
    <w:rsid w:val="7B384E18"/>
    <w:rsid w:val="7E870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qFormat="1" w:unhideWhenUsed="0" w:uiPriority="99" w:semiHidden="0" w:name="macro"/>
    <w:lsdException w:qFormat="1" w:unhideWhenUsed="0" w:uiPriority="0" w:semiHidden="0" w:name="toa heading"/>
    <w:lsdException w:qFormat="1" w:unhideWhenUsed="0" w:uiPriority="99" w:semiHidden="0" w:name="List"/>
    <w:lsdException w:qFormat="1" w:unhideWhenUsed="0" w:uiPriority="99" w:semiHidden="0" w:name="List Bullet"/>
    <w:lsdException w:uiPriority="0" w:name="List Number"/>
    <w:lsdException w:qFormat="1" w:unhideWhenUsed="0" w:uiPriority="99" w:semiHidden="0" w:name="List 2"/>
    <w:lsdException w:qFormat="1"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99"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99" w:semiHidden="0" w:name="Subtitle"/>
    <w:lsdException w:uiPriority="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3"/>
    <w:autoRedefine/>
    <w:qFormat/>
    <w:uiPriority w:val="0"/>
    <w:pPr>
      <w:keepNext/>
      <w:keepLines/>
      <w:spacing w:before="120" w:after="120"/>
      <w:jc w:val="center"/>
      <w:outlineLvl w:val="0"/>
    </w:pPr>
    <w:rPr>
      <w:b/>
      <w:spacing w:val="20"/>
      <w:kern w:val="44"/>
      <w:sz w:val="32"/>
    </w:rPr>
  </w:style>
  <w:style w:type="paragraph" w:styleId="2">
    <w:name w:val="heading 2"/>
    <w:basedOn w:val="1"/>
    <w:next w:val="1"/>
    <w:link w:val="65"/>
    <w:autoRedefine/>
    <w:qFormat/>
    <w:uiPriority w:val="0"/>
    <w:pPr>
      <w:keepNext/>
      <w:keepLines/>
      <w:spacing w:before="120" w:beforeLines="50" w:line="360" w:lineRule="auto"/>
      <w:jc w:val="center"/>
      <w:outlineLvl w:val="1"/>
    </w:pPr>
    <w:rPr>
      <w:rFonts w:ascii="Arial" w:hAnsi="Arial"/>
      <w:b/>
      <w:kern w:val="0"/>
      <w:sz w:val="30"/>
    </w:rPr>
  </w:style>
  <w:style w:type="paragraph" w:styleId="5">
    <w:name w:val="heading 3"/>
    <w:basedOn w:val="1"/>
    <w:next w:val="1"/>
    <w:link w:val="66"/>
    <w:autoRedefine/>
    <w:qFormat/>
    <w:uiPriority w:val="0"/>
    <w:pPr>
      <w:keepNext/>
      <w:keepLines/>
      <w:spacing w:line="360" w:lineRule="auto"/>
      <w:ind w:firstLine="562"/>
      <w:jc w:val="center"/>
      <w:outlineLvl w:val="2"/>
    </w:pPr>
    <w:rPr>
      <w:rFonts w:asciiTheme="minorEastAsia" w:hAnsiTheme="minorEastAsia" w:eastAsiaTheme="minorEastAsia"/>
      <w:b/>
      <w:color w:val="FF0000"/>
      <w:sz w:val="28"/>
      <w:szCs w:val="28"/>
    </w:rPr>
  </w:style>
  <w:style w:type="paragraph" w:styleId="6">
    <w:name w:val="heading 4"/>
    <w:basedOn w:val="1"/>
    <w:next w:val="1"/>
    <w:link w:val="67"/>
    <w:autoRedefine/>
    <w:qFormat/>
    <w:uiPriority w:val="0"/>
    <w:pPr>
      <w:keepNext/>
      <w:keepLines/>
      <w:spacing w:line="360" w:lineRule="auto"/>
      <w:jc w:val="center"/>
      <w:outlineLvl w:val="3"/>
    </w:pPr>
    <w:rPr>
      <w:rFonts w:ascii="Arial" w:hAnsi="Arial" w:eastAsia="黑体"/>
      <w:b/>
      <w:bCs/>
      <w:sz w:val="28"/>
      <w:szCs w:val="28"/>
    </w:rPr>
  </w:style>
  <w:style w:type="paragraph" w:styleId="7">
    <w:name w:val="heading 5"/>
    <w:basedOn w:val="1"/>
    <w:next w:val="1"/>
    <w:link w:val="68"/>
    <w:autoRedefine/>
    <w:qFormat/>
    <w:uiPriority w:val="0"/>
    <w:pPr>
      <w:keepNext/>
      <w:jc w:val="center"/>
      <w:outlineLvl w:val="4"/>
    </w:pPr>
    <w:rPr>
      <w:rFonts w:ascii="仿宋_GB2312" w:eastAsia="仿宋_GB2312"/>
      <w:b/>
      <w:bCs/>
      <w:sz w:val="24"/>
    </w:rPr>
  </w:style>
  <w:style w:type="paragraph" w:styleId="8">
    <w:name w:val="heading 6"/>
    <w:basedOn w:val="1"/>
    <w:next w:val="1"/>
    <w:link w:val="69"/>
    <w:autoRedefine/>
    <w:qFormat/>
    <w:uiPriority w:val="0"/>
    <w:pPr>
      <w:keepNext/>
      <w:keepLines/>
      <w:widowControl/>
      <w:numPr>
        <w:ilvl w:val="5"/>
        <w:numId w:val="1"/>
      </w:numPr>
      <w:tabs>
        <w:tab w:val="left" w:pos="1440"/>
      </w:tabs>
      <w:spacing w:before="240" w:after="64" w:line="317" w:lineRule="auto"/>
      <w:jc w:val="left"/>
      <w:outlineLvl w:val="5"/>
    </w:pPr>
    <w:rPr>
      <w:rFonts w:ascii="Arial" w:hAnsi="Arial" w:eastAsia="黑体"/>
      <w:b/>
      <w:bCs/>
      <w:kern w:val="0"/>
      <w:sz w:val="24"/>
      <w:szCs w:val="24"/>
    </w:rPr>
  </w:style>
  <w:style w:type="paragraph" w:styleId="9">
    <w:name w:val="heading 7"/>
    <w:basedOn w:val="1"/>
    <w:next w:val="1"/>
    <w:link w:val="70"/>
    <w:autoRedefine/>
    <w:qFormat/>
    <w:uiPriority w:val="99"/>
    <w:pPr>
      <w:keepNext/>
      <w:keepLines/>
      <w:widowControl/>
      <w:tabs>
        <w:tab w:val="left" w:pos="2520"/>
        <w:tab w:val="left" w:pos="3472"/>
      </w:tabs>
      <w:spacing w:before="240" w:after="64" w:line="317" w:lineRule="auto"/>
      <w:ind w:left="3472" w:hanging="420"/>
      <w:jc w:val="left"/>
      <w:outlineLvl w:val="6"/>
    </w:pPr>
    <w:rPr>
      <w:b/>
      <w:bCs/>
      <w:kern w:val="0"/>
      <w:sz w:val="24"/>
      <w:szCs w:val="24"/>
    </w:rPr>
  </w:style>
  <w:style w:type="paragraph" w:styleId="10">
    <w:name w:val="heading 8"/>
    <w:basedOn w:val="1"/>
    <w:next w:val="1"/>
    <w:link w:val="71"/>
    <w:autoRedefine/>
    <w:qFormat/>
    <w:uiPriority w:val="99"/>
    <w:pPr>
      <w:keepNext/>
      <w:keepLines/>
      <w:widowControl/>
      <w:tabs>
        <w:tab w:val="left" w:pos="1440"/>
        <w:tab w:val="left" w:pos="3892"/>
      </w:tabs>
      <w:spacing w:before="240" w:after="64" w:line="317" w:lineRule="auto"/>
      <w:ind w:left="3892" w:hanging="420"/>
      <w:jc w:val="left"/>
      <w:outlineLvl w:val="7"/>
    </w:pPr>
    <w:rPr>
      <w:rFonts w:ascii="Arial" w:hAnsi="Arial" w:eastAsia="黑体"/>
      <w:kern w:val="0"/>
      <w:sz w:val="24"/>
      <w:szCs w:val="24"/>
    </w:rPr>
  </w:style>
  <w:style w:type="paragraph" w:styleId="11">
    <w:name w:val="heading 9"/>
    <w:basedOn w:val="1"/>
    <w:next w:val="1"/>
    <w:link w:val="72"/>
    <w:autoRedefine/>
    <w:qFormat/>
    <w:uiPriority w:val="99"/>
    <w:pPr>
      <w:keepNext/>
      <w:keepLines/>
      <w:widowControl/>
      <w:tabs>
        <w:tab w:val="left" w:pos="1584"/>
        <w:tab w:val="left" w:pos="4312"/>
      </w:tabs>
      <w:spacing w:before="240" w:after="64" w:line="317" w:lineRule="auto"/>
      <w:ind w:left="4312" w:hanging="420"/>
      <w:jc w:val="left"/>
      <w:outlineLvl w:val="8"/>
    </w:pPr>
    <w:rPr>
      <w:rFonts w:ascii="Arial" w:hAnsi="Arial" w:eastAsia="黑体"/>
      <w:kern w:val="0"/>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3">
    <w:name w:val="macro"/>
    <w:link w:val="173"/>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sz w:val="24"/>
      <w:szCs w:val="24"/>
      <w:lang w:val="en-US" w:eastAsia="zh-CN" w:bidi="ar-SA"/>
    </w:rPr>
  </w:style>
  <w:style w:type="paragraph" w:styleId="12">
    <w:name w:val="List 3"/>
    <w:basedOn w:val="1"/>
    <w:autoRedefine/>
    <w:qFormat/>
    <w:uiPriority w:val="99"/>
    <w:pPr>
      <w:ind w:left="100" w:leftChars="400" w:hanging="200" w:hangingChars="200"/>
    </w:pPr>
    <w:rPr>
      <w:szCs w:val="24"/>
    </w:rPr>
  </w:style>
  <w:style w:type="paragraph" w:styleId="13">
    <w:name w:val="toc 7"/>
    <w:basedOn w:val="1"/>
    <w:next w:val="1"/>
    <w:autoRedefine/>
    <w:qFormat/>
    <w:uiPriority w:val="39"/>
    <w:pPr>
      <w:ind w:left="1260"/>
      <w:jc w:val="left"/>
    </w:pPr>
    <w:rPr>
      <w:rFonts w:asciiTheme="minorHAnsi" w:hAnsiTheme="minorHAnsi" w:cstheme="minorHAnsi"/>
      <w:sz w:val="18"/>
      <w:szCs w:val="18"/>
    </w:rPr>
  </w:style>
  <w:style w:type="paragraph" w:styleId="14">
    <w:name w:val="Normal Indent"/>
    <w:basedOn w:val="1"/>
    <w:link w:val="64"/>
    <w:autoRedefine/>
    <w:qFormat/>
    <w:uiPriority w:val="99"/>
    <w:pPr>
      <w:ind w:firstLine="420"/>
    </w:pPr>
  </w:style>
  <w:style w:type="paragraph" w:styleId="15">
    <w:name w:val="caption"/>
    <w:basedOn w:val="1"/>
    <w:next w:val="1"/>
    <w:autoRedefine/>
    <w:qFormat/>
    <w:uiPriority w:val="99"/>
    <w:rPr>
      <w:rFonts w:ascii="Arial" w:hAnsi="Arial" w:eastAsia="黑体" w:cs="Arial"/>
      <w:sz w:val="20"/>
    </w:rPr>
  </w:style>
  <w:style w:type="paragraph" w:styleId="16">
    <w:name w:val="List Bullet"/>
    <w:basedOn w:val="1"/>
    <w:autoRedefine/>
    <w:qFormat/>
    <w:uiPriority w:val="99"/>
    <w:pPr>
      <w:tabs>
        <w:tab w:val="left" w:pos="360"/>
        <w:tab w:val="left" w:pos="432"/>
      </w:tabs>
      <w:ind w:left="432" w:hanging="432"/>
    </w:pPr>
    <w:rPr>
      <w:szCs w:val="24"/>
    </w:rPr>
  </w:style>
  <w:style w:type="paragraph" w:styleId="17">
    <w:name w:val="Document Map"/>
    <w:basedOn w:val="1"/>
    <w:link w:val="113"/>
    <w:autoRedefine/>
    <w:qFormat/>
    <w:uiPriority w:val="99"/>
    <w:pPr>
      <w:shd w:val="clear" w:color="auto" w:fill="000080"/>
    </w:pPr>
  </w:style>
  <w:style w:type="paragraph" w:styleId="18">
    <w:name w:val="toa heading"/>
    <w:basedOn w:val="1"/>
    <w:next w:val="1"/>
    <w:autoRedefine/>
    <w:qFormat/>
    <w:uiPriority w:val="0"/>
    <w:pPr>
      <w:spacing w:before="120"/>
    </w:pPr>
    <w:rPr>
      <w:rFonts w:ascii="Arial" w:hAnsi="Arial" w:cs="Arial"/>
      <w:sz w:val="24"/>
      <w:szCs w:val="24"/>
    </w:rPr>
  </w:style>
  <w:style w:type="paragraph" w:styleId="19">
    <w:name w:val="annotation text"/>
    <w:basedOn w:val="1"/>
    <w:link w:val="139"/>
    <w:autoRedefine/>
    <w:unhideWhenUsed/>
    <w:qFormat/>
    <w:uiPriority w:val="0"/>
    <w:pPr>
      <w:jc w:val="left"/>
    </w:pPr>
  </w:style>
  <w:style w:type="paragraph" w:styleId="20">
    <w:name w:val="Body Text 3"/>
    <w:basedOn w:val="1"/>
    <w:link w:val="172"/>
    <w:autoRedefine/>
    <w:qFormat/>
    <w:uiPriority w:val="99"/>
    <w:pPr>
      <w:widowControl/>
      <w:spacing w:after="120"/>
      <w:jc w:val="left"/>
    </w:pPr>
    <w:rPr>
      <w:kern w:val="0"/>
      <w:sz w:val="16"/>
      <w:szCs w:val="16"/>
    </w:rPr>
  </w:style>
  <w:style w:type="paragraph" w:styleId="21">
    <w:name w:val="Body Text"/>
    <w:basedOn w:val="1"/>
    <w:next w:val="1"/>
    <w:link w:val="122"/>
    <w:qFormat/>
    <w:uiPriority w:val="0"/>
    <w:pPr>
      <w:adjustRightInd w:val="0"/>
      <w:spacing w:line="360" w:lineRule="auto"/>
      <w:ind w:left="105" w:leftChars="50" w:right="105" w:rightChars="50"/>
    </w:pPr>
    <w:rPr>
      <w:rFonts w:ascii="宋体" w:hAnsi="宋体"/>
      <w:bCs/>
      <w:color w:val="000000"/>
      <w:szCs w:val="21"/>
    </w:rPr>
  </w:style>
  <w:style w:type="paragraph" w:styleId="22">
    <w:name w:val="Body Text Indent"/>
    <w:basedOn w:val="1"/>
    <w:link w:val="124"/>
    <w:autoRedefine/>
    <w:qFormat/>
    <w:uiPriority w:val="0"/>
    <w:pPr>
      <w:spacing w:line="460" w:lineRule="exact"/>
      <w:ind w:firstLine="510"/>
    </w:pPr>
  </w:style>
  <w:style w:type="paragraph" w:styleId="23">
    <w:name w:val="List 2"/>
    <w:basedOn w:val="1"/>
    <w:autoRedefine/>
    <w:qFormat/>
    <w:uiPriority w:val="99"/>
    <w:pPr>
      <w:ind w:left="100" w:leftChars="200" w:hanging="200" w:hangingChars="200"/>
    </w:pPr>
    <w:rPr>
      <w:szCs w:val="24"/>
    </w:rPr>
  </w:style>
  <w:style w:type="paragraph" w:styleId="24">
    <w:name w:val="Block Text"/>
    <w:basedOn w:val="1"/>
    <w:autoRedefine/>
    <w:qFormat/>
    <w:uiPriority w:val="99"/>
    <w:pPr>
      <w:widowControl/>
      <w:spacing w:after="120"/>
      <w:ind w:left="1440" w:leftChars="700" w:right="1440" w:rightChars="700"/>
      <w:jc w:val="left"/>
    </w:pPr>
    <w:rPr>
      <w:kern w:val="0"/>
      <w:sz w:val="20"/>
    </w:rPr>
  </w:style>
  <w:style w:type="paragraph" w:styleId="25">
    <w:name w:val="index 4"/>
    <w:basedOn w:val="1"/>
    <w:next w:val="1"/>
    <w:autoRedefine/>
    <w:unhideWhenUsed/>
    <w:qFormat/>
    <w:uiPriority w:val="99"/>
    <w:pPr>
      <w:ind w:left="600" w:leftChars="600"/>
    </w:pPr>
    <w:rPr>
      <w:szCs w:val="24"/>
    </w:rPr>
  </w:style>
  <w:style w:type="paragraph" w:styleId="26">
    <w:name w:val="toc 5"/>
    <w:basedOn w:val="1"/>
    <w:next w:val="1"/>
    <w:autoRedefine/>
    <w:qFormat/>
    <w:uiPriority w:val="39"/>
    <w:pPr>
      <w:ind w:left="840"/>
      <w:jc w:val="left"/>
    </w:pPr>
    <w:rPr>
      <w:rFonts w:asciiTheme="minorHAnsi" w:hAnsiTheme="minorHAnsi" w:cstheme="minorHAnsi"/>
      <w:sz w:val="18"/>
      <w:szCs w:val="18"/>
    </w:rPr>
  </w:style>
  <w:style w:type="paragraph" w:styleId="27">
    <w:name w:val="toc 3"/>
    <w:basedOn w:val="1"/>
    <w:next w:val="1"/>
    <w:autoRedefine/>
    <w:qFormat/>
    <w:uiPriority w:val="39"/>
    <w:pPr>
      <w:ind w:left="420"/>
      <w:jc w:val="left"/>
    </w:pPr>
    <w:rPr>
      <w:rFonts w:asciiTheme="minorHAnsi" w:hAnsiTheme="minorHAnsi" w:cstheme="minorHAnsi"/>
      <w:i/>
      <w:iCs/>
      <w:sz w:val="20"/>
    </w:rPr>
  </w:style>
  <w:style w:type="paragraph" w:styleId="28">
    <w:name w:val="Plain Text"/>
    <w:basedOn w:val="1"/>
    <w:link w:val="73"/>
    <w:autoRedefine/>
    <w:qFormat/>
    <w:uiPriority w:val="99"/>
    <w:rPr>
      <w:rFonts w:ascii="宋体" w:hAnsi="Courier New"/>
    </w:rPr>
  </w:style>
  <w:style w:type="paragraph" w:styleId="29">
    <w:name w:val="toc 8"/>
    <w:basedOn w:val="1"/>
    <w:next w:val="1"/>
    <w:autoRedefine/>
    <w:qFormat/>
    <w:uiPriority w:val="39"/>
    <w:pPr>
      <w:ind w:left="1470"/>
      <w:jc w:val="left"/>
    </w:pPr>
    <w:rPr>
      <w:rFonts w:asciiTheme="minorHAnsi" w:hAnsiTheme="minorHAnsi" w:cstheme="minorHAnsi"/>
      <w:sz w:val="18"/>
      <w:szCs w:val="18"/>
    </w:rPr>
  </w:style>
  <w:style w:type="paragraph" w:styleId="30">
    <w:name w:val="Date"/>
    <w:basedOn w:val="1"/>
    <w:next w:val="1"/>
    <w:link w:val="76"/>
    <w:autoRedefine/>
    <w:qFormat/>
    <w:uiPriority w:val="0"/>
    <w:pPr>
      <w:ind w:left="100" w:leftChars="2500"/>
    </w:pPr>
    <w:rPr>
      <w:rFonts w:eastAsia="楷体_GB2312"/>
      <w:sz w:val="48"/>
      <w:szCs w:val="24"/>
    </w:rPr>
  </w:style>
  <w:style w:type="paragraph" w:styleId="31">
    <w:name w:val="Body Text Indent 2"/>
    <w:basedOn w:val="1"/>
    <w:link w:val="97"/>
    <w:autoRedefine/>
    <w:qFormat/>
    <w:uiPriority w:val="0"/>
    <w:pPr>
      <w:spacing w:line="500" w:lineRule="exact"/>
      <w:ind w:firstLine="510"/>
    </w:pPr>
    <w:rPr>
      <w:rFonts w:ascii="宋体"/>
      <w:sz w:val="24"/>
    </w:rPr>
  </w:style>
  <w:style w:type="paragraph" w:styleId="32">
    <w:name w:val="Balloon Text"/>
    <w:basedOn w:val="1"/>
    <w:link w:val="121"/>
    <w:autoRedefine/>
    <w:qFormat/>
    <w:uiPriority w:val="99"/>
    <w:rPr>
      <w:sz w:val="18"/>
      <w:szCs w:val="18"/>
    </w:rPr>
  </w:style>
  <w:style w:type="paragraph" w:styleId="33">
    <w:name w:val="footer"/>
    <w:basedOn w:val="1"/>
    <w:link w:val="130"/>
    <w:autoRedefine/>
    <w:qFormat/>
    <w:uiPriority w:val="0"/>
    <w:pPr>
      <w:tabs>
        <w:tab w:val="center" w:pos="4153"/>
        <w:tab w:val="right" w:pos="8306"/>
      </w:tabs>
      <w:snapToGrid w:val="0"/>
      <w:jc w:val="left"/>
    </w:pPr>
    <w:rPr>
      <w:sz w:val="18"/>
    </w:rPr>
  </w:style>
  <w:style w:type="paragraph" w:styleId="34">
    <w:name w:val="header"/>
    <w:basedOn w:val="1"/>
    <w:link w:val="112"/>
    <w:autoRedefine/>
    <w:qFormat/>
    <w:uiPriority w:val="0"/>
    <w:pPr>
      <w:pBdr>
        <w:bottom w:val="single" w:color="auto" w:sz="4" w:space="1"/>
      </w:pBdr>
      <w:tabs>
        <w:tab w:val="center" w:pos="4153"/>
        <w:tab w:val="right" w:pos="8306"/>
      </w:tabs>
      <w:snapToGrid w:val="0"/>
      <w:jc w:val="left"/>
    </w:pPr>
    <w:rPr>
      <w:sz w:val="18"/>
    </w:rPr>
  </w:style>
  <w:style w:type="paragraph" w:styleId="35">
    <w:name w:val="toc 1"/>
    <w:basedOn w:val="1"/>
    <w:next w:val="1"/>
    <w:autoRedefine/>
    <w:qFormat/>
    <w:uiPriority w:val="39"/>
    <w:pPr>
      <w:spacing w:before="120" w:after="120"/>
      <w:jc w:val="left"/>
    </w:pPr>
    <w:rPr>
      <w:rFonts w:asciiTheme="minorHAnsi" w:hAnsiTheme="minorHAnsi" w:cstheme="minorHAnsi"/>
      <w:b/>
      <w:bCs/>
      <w:caps/>
      <w:sz w:val="20"/>
    </w:rPr>
  </w:style>
  <w:style w:type="paragraph" w:styleId="36">
    <w:name w:val="toc 4"/>
    <w:basedOn w:val="1"/>
    <w:next w:val="1"/>
    <w:autoRedefine/>
    <w:qFormat/>
    <w:uiPriority w:val="39"/>
    <w:pPr>
      <w:ind w:left="630"/>
      <w:jc w:val="left"/>
    </w:pPr>
    <w:rPr>
      <w:rFonts w:asciiTheme="minorHAnsi" w:hAnsiTheme="minorHAnsi" w:cstheme="minorHAnsi"/>
      <w:sz w:val="18"/>
      <w:szCs w:val="18"/>
    </w:rPr>
  </w:style>
  <w:style w:type="paragraph" w:styleId="37">
    <w:name w:val="Subtitle"/>
    <w:basedOn w:val="1"/>
    <w:next w:val="1"/>
    <w:link w:val="284"/>
    <w:autoRedefine/>
    <w:qFormat/>
    <w:uiPriority w:val="99"/>
    <w:pPr>
      <w:spacing w:before="240" w:after="60" w:line="312" w:lineRule="auto"/>
      <w:jc w:val="center"/>
      <w:outlineLvl w:val="1"/>
    </w:pPr>
    <w:rPr>
      <w:rFonts w:ascii="Cambria" w:hAnsi="Cambria"/>
      <w:b/>
      <w:bCs/>
      <w:kern w:val="28"/>
      <w:sz w:val="32"/>
      <w:szCs w:val="32"/>
    </w:rPr>
  </w:style>
  <w:style w:type="paragraph" w:styleId="38">
    <w:name w:val="List"/>
    <w:basedOn w:val="1"/>
    <w:autoRedefine/>
    <w:qFormat/>
    <w:uiPriority w:val="99"/>
    <w:pPr>
      <w:ind w:left="200" w:hanging="200" w:hangingChars="200"/>
    </w:pPr>
    <w:rPr>
      <w:szCs w:val="24"/>
    </w:rPr>
  </w:style>
  <w:style w:type="paragraph" w:styleId="39">
    <w:name w:val="footnote text"/>
    <w:basedOn w:val="1"/>
    <w:link w:val="246"/>
    <w:autoRedefine/>
    <w:qFormat/>
    <w:uiPriority w:val="99"/>
    <w:pPr>
      <w:snapToGrid w:val="0"/>
      <w:jc w:val="left"/>
    </w:pPr>
    <w:rPr>
      <w:sz w:val="18"/>
      <w:szCs w:val="18"/>
    </w:rPr>
  </w:style>
  <w:style w:type="paragraph" w:styleId="40">
    <w:name w:val="toc 6"/>
    <w:basedOn w:val="1"/>
    <w:next w:val="1"/>
    <w:autoRedefine/>
    <w:qFormat/>
    <w:uiPriority w:val="39"/>
    <w:pPr>
      <w:ind w:left="1050"/>
      <w:jc w:val="left"/>
    </w:pPr>
    <w:rPr>
      <w:rFonts w:asciiTheme="minorHAnsi" w:hAnsiTheme="minorHAnsi" w:cstheme="minorHAnsi"/>
      <w:sz w:val="18"/>
      <w:szCs w:val="18"/>
    </w:rPr>
  </w:style>
  <w:style w:type="paragraph" w:styleId="41">
    <w:name w:val="Body Text Indent 3"/>
    <w:basedOn w:val="1"/>
    <w:link w:val="107"/>
    <w:autoRedefine/>
    <w:qFormat/>
    <w:uiPriority w:val="99"/>
    <w:pPr>
      <w:spacing w:line="360" w:lineRule="auto"/>
      <w:ind w:firstLine="480" w:firstLineChars="200"/>
    </w:pPr>
    <w:rPr>
      <w:sz w:val="24"/>
      <w:szCs w:val="24"/>
    </w:rPr>
  </w:style>
  <w:style w:type="paragraph" w:styleId="42">
    <w:name w:val="toc 2"/>
    <w:basedOn w:val="1"/>
    <w:next w:val="1"/>
    <w:link w:val="111"/>
    <w:qFormat/>
    <w:uiPriority w:val="39"/>
    <w:pPr>
      <w:ind w:left="210"/>
      <w:jc w:val="left"/>
    </w:pPr>
    <w:rPr>
      <w:rFonts w:asciiTheme="minorHAnsi" w:hAnsiTheme="minorHAnsi" w:cstheme="minorHAnsi"/>
      <w:smallCaps/>
      <w:sz w:val="20"/>
    </w:rPr>
  </w:style>
  <w:style w:type="paragraph" w:styleId="43">
    <w:name w:val="toc 9"/>
    <w:basedOn w:val="1"/>
    <w:next w:val="1"/>
    <w:autoRedefine/>
    <w:qFormat/>
    <w:uiPriority w:val="39"/>
    <w:pPr>
      <w:ind w:left="1680"/>
      <w:jc w:val="left"/>
    </w:pPr>
    <w:rPr>
      <w:rFonts w:asciiTheme="minorHAnsi" w:hAnsiTheme="minorHAnsi" w:cstheme="minorHAnsi"/>
      <w:sz w:val="18"/>
      <w:szCs w:val="18"/>
    </w:rPr>
  </w:style>
  <w:style w:type="paragraph" w:styleId="44">
    <w:name w:val="Body Text 2"/>
    <w:basedOn w:val="1"/>
    <w:link w:val="102"/>
    <w:autoRedefine/>
    <w:qFormat/>
    <w:uiPriority w:val="99"/>
    <w:pPr>
      <w:spacing w:before="360"/>
    </w:pPr>
    <w:rPr>
      <w:rFonts w:ascii="仿宋_GB2312" w:eastAsia="仿宋_GB2312"/>
      <w:b/>
      <w:color w:val="000000"/>
      <w:kern w:val="0"/>
      <w:sz w:val="44"/>
    </w:rPr>
  </w:style>
  <w:style w:type="paragraph" w:styleId="45">
    <w:name w:val="List Continue 2"/>
    <w:basedOn w:val="1"/>
    <w:autoRedefine/>
    <w:qFormat/>
    <w:uiPriority w:val="99"/>
    <w:pPr>
      <w:spacing w:after="120"/>
      <w:ind w:left="840" w:leftChars="400"/>
    </w:pPr>
    <w:rPr>
      <w:szCs w:val="24"/>
    </w:rPr>
  </w:style>
  <w:style w:type="paragraph" w:styleId="46">
    <w:name w:val="HTML Preformatted"/>
    <w:basedOn w:val="1"/>
    <w:link w:val="1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7">
    <w:name w:val="Normal (Web)"/>
    <w:basedOn w:val="1"/>
    <w:qFormat/>
    <w:uiPriority w:val="0"/>
    <w:pPr>
      <w:widowControl/>
      <w:spacing w:before="120" w:beforeLines="50" w:line="360" w:lineRule="auto"/>
      <w:jc w:val="center"/>
    </w:pPr>
    <w:rPr>
      <w:rFonts w:ascii="宋体" w:hAnsi="宋体" w:cs="宋体"/>
      <w:kern w:val="0"/>
      <w:sz w:val="18"/>
      <w:szCs w:val="18"/>
    </w:rPr>
  </w:style>
  <w:style w:type="paragraph" w:styleId="48">
    <w:name w:val="index 1"/>
    <w:basedOn w:val="1"/>
    <w:next w:val="1"/>
    <w:autoRedefine/>
    <w:qFormat/>
    <w:uiPriority w:val="99"/>
    <w:rPr>
      <w:rFonts w:ascii="宋体" w:hAnsi="宋体"/>
      <w:sz w:val="24"/>
      <w:szCs w:val="24"/>
    </w:rPr>
  </w:style>
  <w:style w:type="paragraph" w:styleId="49">
    <w:name w:val="Title"/>
    <w:basedOn w:val="1"/>
    <w:link w:val="215"/>
    <w:autoRedefine/>
    <w:qFormat/>
    <w:uiPriority w:val="99"/>
    <w:pPr>
      <w:adjustRightInd w:val="0"/>
      <w:spacing w:line="420" w:lineRule="atLeast"/>
      <w:jc w:val="center"/>
      <w:textAlignment w:val="baseline"/>
      <w:outlineLvl w:val="0"/>
    </w:pPr>
    <w:rPr>
      <w:rFonts w:ascii="Arial" w:hAnsi="Arial"/>
      <w:b/>
      <w:kern w:val="0"/>
      <w:sz w:val="32"/>
    </w:rPr>
  </w:style>
  <w:style w:type="paragraph" w:styleId="50">
    <w:name w:val="annotation subject"/>
    <w:basedOn w:val="19"/>
    <w:next w:val="19"/>
    <w:link w:val="140"/>
    <w:autoRedefine/>
    <w:unhideWhenUsed/>
    <w:qFormat/>
    <w:uiPriority w:val="99"/>
    <w:rPr>
      <w:b/>
      <w:bCs/>
    </w:rPr>
  </w:style>
  <w:style w:type="paragraph" w:styleId="51">
    <w:name w:val="Body Text First Indent"/>
    <w:basedOn w:val="21"/>
    <w:link w:val="249"/>
    <w:autoRedefine/>
    <w:qFormat/>
    <w:uiPriority w:val="99"/>
    <w:pPr>
      <w:adjustRightInd/>
      <w:spacing w:after="120"/>
      <w:ind w:firstLine="309" w:firstLineChars="100"/>
      <w:outlineLvl w:val="0"/>
    </w:pPr>
    <w:rPr>
      <w:rFonts w:ascii="Times New Roman" w:hAnsi="Times New Roman"/>
      <w:kern w:val="28"/>
    </w:rPr>
  </w:style>
  <w:style w:type="paragraph" w:styleId="52">
    <w:name w:val="Body Text First Indent 2"/>
    <w:basedOn w:val="22"/>
    <w:link w:val="192"/>
    <w:autoRedefine/>
    <w:qFormat/>
    <w:uiPriority w:val="0"/>
    <w:pPr>
      <w:widowControl/>
      <w:spacing w:line="240" w:lineRule="auto"/>
      <w:ind w:firstLine="200" w:firstLineChars="200"/>
      <w:jc w:val="left"/>
    </w:pPr>
    <w:rPr>
      <w:szCs w:val="24"/>
    </w:rPr>
  </w:style>
  <w:style w:type="table" w:styleId="54">
    <w:name w:val="Table Grid"/>
    <w:basedOn w:val="53"/>
    <w:autoRedefine/>
    <w:unhideWhenUsed/>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6">
    <w:name w:val="Strong"/>
    <w:autoRedefine/>
    <w:qFormat/>
    <w:uiPriority w:val="0"/>
    <w:rPr>
      <w:b/>
      <w:bCs/>
    </w:rPr>
  </w:style>
  <w:style w:type="character" w:styleId="57">
    <w:name w:val="page number"/>
    <w:basedOn w:val="55"/>
    <w:autoRedefine/>
    <w:qFormat/>
    <w:uiPriority w:val="0"/>
  </w:style>
  <w:style w:type="character" w:styleId="58">
    <w:name w:val="FollowedHyperlink"/>
    <w:autoRedefine/>
    <w:qFormat/>
    <w:uiPriority w:val="99"/>
    <w:rPr>
      <w:rFonts w:ascii="Arial" w:hAnsi="Arial" w:eastAsia="黑体"/>
      <w:color w:val="800080"/>
      <w:kern w:val="2"/>
      <w:sz w:val="21"/>
      <w:szCs w:val="21"/>
      <w:u w:val="single"/>
      <w:lang w:val="en-US" w:eastAsia="zh-CN" w:bidi="ar-SA"/>
    </w:rPr>
  </w:style>
  <w:style w:type="character" w:styleId="59">
    <w:name w:val="Emphasis"/>
    <w:autoRedefine/>
    <w:qFormat/>
    <w:uiPriority w:val="0"/>
    <w:rPr>
      <w:i/>
      <w:iCs/>
    </w:rPr>
  </w:style>
  <w:style w:type="character" w:styleId="60">
    <w:name w:val="Hyperlink"/>
    <w:autoRedefine/>
    <w:qFormat/>
    <w:uiPriority w:val="99"/>
    <w:rPr>
      <w:color w:val="0000FF"/>
      <w:u w:val="single"/>
    </w:rPr>
  </w:style>
  <w:style w:type="character" w:styleId="61">
    <w:name w:val="annotation reference"/>
    <w:basedOn w:val="55"/>
    <w:autoRedefine/>
    <w:unhideWhenUsed/>
    <w:qFormat/>
    <w:uiPriority w:val="0"/>
    <w:rPr>
      <w:sz w:val="21"/>
      <w:szCs w:val="21"/>
    </w:rPr>
  </w:style>
  <w:style w:type="character" w:styleId="62">
    <w:name w:val="footnote reference"/>
    <w:autoRedefine/>
    <w:qFormat/>
    <w:uiPriority w:val="0"/>
    <w:rPr>
      <w:vertAlign w:val="superscript"/>
    </w:rPr>
  </w:style>
  <w:style w:type="character" w:customStyle="1" w:styleId="63">
    <w:name w:val="标题 1 字符"/>
    <w:basedOn w:val="55"/>
    <w:link w:val="4"/>
    <w:autoRedefine/>
    <w:qFormat/>
    <w:uiPriority w:val="0"/>
    <w:rPr>
      <w:b/>
      <w:spacing w:val="20"/>
      <w:kern w:val="44"/>
      <w:sz w:val="32"/>
    </w:rPr>
  </w:style>
  <w:style w:type="character" w:customStyle="1" w:styleId="64">
    <w:name w:val="正文缩进 字符"/>
    <w:link w:val="14"/>
    <w:autoRedefine/>
    <w:qFormat/>
    <w:uiPriority w:val="99"/>
    <w:rPr>
      <w:rFonts w:eastAsia="宋体"/>
      <w:kern w:val="2"/>
      <w:sz w:val="21"/>
      <w:lang w:val="en-US" w:eastAsia="zh-CN" w:bidi="ar-SA"/>
    </w:rPr>
  </w:style>
  <w:style w:type="character" w:customStyle="1" w:styleId="65">
    <w:name w:val="标题 2 字符"/>
    <w:link w:val="2"/>
    <w:autoRedefine/>
    <w:qFormat/>
    <w:uiPriority w:val="0"/>
    <w:rPr>
      <w:rFonts w:ascii="Arial" w:hAnsi="Arial"/>
      <w:b/>
      <w:sz w:val="30"/>
    </w:rPr>
  </w:style>
  <w:style w:type="character" w:customStyle="1" w:styleId="66">
    <w:name w:val="标题 3 字符"/>
    <w:link w:val="5"/>
    <w:autoRedefine/>
    <w:qFormat/>
    <w:uiPriority w:val="0"/>
    <w:rPr>
      <w:rFonts w:asciiTheme="minorEastAsia" w:hAnsiTheme="minorEastAsia" w:eastAsiaTheme="minorEastAsia"/>
      <w:b/>
      <w:color w:val="FF0000"/>
      <w:kern w:val="2"/>
      <w:sz w:val="28"/>
      <w:szCs w:val="28"/>
    </w:rPr>
  </w:style>
  <w:style w:type="character" w:customStyle="1" w:styleId="67">
    <w:name w:val="标题 4 字符"/>
    <w:link w:val="6"/>
    <w:autoRedefine/>
    <w:qFormat/>
    <w:uiPriority w:val="0"/>
    <w:rPr>
      <w:rFonts w:ascii="Arial" w:hAnsi="Arial" w:eastAsia="黑体"/>
      <w:b/>
      <w:bCs/>
      <w:kern w:val="2"/>
      <w:sz w:val="28"/>
      <w:szCs w:val="28"/>
    </w:rPr>
  </w:style>
  <w:style w:type="character" w:customStyle="1" w:styleId="68">
    <w:name w:val="标题 5 字符"/>
    <w:link w:val="7"/>
    <w:autoRedefine/>
    <w:qFormat/>
    <w:uiPriority w:val="0"/>
    <w:rPr>
      <w:rFonts w:ascii="仿宋_GB2312" w:eastAsia="仿宋_GB2312"/>
      <w:b/>
      <w:bCs/>
      <w:kern w:val="2"/>
      <w:sz w:val="24"/>
    </w:rPr>
  </w:style>
  <w:style w:type="character" w:customStyle="1" w:styleId="69">
    <w:name w:val="标题 6 字符"/>
    <w:basedOn w:val="55"/>
    <w:link w:val="8"/>
    <w:autoRedefine/>
    <w:qFormat/>
    <w:uiPriority w:val="0"/>
    <w:rPr>
      <w:rFonts w:ascii="Arial" w:hAnsi="Arial" w:eastAsia="黑体"/>
      <w:b/>
      <w:bCs/>
      <w:sz w:val="24"/>
      <w:szCs w:val="24"/>
    </w:rPr>
  </w:style>
  <w:style w:type="character" w:customStyle="1" w:styleId="70">
    <w:name w:val="标题 7 字符"/>
    <w:basedOn w:val="55"/>
    <w:link w:val="9"/>
    <w:autoRedefine/>
    <w:qFormat/>
    <w:uiPriority w:val="99"/>
    <w:rPr>
      <w:b/>
      <w:bCs/>
      <w:sz w:val="24"/>
      <w:szCs w:val="24"/>
    </w:rPr>
  </w:style>
  <w:style w:type="character" w:customStyle="1" w:styleId="71">
    <w:name w:val="标题 8 字符"/>
    <w:basedOn w:val="55"/>
    <w:link w:val="10"/>
    <w:autoRedefine/>
    <w:qFormat/>
    <w:uiPriority w:val="99"/>
    <w:rPr>
      <w:rFonts w:ascii="Arial" w:hAnsi="Arial" w:eastAsia="黑体"/>
      <w:sz w:val="24"/>
      <w:szCs w:val="24"/>
    </w:rPr>
  </w:style>
  <w:style w:type="character" w:customStyle="1" w:styleId="72">
    <w:name w:val="标题 9 字符"/>
    <w:basedOn w:val="55"/>
    <w:link w:val="11"/>
    <w:autoRedefine/>
    <w:qFormat/>
    <w:uiPriority w:val="99"/>
    <w:rPr>
      <w:rFonts w:ascii="Arial" w:hAnsi="Arial" w:eastAsia="黑体"/>
      <w:sz w:val="21"/>
      <w:szCs w:val="21"/>
    </w:rPr>
  </w:style>
  <w:style w:type="character" w:customStyle="1" w:styleId="73">
    <w:name w:val="纯文本 字符"/>
    <w:link w:val="28"/>
    <w:autoRedefine/>
    <w:qFormat/>
    <w:uiPriority w:val="99"/>
    <w:rPr>
      <w:rFonts w:ascii="宋体" w:hAnsi="Courier New" w:eastAsia="宋体"/>
      <w:kern w:val="2"/>
      <w:sz w:val="21"/>
      <w:lang w:val="en-US" w:eastAsia="zh-CN" w:bidi="ar-SA"/>
    </w:rPr>
  </w:style>
  <w:style w:type="character" w:customStyle="1" w:styleId="74">
    <w:name w:val="ca-31"/>
    <w:autoRedefine/>
    <w:qFormat/>
    <w:uiPriority w:val="99"/>
    <w:rPr>
      <w:rFonts w:ascii="宋体" w:hAnsi="宋体" w:eastAsia="宋体" w:cs="Times New Roman"/>
      <w:color w:val="000000"/>
      <w:sz w:val="28"/>
      <w:szCs w:val="28"/>
    </w:rPr>
  </w:style>
  <w:style w:type="character" w:customStyle="1" w:styleId="75">
    <w:name w:val="纯文本 Char1"/>
    <w:autoRedefine/>
    <w:qFormat/>
    <w:uiPriority w:val="0"/>
    <w:rPr>
      <w:rFonts w:ascii="宋体" w:eastAsia="宋体"/>
      <w:szCs w:val="24"/>
      <w:lang w:val="en-US" w:eastAsia="zh-CN" w:bidi="ar-SA"/>
    </w:rPr>
  </w:style>
  <w:style w:type="character" w:customStyle="1" w:styleId="76">
    <w:name w:val="日期 字符"/>
    <w:link w:val="30"/>
    <w:autoRedefine/>
    <w:qFormat/>
    <w:locked/>
    <w:uiPriority w:val="0"/>
    <w:rPr>
      <w:rFonts w:eastAsia="楷体_GB2312"/>
      <w:kern w:val="2"/>
      <w:sz w:val="48"/>
      <w:szCs w:val="24"/>
    </w:rPr>
  </w:style>
  <w:style w:type="character" w:customStyle="1" w:styleId="77">
    <w:name w:val="point_normal"/>
    <w:basedOn w:val="55"/>
    <w:autoRedefine/>
    <w:qFormat/>
    <w:uiPriority w:val="0"/>
  </w:style>
  <w:style w:type="character" w:customStyle="1" w:styleId="78">
    <w:name w:val="style4 style5"/>
    <w:basedOn w:val="55"/>
    <w:autoRedefine/>
    <w:qFormat/>
    <w:uiPriority w:val="0"/>
  </w:style>
  <w:style w:type="character" w:customStyle="1" w:styleId="79">
    <w:name w:val="规划正文 Char Char Char Char"/>
    <w:link w:val="80"/>
    <w:autoRedefine/>
    <w:qFormat/>
    <w:uiPriority w:val="0"/>
    <w:rPr>
      <w:rFonts w:eastAsia="宋体"/>
      <w:kern w:val="2"/>
      <w:sz w:val="28"/>
      <w:szCs w:val="28"/>
      <w:lang w:val="en-US" w:eastAsia="zh-CN" w:bidi="ar-SA"/>
    </w:rPr>
  </w:style>
  <w:style w:type="paragraph" w:customStyle="1" w:styleId="80">
    <w:name w:val="规划正文 Char Char"/>
    <w:basedOn w:val="1"/>
    <w:link w:val="79"/>
    <w:autoRedefine/>
    <w:qFormat/>
    <w:uiPriority w:val="0"/>
    <w:pPr>
      <w:widowControl/>
      <w:spacing w:line="360" w:lineRule="auto"/>
      <w:ind w:firstLine="200" w:firstLineChars="200"/>
      <w:jc w:val="left"/>
    </w:pPr>
    <w:rPr>
      <w:sz w:val="28"/>
      <w:szCs w:val="28"/>
    </w:rPr>
  </w:style>
  <w:style w:type="character" w:customStyle="1" w:styleId="81">
    <w:name w:val="标题 1 Char Char"/>
    <w:autoRedefine/>
    <w:qFormat/>
    <w:uiPriority w:val="0"/>
    <w:rPr>
      <w:rFonts w:eastAsia="宋体"/>
      <w:b/>
      <w:bCs/>
      <w:kern w:val="44"/>
      <w:sz w:val="44"/>
      <w:lang w:val="en-US" w:eastAsia="zh-CN" w:bidi="ar-SA"/>
    </w:rPr>
  </w:style>
  <w:style w:type="character" w:customStyle="1" w:styleId="82">
    <w:name w:val="small1"/>
    <w:autoRedefine/>
    <w:qFormat/>
    <w:uiPriority w:val="0"/>
    <w:rPr>
      <w:rFonts w:hint="default" w:ascii="Verdana" w:hAnsi="Verdana"/>
      <w:sz w:val="17"/>
      <w:szCs w:val="17"/>
    </w:rPr>
  </w:style>
  <w:style w:type="character" w:customStyle="1" w:styleId="83">
    <w:name w:val="正文段 Char Char"/>
    <w:link w:val="84"/>
    <w:autoRedefine/>
    <w:qFormat/>
    <w:uiPriority w:val="0"/>
    <w:rPr>
      <w:rFonts w:ascii="宋体" w:eastAsia="宋体"/>
      <w:kern w:val="2"/>
      <w:sz w:val="24"/>
      <w:lang w:val="en-US" w:eastAsia="zh-CN" w:bidi="ar-SA"/>
    </w:rPr>
  </w:style>
  <w:style w:type="paragraph" w:customStyle="1" w:styleId="84">
    <w:name w:val="正文段"/>
    <w:basedOn w:val="1"/>
    <w:link w:val="83"/>
    <w:autoRedefine/>
    <w:qFormat/>
    <w:uiPriority w:val="0"/>
    <w:pPr>
      <w:snapToGrid w:val="0"/>
      <w:spacing w:after="240" w:line="240" w:lineRule="atLeast"/>
      <w:ind w:firstLine="425"/>
    </w:pPr>
    <w:rPr>
      <w:rFonts w:ascii="宋体"/>
      <w:sz w:val="24"/>
    </w:rPr>
  </w:style>
  <w:style w:type="character" w:customStyle="1" w:styleId="85">
    <w:name w:val="样式 规划正文 Char + 宋体 Char Char"/>
    <w:link w:val="86"/>
    <w:autoRedefine/>
    <w:qFormat/>
    <w:uiPriority w:val="0"/>
    <w:rPr>
      <w:rFonts w:ascii="宋体" w:hAnsi="宋体" w:eastAsia="宋体"/>
      <w:kern w:val="2"/>
      <w:sz w:val="28"/>
      <w:szCs w:val="28"/>
      <w:lang w:val="en-US" w:eastAsia="zh-CN" w:bidi="ar-SA"/>
    </w:rPr>
  </w:style>
  <w:style w:type="paragraph" w:customStyle="1" w:styleId="86">
    <w:name w:val="样式 规划正文 Char + 宋体"/>
    <w:basedOn w:val="80"/>
    <w:link w:val="85"/>
    <w:autoRedefine/>
    <w:qFormat/>
    <w:uiPriority w:val="0"/>
    <w:rPr>
      <w:rFonts w:ascii="宋体" w:hAnsi="宋体"/>
    </w:rPr>
  </w:style>
  <w:style w:type="character" w:customStyle="1" w:styleId="87">
    <w:name w:val="访问过的超链接1"/>
    <w:autoRedefine/>
    <w:qFormat/>
    <w:uiPriority w:val="0"/>
    <w:rPr>
      <w:color w:val="800080"/>
      <w:u w:val="single"/>
    </w:rPr>
  </w:style>
  <w:style w:type="character" w:customStyle="1" w:styleId="88">
    <w:name w:val="p41"/>
    <w:autoRedefine/>
    <w:qFormat/>
    <w:uiPriority w:val="0"/>
    <w:rPr>
      <w:rFonts w:hint="eastAsia" w:ascii="宋体" w:hAnsi="宋体" w:eastAsia="宋体"/>
      <w:sz w:val="22"/>
      <w:szCs w:val="22"/>
    </w:rPr>
  </w:style>
  <w:style w:type="character" w:customStyle="1" w:styleId="89">
    <w:name w:val="para"/>
    <w:basedOn w:val="55"/>
    <w:autoRedefine/>
    <w:qFormat/>
    <w:uiPriority w:val="0"/>
  </w:style>
  <w:style w:type="character" w:customStyle="1" w:styleId="90">
    <w:name w:val="title_emph"/>
    <w:basedOn w:val="55"/>
    <w:autoRedefine/>
    <w:qFormat/>
    <w:uiPriority w:val="0"/>
  </w:style>
  <w:style w:type="character" w:customStyle="1" w:styleId="91">
    <w:name w:val="Char Char2"/>
    <w:autoRedefine/>
    <w:qFormat/>
    <w:uiPriority w:val="0"/>
    <w:rPr>
      <w:rFonts w:ascii="宋体" w:eastAsia="宋体"/>
      <w:kern w:val="2"/>
      <w:sz w:val="21"/>
      <w:lang w:val="en-US" w:eastAsia="zh-CN" w:bidi="ar-SA"/>
    </w:rPr>
  </w:style>
  <w:style w:type="character" w:customStyle="1" w:styleId="92">
    <w:name w:val="v151"/>
    <w:autoRedefine/>
    <w:qFormat/>
    <w:uiPriority w:val="0"/>
    <w:rPr>
      <w:sz w:val="18"/>
      <w:szCs w:val="18"/>
    </w:rPr>
  </w:style>
  <w:style w:type="paragraph" w:customStyle="1" w:styleId="93">
    <w:name w:val="并列项-点"/>
    <w:basedOn w:val="1"/>
    <w:autoRedefine/>
    <w:qFormat/>
    <w:uiPriority w:val="0"/>
    <w:pPr>
      <w:tabs>
        <w:tab w:val="left" w:pos="840"/>
      </w:tabs>
      <w:adjustRightInd w:val="0"/>
      <w:snapToGrid w:val="0"/>
      <w:spacing w:after="120" w:line="360" w:lineRule="exact"/>
      <w:ind w:left="840" w:hanging="480"/>
    </w:pPr>
    <w:rPr>
      <w:rFonts w:eastAsia="仿宋_GB2312"/>
      <w:sz w:val="32"/>
    </w:rPr>
  </w:style>
  <w:style w:type="paragraph" w:customStyle="1" w:styleId="94">
    <w:name w:val="retrait3"/>
    <w:basedOn w:val="1"/>
    <w:autoRedefine/>
    <w:qFormat/>
    <w:uiPriority w:val="99"/>
    <w:pPr>
      <w:widowControl/>
      <w:spacing w:before="20" w:after="20"/>
      <w:ind w:left="851"/>
      <w:jc w:val="left"/>
    </w:pPr>
    <w:rPr>
      <w:rFonts w:ascii="Arial" w:hAnsi="Arial"/>
      <w:kern w:val="0"/>
      <w:sz w:val="24"/>
      <w:lang w:val="en-GB"/>
    </w:rPr>
  </w:style>
  <w:style w:type="paragraph" w:customStyle="1" w:styleId="95">
    <w:name w:val="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96">
    <w:name w:val="正文 New New New New New New"/>
    <w:autoRedefine/>
    <w:qFormat/>
    <w:uiPriority w:val="0"/>
    <w:pPr>
      <w:widowControl w:val="0"/>
      <w:jc w:val="both"/>
    </w:pPr>
    <w:rPr>
      <w:rFonts w:ascii="Calibri" w:hAnsi="Calibri" w:eastAsia="宋体" w:cs="Times New Roman"/>
      <w:kern w:val="2"/>
      <w:sz w:val="21"/>
      <w:szCs w:val="21"/>
      <w:lang w:val="en-US" w:eastAsia="zh-CN" w:bidi="ar-SA"/>
    </w:rPr>
  </w:style>
  <w:style w:type="character" w:customStyle="1" w:styleId="97">
    <w:name w:val="正文文本缩进 2 字符"/>
    <w:basedOn w:val="55"/>
    <w:link w:val="31"/>
    <w:autoRedefine/>
    <w:qFormat/>
    <w:uiPriority w:val="0"/>
    <w:rPr>
      <w:rFonts w:ascii="宋体"/>
      <w:kern w:val="2"/>
      <w:sz w:val="24"/>
    </w:rPr>
  </w:style>
  <w:style w:type="paragraph" w:customStyle="1" w:styleId="98">
    <w:name w:val="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99">
    <w:name w:val="正文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0">
    <w:name w:val="p0"/>
    <w:basedOn w:val="1"/>
    <w:link w:val="323"/>
    <w:autoRedefine/>
    <w:qFormat/>
    <w:uiPriority w:val="99"/>
    <w:pPr>
      <w:widowControl/>
    </w:pPr>
    <w:rPr>
      <w:kern w:val="0"/>
      <w:szCs w:val="21"/>
    </w:rPr>
  </w:style>
  <w:style w:type="paragraph" w:customStyle="1" w:styleId="101">
    <w:name w:val="NomDoc"/>
    <w:basedOn w:val="1"/>
    <w:autoRedefine/>
    <w:qFormat/>
    <w:uiPriority w:val="99"/>
    <w:pPr>
      <w:widowControl/>
      <w:jc w:val="left"/>
    </w:pPr>
    <w:rPr>
      <w:rFonts w:ascii="Arial" w:hAnsi="Arial"/>
      <w:caps/>
      <w:kern w:val="0"/>
      <w:sz w:val="16"/>
      <w:lang w:val="en-GB"/>
    </w:rPr>
  </w:style>
  <w:style w:type="character" w:customStyle="1" w:styleId="102">
    <w:name w:val="正文文本 2 字符"/>
    <w:basedOn w:val="55"/>
    <w:link w:val="44"/>
    <w:autoRedefine/>
    <w:qFormat/>
    <w:uiPriority w:val="99"/>
    <w:rPr>
      <w:rFonts w:ascii="仿宋_GB2312" w:eastAsia="仿宋_GB2312"/>
      <w:b/>
      <w:color w:val="000000"/>
      <w:sz w:val="44"/>
    </w:rPr>
  </w:style>
  <w:style w:type="paragraph" w:customStyle="1" w:styleId="103">
    <w:name w:val="Char111"/>
    <w:basedOn w:val="1"/>
    <w:link w:val="104"/>
    <w:autoRedefine/>
    <w:qFormat/>
    <w:uiPriority w:val="0"/>
    <w:rPr>
      <w:rFonts w:ascii="仿宋_GB2312" w:eastAsia="仿宋_GB2312"/>
      <w:b/>
      <w:sz w:val="32"/>
      <w:szCs w:val="32"/>
    </w:rPr>
  </w:style>
  <w:style w:type="character" w:customStyle="1" w:styleId="104">
    <w:name w:val="Char Char Char"/>
    <w:link w:val="103"/>
    <w:autoRedefine/>
    <w:qFormat/>
    <w:uiPriority w:val="0"/>
    <w:rPr>
      <w:rFonts w:ascii="仿宋_GB2312" w:eastAsia="仿宋_GB2312"/>
      <w:b/>
      <w:kern w:val="2"/>
      <w:sz w:val="32"/>
      <w:szCs w:val="32"/>
    </w:rPr>
  </w:style>
  <w:style w:type="paragraph" w:customStyle="1" w:styleId="105">
    <w:name w:val="Char Char5 Char Char"/>
    <w:basedOn w:val="1"/>
    <w:autoRedefine/>
    <w:qFormat/>
    <w:uiPriority w:val="0"/>
    <w:pPr>
      <w:adjustRightInd w:val="0"/>
      <w:spacing w:line="360" w:lineRule="auto"/>
    </w:pPr>
    <w:rPr>
      <w:kern w:val="0"/>
      <w:sz w:val="24"/>
    </w:rPr>
  </w:style>
  <w:style w:type="paragraph" w:customStyle="1" w:styleId="106">
    <w:name w:val="字元 字元 字元 字元 字元"/>
    <w:basedOn w:val="1"/>
    <w:autoRedefine/>
    <w:qFormat/>
    <w:uiPriority w:val="0"/>
  </w:style>
  <w:style w:type="character" w:customStyle="1" w:styleId="107">
    <w:name w:val="正文文本缩进 3 字符"/>
    <w:link w:val="41"/>
    <w:autoRedefine/>
    <w:qFormat/>
    <w:uiPriority w:val="99"/>
    <w:rPr>
      <w:kern w:val="2"/>
      <w:sz w:val="24"/>
      <w:szCs w:val="24"/>
    </w:rPr>
  </w:style>
  <w:style w:type="paragraph" w:customStyle="1" w:styleId="108">
    <w:name w:val="Char Char Char Char Char Char Char Char Char Char1"/>
    <w:basedOn w:val="1"/>
    <w:autoRedefine/>
    <w:qFormat/>
    <w:uiPriority w:val="99"/>
    <w:pPr>
      <w:tabs>
        <w:tab w:val="left" w:pos="425"/>
      </w:tabs>
      <w:ind w:left="425" w:hanging="425"/>
    </w:pPr>
  </w:style>
  <w:style w:type="paragraph" w:customStyle="1" w:styleId="109">
    <w:name w:val="规划正文"/>
    <w:basedOn w:val="1"/>
    <w:autoRedefine/>
    <w:qFormat/>
    <w:uiPriority w:val="0"/>
    <w:pPr>
      <w:widowControl/>
      <w:spacing w:line="360" w:lineRule="auto"/>
      <w:ind w:firstLine="200" w:firstLineChars="200"/>
      <w:jc w:val="left"/>
    </w:pPr>
    <w:rPr>
      <w:kern w:val="0"/>
      <w:sz w:val="28"/>
      <w:szCs w:val="28"/>
    </w:rPr>
  </w:style>
  <w:style w:type="paragraph" w:customStyle="1" w:styleId="110">
    <w:name w:val="pa-5"/>
    <w:basedOn w:val="1"/>
    <w:autoRedefine/>
    <w:qFormat/>
    <w:uiPriority w:val="99"/>
    <w:pPr>
      <w:widowControl/>
      <w:spacing w:line="360" w:lineRule="atLeast"/>
      <w:jc w:val="left"/>
    </w:pPr>
    <w:rPr>
      <w:rFonts w:ascii="宋体" w:hAnsi="宋体" w:cs="宋体"/>
      <w:kern w:val="0"/>
      <w:sz w:val="24"/>
      <w:szCs w:val="24"/>
    </w:rPr>
  </w:style>
  <w:style w:type="character" w:customStyle="1" w:styleId="111">
    <w:name w:val="TOC 2 字符"/>
    <w:link w:val="42"/>
    <w:autoRedefine/>
    <w:qFormat/>
    <w:uiPriority w:val="39"/>
    <w:rPr>
      <w:rFonts w:asciiTheme="minorHAnsi" w:hAnsiTheme="minorHAnsi" w:cstheme="minorHAnsi"/>
      <w:smallCaps/>
      <w:kern w:val="2"/>
    </w:rPr>
  </w:style>
  <w:style w:type="character" w:customStyle="1" w:styleId="112">
    <w:name w:val="页眉 字符"/>
    <w:basedOn w:val="55"/>
    <w:link w:val="34"/>
    <w:autoRedefine/>
    <w:qFormat/>
    <w:uiPriority w:val="0"/>
    <w:rPr>
      <w:kern w:val="2"/>
      <w:sz w:val="18"/>
    </w:rPr>
  </w:style>
  <w:style w:type="character" w:customStyle="1" w:styleId="113">
    <w:name w:val="文档结构图 字符"/>
    <w:link w:val="17"/>
    <w:autoRedefine/>
    <w:qFormat/>
    <w:uiPriority w:val="99"/>
    <w:rPr>
      <w:kern w:val="2"/>
      <w:sz w:val="21"/>
      <w:shd w:val="clear" w:color="auto" w:fill="000080"/>
    </w:rPr>
  </w:style>
  <w:style w:type="paragraph" w:customStyle="1" w:styleId="114">
    <w:name w:val="ÕýÎÄ"/>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115">
    <w:name w:val="p15"/>
    <w:basedOn w:val="1"/>
    <w:autoRedefine/>
    <w:qFormat/>
    <w:uiPriority w:val="0"/>
    <w:pPr>
      <w:widowControl/>
      <w:spacing w:before="100" w:after="100"/>
      <w:jc w:val="left"/>
    </w:pPr>
    <w:rPr>
      <w:rFonts w:ascii="宋体" w:hAnsi="宋体" w:cs="宋体"/>
      <w:kern w:val="0"/>
      <w:sz w:val="24"/>
      <w:szCs w:val="24"/>
    </w:rPr>
  </w:style>
  <w:style w:type="paragraph" w:customStyle="1" w:styleId="116">
    <w:name w:val="新编号"/>
    <w:basedOn w:val="117"/>
    <w:autoRedefine/>
    <w:qFormat/>
    <w:uiPriority w:val="0"/>
    <w:pPr>
      <w:tabs>
        <w:tab w:val="left" w:pos="0"/>
        <w:tab w:val="left" w:pos="360"/>
      </w:tabs>
      <w:ind w:firstLine="400"/>
    </w:pPr>
    <w:rPr>
      <w:kern w:val="0"/>
    </w:rPr>
  </w:style>
  <w:style w:type="paragraph" w:customStyle="1" w:styleId="117">
    <w:name w:val="样式 规划正文 Char + 宋体 两端对齐 首行缩进:  2 字符 行距: 固定值 26 磅"/>
    <w:basedOn w:val="80"/>
    <w:autoRedefine/>
    <w:qFormat/>
    <w:uiPriority w:val="0"/>
    <w:pPr>
      <w:tabs>
        <w:tab w:val="left" w:pos="360"/>
      </w:tabs>
      <w:spacing w:line="520" w:lineRule="exact"/>
      <w:ind w:firstLine="0" w:firstLineChars="0"/>
      <w:jc w:val="both"/>
    </w:pPr>
    <w:rPr>
      <w:rFonts w:ascii="宋体" w:hAnsi="宋体" w:cs="宋体"/>
      <w:szCs w:val="20"/>
    </w:rPr>
  </w:style>
  <w:style w:type="character" w:customStyle="1" w:styleId="118">
    <w:name w:val="HTML 预设格式 字符"/>
    <w:link w:val="46"/>
    <w:autoRedefine/>
    <w:qFormat/>
    <w:uiPriority w:val="99"/>
    <w:rPr>
      <w:rFonts w:ascii="宋体" w:hAnsi="宋体" w:cs="宋体"/>
      <w:sz w:val="24"/>
      <w:szCs w:val="24"/>
    </w:rPr>
  </w:style>
  <w:style w:type="paragraph" w:customStyle="1" w:styleId="119">
    <w:name w:val="09正文_wh"/>
    <w:autoRedefine/>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120">
    <w:name w:val="表格内字体"/>
    <w:basedOn w:val="1"/>
    <w:autoRedefine/>
    <w:qFormat/>
    <w:uiPriority w:val="0"/>
    <w:pPr>
      <w:spacing w:before="360" w:line="360" w:lineRule="auto"/>
      <w:jc w:val="center"/>
    </w:pPr>
    <w:rPr>
      <w:rFonts w:ascii="宋体" w:eastAsia="仿宋_GB2312"/>
    </w:rPr>
  </w:style>
  <w:style w:type="character" w:customStyle="1" w:styleId="121">
    <w:name w:val="批注框文本 字符"/>
    <w:link w:val="32"/>
    <w:autoRedefine/>
    <w:qFormat/>
    <w:uiPriority w:val="99"/>
    <w:rPr>
      <w:kern w:val="2"/>
      <w:sz w:val="18"/>
      <w:szCs w:val="18"/>
    </w:rPr>
  </w:style>
  <w:style w:type="character" w:customStyle="1" w:styleId="122">
    <w:name w:val="正文文本 字符"/>
    <w:link w:val="21"/>
    <w:autoRedefine/>
    <w:qFormat/>
    <w:uiPriority w:val="0"/>
    <w:rPr>
      <w:rFonts w:ascii="宋体" w:hAnsi="宋体"/>
      <w:bCs/>
      <w:color w:val="000000"/>
      <w:kern w:val="2"/>
      <w:sz w:val="21"/>
      <w:szCs w:val="21"/>
    </w:rPr>
  </w:style>
  <w:style w:type="paragraph" w:styleId="123">
    <w:name w:val="List Paragraph"/>
    <w:basedOn w:val="1"/>
    <w:autoRedefine/>
    <w:qFormat/>
    <w:uiPriority w:val="34"/>
    <w:pPr>
      <w:ind w:left="720"/>
      <w:contextualSpacing/>
    </w:pPr>
    <w:rPr>
      <w:sz w:val="28"/>
    </w:rPr>
  </w:style>
  <w:style w:type="character" w:customStyle="1" w:styleId="124">
    <w:name w:val="正文文本缩进 字符"/>
    <w:basedOn w:val="55"/>
    <w:link w:val="22"/>
    <w:autoRedefine/>
    <w:qFormat/>
    <w:uiPriority w:val="0"/>
    <w:rPr>
      <w:kern w:val="2"/>
      <w:sz w:val="21"/>
    </w:rPr>
  </w:style>
  <w:style w:type="paragraph" w:customStyle="1" w:styleId="125">
    <w:name w:val="小标题"/>
    <w:basedOn w:val="117"/>
    <w:autoRedefine/>
    <w:qFormat/>
    <w:uiPriority w:val="0"/>
    <w:pPr>
      <w:tabs>
        <w:tab w:val="left" w:pos="814"/>
        <w:tab w:val="clear" w:pos="360"/>
      </w:tabs>
      <w:ind w:left="737" w:hanging="283"/>
    </w:pPr>
  </w:style>
  <w:style w:type="paragraph" w:customStyle="1" w:styleId="126">
    <w:name w:val="要点1"/>
    <w:basedOn w:val="14"/>
    <w:autoRedefine/>
    <w:qFormat/>
    <w:uiPriority w:val="0"/>
    <w:pPr>
      <w:tabs>
        <w:tab w:val="left" w:pos="960"/>
      </w:tabs>
      <w:spacing w:line="520" w:lineRule="exact"/>
      <w:ind w:firstLine="200" w:firstLineChars="200"/>
    </w:pPr>
    <w:rPr>
      <w:rFonts w:ascii="宋体" w:hAnsi="宋体"/>
      <w:sz w:val="28"/>
      <w:szCs w:val="28"/>
    </w:rPr>
  </w:style>
  <w:style w:type="paragraph" w:customStyle="1" w:styleId="127">
    <w:name w:val="图片"/>
    <w:basedOn w:val="1"/>
    <w:next w:val="15"/>
    <w:autoRedefine/>
    <w:qFormat/>
    <w:uiPriority w:val="0"/>
    <w:pPr>
      <w:keepNext/>
      <w:widowControl/>
      <w:jc w:val="left"/>
    </w:pPr>
    <w:rPr>
      <w:rFonts w:ascii="Garamond" w:hAnsi="Garamond"/>
      <w:kern w:val="0"/>
    </w:rPr>
  </w:style>
  <w:style w:type="paragraph" w:customStyle="1" w:styleId="128">
    <w:name w:val="字元 字元"/>
    <w:basedOn w:val="1"/>
    <w:autoRedefine/>
    <w:qFormat/>
    <w:uiPriority w:val="0"/>
  </w:style>
  <w:style w:type="paragraph" w:customStyle="1" w:styleId="129">
    <w:name w:val="Absatz2AL"/>
    <w:basedOn w:val="21"/>
    <w:next w:val="1"/>
    <w:autoRedefine/>
    <w:qFormat/>
    <w:uiPriority w:val="0"/>
    <w:pPr>
      <w:widowControl/>
      <w:overflowPunct w:val="0"/>
      <w:autoSpaceDE w:val="0"/>
      <w:autoSpaceDN w:val="0"/>
      <w:spacing w:line="240" w:lineRule="auto"/>
    </w:pPr>
    <w:rPr>
      <w:rFonts w:ascii="Times New Roman" w:hAnsi="Times New Roman" w:eastAsia="楷体_GB2312"/>
      <w:bCs w:val="0"/>
      <w:color w:val="auto"/>
      <w:kern w:val="0"/>
      <w:lang w:val="de-DE"/>
    </w:rPr>
  </w:style>
  <w:style w:type="character" w:customStyle="1" w:styleId="130">
    <w:name w:val="页脚 字符"/>
    <w:basedOn w:val="55"/>
    <w:link w:val="33"/>
    <w:autoRedefine/>
    <w:qFormat/>
    <w:uiPriority w:val="0"/>
    <w:rPr>
      <w:kern w:val="2"/>
      <w:sz w:val="18"/>
    </w:rPr>
  </w:style>
  <w:style w:type="paragraph" w:customStyle="1" w:styleId="13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32">
    <w:name w:val="默认段落字体 Para Char"/>
    <w:basedOn w:val="1"/>
    <w:autoRedefine/>
    <w:qFormat/>
    <w:uiPriority w:val="99"/>
  </w:style>
  <w:style w:type="paragraph" w:customStyle="1" w:styleId="133">
    <w:name w:val="TOC 标题1"/>
    <w:basedOn w:val="4"/>
    <w:next w:val="1"/>
    <w:autoRedefine/>
    <w:qFormat/>
    <w:uiPriority w:val="99"/>
    <w:pPr>
      <w:widowControl/>
      <w:spacing w:before="480" w:after="0" w:line="276" w:lineRule="auto"/>
      <w:jc w:val="left"/>
      <w:outlineLvl w:val="9"/>
    </w:pPr>
    <w:rPr>
      <w:rFonts w:ascii="Cambria" w:hAnsi="Cambria"/>
      <w:bCs/>
      <w:color w:val="365F91"/>
      <w:spacing w:val="0"/>
      <w:kern w:val="0"/>
      <w:sz w:val="28"/>
      <w:szCs w:val="28"/>
    </w:rPr>
  </w:style>
  <w:style w:type="paragraph" w:customStyle="1" w:styleId="134">
    <w:name w:val="正文_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5">
    <w:name w:val="正文文本缩进 2 Char1"/>
    <w:autoRedefine/>
    <w:qFormat/>
    <w:uiPriority w:val="0"/>
    <w:rPr>
      <w:kern w:val="2"/>
      <w:sz w:val="21"/>
    </w:rPr>
  </w:style>
  <w:style w:type="paragraph" w:customStyle="1" w:styleId="136">
    <w:name w:val="正文_1"/>
    <w:autoRedefine/>
    <w:qFormat/>
    <w:uiPriority w:val="99"/>
    <w:pPr>
      <w:widowControl w:val="0"/>
      <w:spacing w:before="120" w:beforeLines="50" w:line="360" w:lineRule="auto"/>
      <w:ind w:left="105" w:leftChars="50" w:right="105" w:rightChars="50"/>
      <w:jc w:val="both"/>
    </w:pPr>
    <w:rPr>
      <w:rFonts w:ascii="宋体" w:hAnsi="宋体" w:eastAsia="宋体" w:cs="Times New Roman"/>
      <w:kern w:val="2"/>
      <w:sz w:val="21"/>
      <w:lang w:val="en-US" w:eastAsia="zh-CN" w:bidi="ar-SA"/>
    </w:rPr>
  </w:style>
  <w:style w:type="character" w:customStyle="1" w:styleId="137">
    <w:name w:val="纯文本 字符1"/>
    <w:autoRedefine/>
    <w:qFormat/>
    <w:uiPriority w:val="99"/>
    <w:rPr>
      <w:rFonts w:ascii="宋体" w:hAnsi="Times New Roman" w:eastAsia="宋体" w:cs="Times New Roman"/>
      <w:kern w:val="0"/>
      <w:sz w:val="20"/>
      <w:szCs w:val="24"/>
    </w:rPr>
  </w:style>
  <w:style w:type="paragraph" w:customStyle="1" w:styleId="138">
    <w:name w:val="正文_2"/>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9">
    <w:name w:val="批注文字 字符"/>
    <w:basedOn w:val="55"/>
    <w:link w:val="19"/>
    <w:autoRedefine/>
    <w:qFormat/>
    <w:uiPriority w:val="0"/>
    <w:rPr>
      <w:kern w:val="2"/>
      <w:sz w:val="21"/>
    </w:rPr>
  </w:style>
  <w:style w:type="character" w:customStyle="1" w:styleId="140">
    <w:name w:val="批注主题 字符"/>
    <w:basedOn w:val="139"/>
    <w:link w:val="50"/>
    <w:autoRedefine/>
    <w:qFormat/>
    <w:uiPriority w:val="99"/>
    <w:rPr>
      <w:b/>
      <w:bCs/>
      <w:kern w:val="2"/>
      <w:sz w:val="21"/>
    </w:rPr>
  </w:style>
  <w:style w:type="paragraph" w:customStyle="1" w:styleId="141">
    <w:name w:val="Blockquote"/>
    <w:basedOn w:val="1"/>
    <w:link w:val="142"/>
    <w:autoRedefine/>
    <w:qFormat/>
    <w:uiPriority w:val="99"/>
    <w:pPr>
      <w:autoSpaceDE w:val="0"/>
      <w:autoSpaceDN w:val="0"/>
      <w:adjustRightInd w:val="0"/>
      <w:spacing w:before="100" w:after="100"/>
      <w:ind w:left="360" w:right="360"/>
      <w:jc w:val="left"/>
    </w:pPr>
    <w:rPr>
      <w:kern w:val="0"/>
      <w:sz w:val="24"/>
    </w:rPr>
  </w:style>
  <w:style w:type="character" w:customStyle="1" w:styleId="142">
    <w:name w:val="Blockquote Char"/>
    <w:link w:val="141"/>
    <w:autoRedefine/>
    <w:qFormat/>
    <w:uiPriority w:val="99"/>
    <w:rPr>
      <w:sz w:val="24"/>
    </w:rPr>
  </w:style>
  <w:style w:type="paragraph" w:customStyle="1" w:styleId="143">
    <w:name w:val="Normal_0"/>
    <w:autoRedefine/>
    <w:qFormat/>
    <w:uiPriority w:val="0"/>
    <w:pPr>
      <w:widowControl w:val="0"/>
      <w:jc w:val="both"/>
    </w:pPr>
    <w:rPr>
      <w:rFonts w:ascii="Calibri" w:hAnsi="Calibri" w:eastAsia="宋体" w:cs="Times New Roman"/>
      <w:lang w:val="en-US" w:eastAsia="zh-CN" w:bidi="ar-SA"/>
    </w:rPr>
  </w:style>
  <w:style w:type="paragraph" w:customStyle="1" w:styleId="144">
    <w:name w:val="正文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45">
    <w:name w:val="Normal_1"/>
    <w:autoRedefine/>
    <w:qFormat/>
    <w:uiPriority w:val="0"/>
    <w:pPr>
      <w:widowControl w:val="0"/>
      <w:jc w:val="both"/>
    </w:pPr>
    <w:rPr>
      <w:rFonts w:ascii="Calibri" w:hAnsi="Calibri" w:eastAsia="宋体" w:cs="Times New Roman"/>
      <w:lang w:val="en-US" w:eastAsia="zh-CN" w:bidi="ar-SA"/>
    </w:rPr>
  </w:style>
  <w:style w:type="paragraph" w:customStyle="1" w:styleId="146">
    <w:name w:val="页脚1"/>
    <w:basedOn w:val="143"/>
    <w:link w:val="147"/>
    <w:autoRedefine/>
    <w:unhideWhenUsed/>
    <w:qFormat/>
    <w:uiPriority w:val="99"/>
    <w:pPr>
      <w:tabs>
        <w:tab w:val="center" w:pos="4153"/>
        <w:tab w:val="right" w:pos="8306"/>
      </w:tabs>
      <w:snapToGrid w:val="0"/>
      <w:jc w:val="left"/>
    </w:pPr>
    <w:rPr>
      <w:sz w:val="18"/>
      <w:szCs w:val="18"/>
    </w:rPr>
  </w:style>
  <w:style w:type="character" w:customStyle="1" w:styleId="147">
    <w:name w:val="页脚 Char_0"/>
    <w:link w:val="146"/>
    <w:autoRedefine/>
    <w:qFormat/>
    <w:uiPriority w:val="99"/>
    <w:rPr>
      <w:rFonts w:ascii="Calibri" w:hAnsi="Calibri"/>
      <w:sz w:val="18"/>
      <w:szCs w:val="18"/>
    </w:rPr>
  </w:style>
  <w:style w:type="paragraph" w:customStyle="1" w:styleId="148">
    <w:name w:val="正文_3_0"/>
    <w:autoRedefine/>
    <w:qFormat/>
    <w:uiPriority w:val="0"/>
    <w:pPr>
      <w:widowControl w:val="0"/>
      <w:jc w:val="both"/>
    </w:pPr>
    <w:rPr>
      <w:rFonts w:ascii="Calibri" w:hAnsi="Calibri" w:eastAsia="宋体" w:cs="Times New Roman"/>
      <w:lang w:val="en-US" w:eastAsia="zh-CN" w:bidi="ar-SA"/>
    </w:rPr>
  </w:style>
  <w:style w:type="character" w:customStyle="1" w:styleId="149">
    <w:name w:val="Char Char19"/>
    <w:autoRedefine/>
    <w:qFormat/>
    <w:uiPriority w:val="0"/>
    <w:rPr>
      <w:rFonts w:ascii="Arial" w:hAnsi="Arial" w:eastAsia="黑体"/>
      <w:b/>
      <w:bCs/>
      <w:sz w:val="32"/>
      <w:szCs w:val="32"/>
    </w:rPr>
  </w:style>
  <w:style w:type="paragraph" w:customStyle="1" w:styleId="150">
    <w:name w:val="Normal_2"/>
    <w:autoRedefine/>
    <w:qFormat/>
    <w:uiPriority w:val="0"/>
    <w:pPr>
      <w:widowControl w:val="0"/>
      <w:jc w:val="both"/>
    </w:pPr>
    <w:rPr>
      <w:rFonts w:ascii="Calibri" w:hAnsi="Calibri" w:eastAsia="宋体" w:cs="Times New Roman"/>
      <w:lang w:val="en-US" w:eastAsia="zh-CN" w:bidi="ar-SA"/>
    </w:rPr>
  </w:style>
  <w:style w:type="paragraph" w:customStyle="1" w:styleId="151">
    <w:name w:val="Normal_1_0"/>
    <w:autoRedefine/>
    <w:qFormat/>
    <w:uiPriority w:val="0"/>
    <w:pPr>
      <w:widowControl w:val="0"/>
      <w:jc w:val="both"/>
    </w:pPr>
    <w:rPr>
      <w:rFonts w:ascii="Calibri" w:hAnsi="Calibri" w:eastAsia="宋体" w:cs="Times New Roman"/>
      <w:lang w:val="en-US" w:eastAsia="zh-CN" w:bidi="ar-SA"/>
    </w:rPr>
  </w:style>
  <w:style w:type="paragraph" w:customStyle="1" w:styleId="152">
    <w:name w:val="Normal_3"/>
    <w:autoRedefine/>
    <w:qFormat/>
    <w:uiPriority w:val="0"/>
    <w:pPr>
      <w:widowControl w:val="0"/>
      <w:jc w:val="both"/>
    </w:pPr>
    <w:rPr>
      <w:rFonts w:ascii="Calibri" w:hAnsi="Calibri" w:eastAsia="宋体" w:cs="Times New Roman"/>
      <w:lang w:val="en-US" w:eastAsia="zh-CN" w:bidi="ar-SA"/>
    </w:rPr>
  </w:style>
  <w:style w:type="paragraph" w:customStyle="1" w:styleId="153">
    <w:name w:val="样式1"/>
    <w:basedOn w:val="6"/>
    <w:autoRedefine/>
    <w:qFormat/>
    <w:uiPriority w:val="99"/>
    <w:pPr>
      <w:widowControl/>
      <w:jc w:val="left"/>
    </w:pPr>
    <w:rPr>
      <w:rFonts w:ascii="黑体"/>
      <w:kern w:val="0"/>
      <w:sz w:val="24"/>
      <w:szCs w:val="30"/>
    </w:rPr>
  </w:style>
  <w:style w:type="paragraph" w:customStyle="1" w:styleId="154">
    <w:name w:val="标题4"/>
    <w:basedOn w:val="1"/>
    <w:next w:val="6"/>
    <w:link w:val="155"/>
    <w:autoRedefine/>
    <w:qFormat/>
    <w:uiPriority w:val="0"/>
    <w:pPr>
      <w:widowControl/>
      <w:jc w:val="left"/>
    </w:pPr>
    <w:rPr>
      <w:rFonts w:ascii="黑体" w:eastAsia="黑体"/>
      <w:kern w:val="0"/>
      <w:sz w:val="24"/>
      <w:szCs w:val="30"/>
    </w:rPr>
  </w:style>
  <w:style w:type="character" w:customStyle="1" w:styleId="155">
    <w:name w:val="标题4 Char Char"/>
    <w:link w:val="154"/>
    <w:autoRedefine/>
    <w:qFormat/>
    <w:uiPriority w:val="0"/>
    <w:rPr>
      <w:rFonts w:ascii="黑体" w:eastAsia="黑体"/>
      <w:sz w:val="24"/>
      <w:szCs w:val="30"/>
    </w:rPr>
  </w:style>
  <w:style w:type="paragraph" w:customStyle="1" w:styleId="156">
    <w:name w:val="样式2"/>
    <w:basedOn w:val="6"/>
    <w:next w:val="6"/>
    <w:autoRedefine/>
    <w:qFormat/>
    <w:uiPriority w:val="0"/>
    <w:pPr>
      <w:widowControl/>
      <w:jc w:val="left"/>
    </w:pPr>
    <w:rPr>
      <w:rFonts w:ascii="黑体"/>
      <w:kern w:val="0"/>
      <w:sz w:val="24"/>
      <w:szCs w:val="30"/>
    </w:rPr>
  </w:style>
  <w:style w:type="character" w:customStyle="1" w:styleId="157">
    <w:name w:val="正文文本缩进 Char1"/>
    <w:basedOn w:val="55"/>
    <w:autoRedefine/>
    <w:qFormat/>
    <w:uiPriority w:val="99"/>
  </w:style>
  <w:style w:type="paragraph" w:customStyle="1" w:styleId="158">
    <w:name w:val="Char3"/>
    <w:basedOn w:val="1"/>
    <w:autoRedefine/>
    <w:qFormat/>
    <w:uiPriority w:val="99"/>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character" w:customStyle="1" w:styleId="159">
    <w:name w:val="zbggmain style9"/>
    <w:basedOn w:val="55"/>
    <w:autoRedefine/>
    <w:qFormat/>
    <w:uiPriority w:val="0"/>
  </w:style>
  <w:style w:type="paragraph" w:customStyle="1" w:styleId="160">
    <w:name w:val="样式 标题 3 + (中文) 黑体 小四 非加粗 段前: 7.8 磅 段后: 0 磅 行距: 固定值 20 磅"/>
    <w:basedOn w:val="5"/>
    <w:autoRedefine/>
    <w:qFormat/>
    <w:uiPriority w:val="99"/>
    <w:pPr>
      <w:spacing w:line="400" w:lineRule="exact"/>
      <w:ind w:firstLine="0"/>
    </w:pPr>
    <w:rPr>
      <w:rFonts w:ascii="Times New Roman" w:eastAsia="黑体" w:cs="宋体"/>
      <w:b w:val="0"/>
    </w:rPr>
  </w:style>
  <w:style w:type="paragraph" w:customStyle="1" w:styleId="161">
    <w:name w:val="样式 标题 2 + Times New Roman 四号 非加粗 段前: 5 磅 段后: 0 磅 行距: 固定值 20..."/>
    <w:basedOn w:val="2"/>
    <w:link w:val="162"/>
    <w:autoRedefine/>
    <w:qFormat/>
    <w:uiPriority w:val="0"/>
    <w:pPr>
      <w:spacing w:before="100"/>
      <w:jc w:val="both"/>
    </w:pPr>
    <w:rPr>
      <w:rFonts w:ascii="Times New Roman" w:hAnsi="Times New Roman" w:eastAsia="黑体" w:cs="宋体"/>
      <w:b w:val="0"/>
      <w:kern w:val="2"/>
      <w:sz w:val="28"/>
    </w:rPr>
  </w:style>
  <w:style w:type="character" w:customStyle="1" w:styleId="162">
    <w:name w:val="样式 标题 2 + Times New Roman 四号 非加粗 段前: 5 磅 段后: 0 磅 行距: 固定值 20... Char Char"/>
    <w:basedOn w:val="55"/>
    <w:link w:val="161"/>
    <w:autoRedefine/>
    <w:qFormat/>
    <w:uiPriority w:val="0"/>
    <w:rPr>
      <w:rFonts w:eastAsia="黑体" w:cs="宋体"/>
      <w:kern w:val="2"/>
      <w:sz w:val="28"/>
    </w:rPr>
  </w:style>
  <w:style w:type="paragraph" w:customStyle="1" w:styleId="163">
    <w:name w:val="Char6 Char Char Char"/>
    <w:basedOn w:val="1"/>
    <w:autoRedefine/>
    <w:qFormat/>
    <w:uiPriority w:val="99"/>
    <w:pPr>
      <w:tabs>
        <w:tab w:val="left" w:pos="794"/>
        <w:tab w:val="left" w:pos="1191"/>
        <w:tab w:val="left" w:pos="1588"/>
        <w:tab w:val="left" w:pos="1985"/>
      </w:tabs>
      <w:autoSpaceDE w:val="0"/>
      <w:autoSpaceDN w:val="0"/>
      <w:adjustRightInd w:val="0"/>
      <w:spacing w:before="136"/>
    </w:pPr>
    <w:rPr>
      <w:rFonts w:ascii="Tahoma" w:hAnsi="Tahoma"/>
      <w:kern w:val="0"/>
      <w:sz w:val="24"/>
      <w:lang w:val="en-GB"/>
    </w:rPr>
  </w:style>
  <w:style w:type="paragraph" w:customStyle="1" w:styleId="164">
    <w:name w:val="opening2"/>
    <w:basedOn w:val="1"/>
    <w:autoRedefine/>
    <w:qFormat/>
    <w:uiPriority w:val="99"/>
    <w:pPr>
      <w:widowControl/>
      <w:spacing w:before="100" w:beforeAutospacing="1" w:after="100" w:afterAutospacing="1"/>
      <w:jc w:val="left"/>
    </w:pPr>
    <w:rPr>
      <w:rFonts w:ascii="宋体" w:hAnsi="宋体" w:cs="宋体"/>
      <w:color w:val="000000"/>
      <w:kern w:val="0"/>
      <w:sz w:val="23"/>
      <w:szCs w:val="23"/>
    </w:rPr>
  </w:style>
  <w:style w:type="paragraph" w:customStyle="1" w:styleId="165">
    <w:name w:val="7"/>
    <w:basedOn w:val="1"/>
    <w:autoRedefine/>
    <w:qFormat/>
    <w:uiPriority w:val="99"/>
    <w:pPr>
      <w:widowControl/>
      <w:tabs>
        <w:tab w:val="left" w:pos="425"/>
      </w:tabs>
      <w:spacing w:beforeLines="100" w:after="160" w:line="240" w:lineRule="exact"/>
      <w:ind w:left="425" w:hanging="425"/>
      <w:jc w:val="left"/>
    </w:pPr>
    <w:rPr>
      <w:rFonts w:ascii="Verdana" w:hAnsi="Verdana" w:eastAsia="黑体"/>
      <w:kern w:val="0"/>
      <w:sz w:val="20"/>
      <w:lang w:eastAsia="en-US"/>
    </w:rPr>
  </w:style>
  <w:style w:type="character" w:customStyle="1" w:styleId="166">
    <w:name w:val="javascript"/>
    <w:basedOn w:val="55"/>
    <w:autoRedefine/>
    <w:qFormat/>
    <w:uiPriority w:val="0"/>
  </w:style>
  <w:style w:type="character" w:customStyle="1" w:styleId="167">
    <w:name w:val="style11"/>
    <w:autoRedefine/>
    <w:qFormat/>
    <w:uiPriority w:val="0"/>
    <w:rPr>
      <w:b/>
      <w:bCs/>
    </w:rPr>
  </w:style>
  <w:style w:type="paragraph" w:customStyle="1" w:styleId="168">
    <w:name w:val="1"/>
    <w:basedOn w:val="1"/>
    <w:next w:val="24"/>
    <w:autoRedefine/>
    <w:qFormat/>
    <w:uiPriority w:val="99"/>
    <w:pPr>
      <w:adjustRightInd w:val="0"/>
      <w:ind w:left="420" w:right="33"/>
      <w:jc w:val="left"/>
      <w:textAlignment w:val="baseline"/>
    </w:pPr>
    <w:rPr>
      <w:kern w:val="0"/>
      <w:sz w:val="24"/>
    </w:rPr>
  </w:style>
  <w:style w:type="paragraph" w:customStyle="1" w:styleId="169">
    <w:name w:val="样式 样式 样式 宋体 小四 黑色 两端对齐 + 首行缩进:  2 字符 + 五号 首行缩进:  2 字符"/>
    <w:basedOn w:val="1"/>
    <w:autoRedefine/>
    <w:qFormat/>
    <w:uiPriority w:val="99"/>
    <w:pPr>
      <w:widowControl/>
      <w:spacing w:line="340" w:lineRule="exact"/>
      <w:ind w:firstLine="200" w:firstLineChars="200"/>
    </w:pPr>
    <w:rPr>
      <w:rFonts w:ascii="宋体" w:hAnsi="宋体"/>
      <w:color w:val="000000"/>
      <w:kern w:val="0"/>
    </w:rPr>
  </w:style>
  <w:style w:type="paragraph" w:customStyle="1" w:styleId="170">
    <w:name w:val="目录文字"/>
    <w:basedOn w:val="1"/>
    <w:autoRedefine/>
    <w:qFormat/>
    <w:uiPriority w:val="99"/>
    <w:pPr>
      <w:widowControl/>
      <w:spacing w:line="480" w:lineRule="auto"/>
      <w:jc w:val="left"/>
    </w:pPr>
    <w:rPr>
      <w:rFonts w:ascii="宋体" w:hAnsi="宋体"/>
      <w:kern w:val="0"/>
      <w:sz w:val="24"/>
    </w:rPr>
  </w:style>
  <w:style w:type="paragraph" w:customStyle="1" w:styleId="171">
    <w:name w:val="xl51"/>
    <w:basedOn w:val="1"/>
    <w:autoRedefine/>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72">
    <w:name w:val="正文文本 3 字符"/>
    <w:basedOn w:val="55"/>
    <w:link w:val="20"/>
    <w:autoRedefine/>
    <w:qFormat/>
    <w:uiPriority w:val="99"/>
    <w:rPr>
      <w:sz w:val="16"/>
      <w:szCs w:val="16"/>
    </w:rPr>
  </w:style>
  <w:style w:type="character" w:customStyle="1" w:styleId="173">
    <w:name w:val="宏文本 字符"/>
    <w:link w:val="3"/>
    <w:autoRedefine/>
    <w:qFormat/>
    <w:uiPriority w:val="99"/>
    <w:rPr>
      <w:rFonts w:ascii="Courier New" w:hAnsi="Courier New"/>
      <w:sz w:val="24"/>
      <w:szCs w:val="24"/>
    </w:rPr>
  </w:style>
  <w:style w:type="character" w:customStyle="1" w:styleId="174">
    <w:name w:val="宏文本 Char1"/>
    <w:basedOn w:val="55"/>
    <w:autoRedefine/>
    <w:qFormat/>
    <w:uiPriority w:val="0"/>
    <w:rPr>
      <w:rFonts w:ascii="Courier New" w:hAnsi="Courier New" w:cs="Courier New"/>
      <w:kern w:val="2"/>
      <w:sz w:val="24"/>
      <w:szCs w:val="24"/>
    </w:rPr>
  </w:style>
  <w:style w:type="character" w:customStyle="1" w:styleId="175">
    <w:name w:val="15"/>
    <w:autoRedefine/>
    <w:qFormat/>
    <w:uiPriority w:val="0"/>
    <w:rPr>
      <w:rFonts w:hint="eastAsia" w:ascii="MingLiU" w:hAnsi="MingLiU" w:eastAsia="MingLiU"/>
      <w:sz w:val="22"/>
      <w:szCs w:val="22"/>
    </w:rPr>
  </w:style>
  <w:style w:type="character" w:customStyle="1" w:styleId="176">
    <w:name w:val="font51"/>
    <w:autoRedefine/>
    <w:qFormat/>
    <w:uiPriority w:val="0"/>
    <w:rPr>
      <w:rFonts w:hint="eastAsia" w:ascii="宋体" w:hAnsi="宋体" w:eastAsia="宋体" w:cs="宋体"/>
      <w:b/>
      <w:color w:val="000000"/>
      <w:sz w:val="21"/>
      <w:szCs w:val="21"/>
      <w:u w:val="none"/>
    </w:rPr>
  </w:style>
  <w:style w:type="character" w:customStyle="1" w:styleId="177">
    <w:name w:val="正文文本 (2)_"/>
    <w:link w:val="178"/>
    <w:autoRedefine/>
    <w:qFormat/>
    <w:uiPriority w:val="0"/>
    <w:rPr>
      <w:rFonts w:ascii="MingLiU" w:hAnsi="MingLiU" w:eastAsia="MingLiU" w:cs="MingLiU"/>
      <w:spacing w:val="4"/>
      <w:sz w:val="22"/>
      <w:szCs w:val="22"/>
    </w:rPr>
  </w:style>
  <w:style w:type="paragraph" w:customStyle="1" w:styleId="178">
    <w:name w:val="正文文本 (2)"/>
    <w:basedOn w:val="1"/>
    <w:link w:val="177"/>
    <w:autoRedefine/>
    <w:qFormat/>
    <w:uiPriority w:val="0"/>
    <w:pPr>
      <w:spacing w:after="120" w:line="458" w:lineRule="exact"/>
      <w:jc w:val="distribute"/>
    </w:pPr>
    <w:rPr>
      <w:rFonts w:ascii="MingLiU" w:hAnsi="MingLiU" w:eastAsia="MingLiU" w:cs="MingLiU"/>
      <w:spacing w:val="4"/>
      <w:kern w:val="0"/>
      <w:sz w:val="22"/>
      <w:szCs w:val="22"/>
    </w:rPr>
  </w:style>
  <w:style w:type="character" w:customStyle="1" w:styleId="179">
    <w:name w:val="font61"/>
    <w:autoRedefine/>
    <w:qFormat/>
    <w:uiPriority w:val="0"/>
    <w:rPr>
      <w:rFonts w:hint="default" w:ascii="Times New Roman" w:hAnsi="Times New Roman" w:cs="Times New Roman"/>
      <w:b/>
      <w:color w:val="000000"/>
      <w:sz w:val="21"/>
      <w:szCs w:val="21"/>
      <w:u w:val="none"/>
    </w:rPr>
  </w:style>
  <w:style w:type="character" w:customStyle="1" w:styleId="180">
    <w:name w:val="my Char Char"/>
    <w:link w:val="181"/>
    <w:autoRedefine/>
    <w:qFormat/>
    <w:uiPriority w:val="0"/>
    <w:rPr>
      <w:color w:val="000000"/>
      <w:kern w:val="2"/>
      <w:sz w:val="24"/>
      <w:szCs w:val="24"/>
    </w:rPr>
  </w:style>
  <w:style w:type="paragraph" w:customStyle="1" w:styleId="181">
    <w:name w:val="my"/>
    <w:basedOn w:val="41"/>
    <w:link w:val="180"/>
    <w:autoRedefine/>
    <w:qFormat/>
    <w:uiPriority w:val="0"/>
    <w:rPr>
      <w:color w:val="000000"/>
    </w:rPr>
  </w:style>
  <w:style w:type="character" w:customStyle="1" w:styleId="182">
    <w:name w:val="样式 标题 2 + 二号 Char"/>
    <w:autoRedefine/>
    <w:qFormat/>
    <w:uiPriority w:val="0"/>
    <w:rPr>
      <w:rFonts w:ascii="Arial" w:hAnsi="Arial" w:eastAsia="宋体"/>
      <w:b/>
      <w:color w:val="FF0000"/>
      <w:sz w:val="32"/>
      <w:lang w:val="en-US" w:eastAsia="zh-CN"/>
    </w:rPr>
  </w:style>
  <w:style w:type="character" w:customStyle="1" w:styleId="183">
    <w:name w:val="font161"/>
    <w:autoRedefine/>
    <w:qFormat/>
    <w:uiPriority w:val="0"/>
    <w:rPr>
      <w:rFonts w:ascii="Arial" w:hAnsi="Arial" w:eastAsia="黑体"/>
      <w:b/>
      <w:bCs/>
      <w:kern w:val="2"/>
      <w:sz w:val="32"/>
      <w:szCs w:val="32"/>
      <w:lang w:val="en-US" w:eastAsia="zh-CN" w:bidi="ar-SA"/>
    </w:rPr>
  </w:style>
  <w:style w:type="character" w:customStyle="1" w:styleId="184">
    <w:name w:val="表一 Char Char"/>
    <w:link w:val="185"/>
    <w:autoRedefine/>
    <w:qFormat/>
    <w:uiPriority w:val="0"/>
    <w:rPr>
      <w:snapToGrid w:val="0"/>
      <w:sz w:val="24"/>
    </w:rPr>
  </w:style>
  <w:style w:type="paragraph" w:customStyle="1" w:styleId="185">
    <w:name w:val="表一"/>
    <w:basedOn w:val="1"/>
    <w:link w:val="184"/>
    <w:autoRedefine/>
    <w:qFormat/>
    <w:uiPriority w:val="0"/>
    <w:pPr>
      <w:adjustRightInd w:val="0"/>
      <w:snapToGrid w:val="0"/>
      <w:ind w:right="-71"/>
      <w:jc w:val="center"/>
    </w:pPr>
    <w:rPr>
      <w:snapToGrid w:val="0"/>
      <w:kern w:val="0"/>
      <w:sz w:val="24"/>
    </w:rPr>
  </w:style>
  <w:style w:type="character" w:customStyle="1" w:styleId="186">
    <w:name w:val="段落 Char"/>
    <w:link w:val="187"/>
    <w:autoRedefine/>
    <w:qFormat/>
    <w:uiPriority w:val="0"/>
    <w:rPr>
      <w:rFonts w:ascii="宋体" w:hAnsi="宋体"/>
      <w:kern w:val="2"/>
      <w:sz w:val="24"/>
      <w:szCs w:val="24"/>
    </w:rPr>
  </w:style>
  <w:style w:type="paragraph" w:customStyle="1" w:styleId="187">
    <w:name w:val="段落"/>
    <w:basedOn w:val="1"/>
    <w:link w:val="186"/>
    <w:autoRedefine/>
    <w:qFormat/>
    <w:uiPriority w:val="0"/>
    <w:pPr>
      <w:spacing w:line="440" w:lineRule="exact"/>
      <w:ind w:firstLine="200" w:firstLineChars="200"/>
    </w:pPr>
    <w:rPr>
      <w:rFonts w:ascii="宋体" w:hAnsi="宋体"/>
      <w:sz w:val="24"/>
      <w:szCs w:val="24"/>
    </w:rPr>
  </w:style>
  <w:style w:type="character" w:customStyle="1" w:styleId="188">
    <w:name w:val="Char Char1"/>
    <w:autoRedefine/>
    <w:qFormat/>
    <w:uiPriority w:val="0"/>
    <w:rPr>
      <w:rFonts w:eastAsia="宋体"/>
      <w:b/>
      <w:kern w:val="2"/>
      <w:sz w:val="32"/>
      <w:lang w:val="en-US" w:eastAsia="zh-CN"/>
    </w:rPr>
  </w:style>
  <w:style w:type="character" w:customStyle="1" w:styleId="189">
    <w:name w:val="正文文本_"/>
    <w:link w:val="190"/>
    <w:autoRedefine/>
    <w:qFormat/>
    <w:uiPriority w:val="0"/>
    <w:rPr>
      <w:rFonts w:ascii="MingLiU" w:hAnsi="MingLiU" w:eastAsia="MingLiU" w:cs="MingLiU"/>
      <w:spacing w:val="9"/>
      <w:sz w:val="21"/>
      <w:szCs w:val="21"/>
    </w:rPr>
  </w:style>
  <w:style w:type="paragraph" w:customStyle="1" w:styleId="190">
    <w:name w:val="正文文本1"/>
    <w:basedOn w:val="1"/>
    <w:link w:val="189"/>
    <w:autoRedefine/>
    <w:qFormat/>
    <w:uiPriority w:val="0"/>
    <w:pPr>
      <w:spacing w:after="60" w:line="463" w:lineRule="exact"/>
      <w:jc w:val="distribute"/>
    </w:pPr>
    <w:rPr>
      <w:rFonts w:ascii="MingLiU" w:hAnsi="MingLiU" w:eastAsia="MingLiU" w:cs="MingLiU"/>
      <w:spacing w:val="9"/>
      <w:kern w:val="0"/>
      <w:szCs w:val="21"/>
    </w:rPr>
  </w:style>
  <w:style w:type="character" w:customStyle="1" w:styleId="191">
    <w:name w:val="font31"/>
    <w:autoRedefine/>
    <w:qFormat/>
    <w:uiPriority w:val="0"/>
    <w:rPr>
      <w:rFonts w:hint="default" w:ascii="Times New Roman" w:hAnsi="Times New Roman" w:cs="Times New Roman"/>
      <w:color w:val="000000"/>
      <w:sz w:val="21"/>
      <w:szCs w:val="21"/>
      <w:u w:val="none"/>
    </w:rPr>
  </w:style>
  <w:style w:type="character" w:customStyle="1" w:styleId="192">
    <w:name w:val="正文文本首行缩进 2 字符"/>
    <w:basedOn w:val="193"/>
    <w:link w:val="52"/>
    <w:autoRedefine/>
    <w:qFormat/>
    <w:uiPriority w:val="0"/>
    <w:rPr>
      <w:kern w:val="2"/>
      <w:sz w:val="21"/>
      <w:szCs w:val="24"/>
    </w:rPr>
  </w:style>
  <w:style w:type="character" w:customStyle="1" w:styleId="193">
    <w:name w:val="正文文本缩进 Char"/>
    <w:autoRedefine/>
    <w:qFormat/>
    <w:uiPriority w:val="0"/>
    <w:rPr>
      <w:kern w:val="2"/>
      <w:sz w:val="21"/>
      <w:szCs w:val="24"/>
    </w:rPr>
  </w:style>
  <w:style w:type="character" w:customStyle="1" w:styleId="194">
    <w:name w:val="正文首行缩进 2 Char1"/>
    <w:basedOn w:val="124"/>
    <w:autoRedefine/>
    <w:qFormat/>
    <w:uiPriority w:val="0"/>
    <w:rPr>
      <w:kern w:val="2"/>
      <w:sz w:val="21"/>
    </w:rPr>
  </w:style>
  <w:style w:type="character" w:customStyle="1" w:styleId="195">
    <w:name w:val="HTML 预设格式 Char1"/>
    <w:autoRedefine/>
    <w:qFormat/>
    <w:uiPriority w:val="0"/>
    <w:rPr>
      <w:rFonts w:ascii="Courier New" w:hAnsi="Courier New" w:cs="Courier New"/>
    </w:rPr>
  </w:style>
  <w:style w:type="character" w:customStyle="1" w:styleId="196">
    <w:name w:val="正正正文 Char1"/>
    <w:link w:val="197"/>
    <w:autoRedefine/>
    <w:qFormat/>
    <w:uiPriority w:val="0"/>
    <w:rPr>
      <w:color w:val="000000"/>
      <w:kern w:val="2"/>
      <w:sz w:val="21"/>
    </w:rPr>
  </w:style>
  <w:style w:type="paragraph" w:customStyle="1" w:styleId="197">
    <w:name w:val="正正正文"/>
    <w:basedOn w:val="1"/>
    <w:link w:val="196"/>
    <w:autoRedefine/>
    <w:qFormat/>
    <w:uiPriority w:val="0"/>
    <w:pPr>
      <w:snapToGrid w:val="0"/>
      <w:spacing w:line="460" w:lineRule="exact"/>
      <w:ind w:firstLine="420" w:firstLineChars="200"/>
    </w:pPr>
    <w:rPr>
      <w:color w:val="000000"/>
    </w:rPr>
  </w:style>
  <w:style w:type="character" w:customStyle="1" w:styleId="198">
    <w:name w:val="Char Char3"/>
    <w:autoRedefine/>
    <w:qFormat/>
    <w:uiPriority w:val="0"/>
    <w:rPr>
      <w:rFonts w:eastAsia="宋体"/>
      <w:b/>
      <w:kern w:val="44"/>
      <w:sz w:val="44"/>
      <w:lang w:val="en-US" w:eastAsia="zh-CN"/>
    </w:rPr>
  </w:style>
  <w:style w:type="character" w:customStyle="1" w:styleId="199">
    <w:name w:val="font21"/>
    <w:autoRedefine/>
    <w:qFormat/>
    <w:uiPriority w:val="0"/>
    <w:rPr>
      <w:rFonts w:hint="eastAsia" w:ascii="宋体" w:hAnsi="宋体" w:eastAsia="宋体" w:cs="宋体"/>
      <w:color w:val="FF0000"/>
      <w:sz w:val="21"/>
      <w:szCs w:val="21"/>
      <w:u w:val="none"/>
    </w:rPr>
  </w:style>
  <w:style w:type="character" w:customStyle="1" w:styleId="200">
    <w:name w:val="p21"/>
    <w:autoRedefine/>
    <w:qFormat/>
    <w:uiPriority w:val="0"/>
    <w:rPr>
      <w:sz w:val="9"/>
      <w:szCs w:val="9"/>
    </w:rPr>
  </w:style>
  <w:style w:type="character" w:customStyle="1" w:styleId="201">
    <w:name w:val="正文文本 + Tahoma"/>
    <w:autoRedefine/>
    <w:qFormat/>
    <w:uiPriority w:val="0"/>
    <w:rPr>
      <w:rFonts w:ascii="Tahoma" w:hAnsi="Tahoma" w:eastAsia="Tahoma" w:cs="Tahoma"/>
      <w:color w:val="000000"/>
      <w:spacing w:val="23"/>
      <w:w w:val="100"/>
      <w:position w:val="0"/>
      <w:sz w:val="19"/>
      <w:szCs w:val="19"/>
      <w:u w:val="none"/>
      <w:lang w:val="zh-CN"/>
    </w:rPr>
  </w:style>
  <w:style w:type="character" w:customStyle="1" w:styleId="202">
    <w:name w:val="正文文本 (2) + 间距 3 pt"/>
    <w:autoRedefine/>
    <w:qFormat/>
    <w:uiPriority w:val="0"/>
    <w:rPr>
      <w:rFonts w:ascii="MingLiU" w:hAnsi="MingLiU" w:eastAsia="MingLiU" w:cs="MingLiU"/>
      <w:color w:val="000000"/>
      <w:spacing w:val="73"/>
      <w:w w:val="100"/>
      <w:position w:val="0"/>
      <w:sz w:val="22"/>
      <w:szCs w:val="22"/>
      <w:u w:val="none"/>
      <w:lang w:val="zh-CN"/>
    </w:rPr>
  </w:style>
  <w:style w:type="character" w:customStyle="1" w:styleId="203">
    <w:name w:val="font5 Char"/>
    <w:link w:val="204"/>
    <w:autoRedefine/>
    <w:qFormat/>
    <w:uiPriority w:val="0"/>
    <w:rPr>
      <w:rFonts w:ascii="宋体" w:hAnsi="宋体"/>
      <w:sz w:val="24"/>
      <w:szCs w:val="24"/>
    </w:rPr>
  </w:style>
  <w:style w:type="paragraph" w:customStyle="1" w:styleId="204">
    <w:name w:val="font5"/>
    <w:basedOn w:val="1"/>
    <w:link w:val="203"/>
    <w:autoRedefine/>
    <w:qFormat/>
    <w:uiPriority w:val="0"/>
    <w:pPr>
      <w:widowControl/>
      <w:spacing w:before="100" w:beforeAutospacing="1" w:after="100" w:afterAutospacing="1"/>
      <w:jc w:val="left"/>
    </w:pPr>
    <w:rPr>
      <w:rFonts w:ascii="宋体" w:hAnsi="宋体"/>
      <w:kern w:val="0"/>
      <w:sz w:val="24"/>
      <w:szCs w:val="24"/>
    </w:rPr>
  </w:style>
  <w:style w:type="character" w:customStyle="1" w:styleId="205">
    <w:name w:val="标题 3 Char Char"/>
    <w:autoRedefine/>
    <w:qFormat/>
    <w:uiPriority w:val="0"/>
    <w:rPr>
      <w:rFonts w:eastAsia="宋体"/>
      <w:b/>
      <w:kern w:val="2"/>
      <w:sz w:val="32"/>
      <w:lang w:val="en-US" w:eastAsia="zh-CN"/>
    </w:rPr>
  </w:style>
  <w:style w:type="character" w:customStyle="1" w:styleId="206">
    <w:name w:val="正文缩进 Char1 Char"/>
    <w:autoRedefine/>
    <w:qFormat/>
    <w:uiPriority w:val="0"/>
    <w:rPr>
      <w:rFonts w:eastAsia="宋体"/>
      <w:kern w:val="2"/>
      <w:sz w:val="24"/>
      <w:szCs w:val="24"/>
      <w:lang w:val="en-US" w:eastAsia="zh-CN" w:bidi="ar-SA"/>
    </w:rPr>
  </w:style>
  <w:style w:type="character" w:customStyle="1" w:styleId="207">
    <w:name w:val="font01"/>
    <w:autoRedefine/>
    <w:qFormat/>
    <w:uiPriority w:val="0"/>
    <w:rPr>
      <w:rFonts w:hint="eastAsia" w:ascii="宋体" w:hAnsi="宋体" w:eastAsia="宋体" w:cs="宋体"/>
      <w:color w:val="000000"/>
      <w:sz w:val="21"/>
      <w:szCs w:val="21"/>
      <w:u w:val="none"/>
    </w:rPr>
  </w:style>
  <w:style w:type="character" w:customStyle="1" w:styleId="208">
    <w:name w:val="font11"/>
    <w:autoRedefine/>
    <w:qFormat/>
    <w:uiPriority w:val="0"/>
    <w:rPr>
      <w:rFonts w:hint="default" w:ascii="Times New Roman" w:hAnsi="Times New Roman" w:cs="Times New Roman"/>
      <w:color w:val="FF0000"/>
      <w:sz w:val="21"/>
      <w:szCs w:val="21"/>
      <w:u w:val="none"/>
    </w:rPr>
  </w:style>
  <w:style w:type="paragraph" w:customStyle="1" w:styleId="209">
    <w:name w:val="样式 样式 样式 公正文 + 首行缩进:  2 字符2 + 首行缩进:  2 字符 + 首行缩进:  2 字符"/>
    <w:basedOn w:val="210"/>
    <w:autoRedefine/>
    <w:qFormat/>
    <w:uiPriority w:val="0"/>
  </w:style>
  <w:style w:type="paragraph" w:customStyle="1" w:styleId="210">
    <w:name w:val="样式 样式 公正文 + 首行缩进:  2 字符2 + 首行缩进:  2 字符"/>
    <w:basedOn w:val="211"/>
    <w:autoRedefine/>
    <w:qFormat/>
    <w:uiPriority w:val="0"/>
  </w:style>
  <w:style w:type="paragraph" w:customStyle="1" w:styleId="211">
    <w:name w:val="样式 公正文 + 首行缩进:  2 字符2"/>
    <w:basedOn w:val="212"/>
    <w:autoRedefine/>
    <w:qFormat/>
    <w:uiPriority w:val="0"/>
    <w:rPr>
      <w:rFonts w:cs="宋体"/>
    </w:rPr>
  </w:style>
  <w:style w:type="paragraph" w:customStyle="1" w:styleId="212">
    <w:name w:val="公正文"/>
    <w:basedOn w:val="14"/>
    <w:autoRedefine/>
    <w:qFormat/>
    <w:uiPriority w:val="99"/>
    <w:pPr>
      <w:adjustRightInd w:val="0"/>
      <w:snapToGrid w:val="0"/>
      <w:spacing w:line="560" w:lineRule="exact"/>
      <w:ind w:firstLine="200"/>
    </w:pPr>
    <w:rPr>
      <w:rFonts w:ascii="仿宋_GB2312" w:hAnsi="宋体" w:eastAsia="仿宋_GB2312"/>
      <w:sz w:val="28"/>
    </w:rPr>
  </w:style>
  <w:style w:type="paragraph" w:customStyle="1" w:styleId="213">
    <w:name w:val="样式 样式 样式 样式 公正文 + 首行缩进:  2 字符2 + 首行缩进:  2 字符 + 首行缩进:  2 字符 + 首行缩...1"/>
    <w:basedOn w:val="209"/>
    <w:autoRedefine/>
    <w:qFormat/>
    <w:uiPriority w:val="0"/>
    <w:pPr>
      <w:adjustRightInd/>
      <w:snapToGrid/>
    </w:pPr>
  </w:style>
  <w:style w:type="paragraph" w:customStyle="1" w:styleId="214">
    <w:name w:val="表二"/>
    <w:basedOn w:val="1"/>
    <w:autoRedefine/>
    <w:qFormat/>
    <w:uiPriority w:val="99"/>
    <w:pPr>
      <w:adjustRightInd w:val="0"/>
      <w:snapToGrid w:val="0"/>
    </w:pPr>
    <w:rPr>
      <w:snapToGrid w:val="0"/>
      <w:kern w:val="0"/>
    </w:rPr>
  </w:style>
  <w:style w:type="character" w:customStyle="1" w:styleId="215">
    <w:name w:val="标题 字符"/>
    <w:basedOn w:val="55"/>
    <w:link w:val="49"/>
    <w:autoRedefine/>
    <w:qFormat/>
    <w:uiPriority w:val="99"/>
    <w:rPr>
      <w:rFonts w:ascii="Arial" w:hAnsi="Arial"/>
      <w:b/>
      <w:sz w:val="32"/>
    </w:rPr>
  </w:style>
  <w:style w:type="paragraph" w:customStyle="1" w:styleId="216">
    <w:name w:val="表三"/>
    <w:basedOn w:val="214"/>
    <w:autoRedefine/>
    <w:qFormat/>
    <w:uiPriority w:val="99"/>
    <w:pPr>
      <w:ind w:right="-34" w:rightChars="-34"/>
      <w:jc w:val="right"/>
    </w:pPr>
  </w:style>
  <w:style w:type="paragraph" w:customStyle="1" w:styleId="217">
    <w:name w:val="样式 样式 样式 样式 样式 公正文 + 首行缩进:  2 字符2 + 首行缩进:  2 字符 + 首行缩进:  2 字符 + ..."/>
    <w:basedOn w:val="213"/>
    <w:autoRedefine/>
    <w:qFormat/>
    <w:uiPriority w:val="0"/>
  </w:style>
  <w:style w:type="paragraph" w:customStyle="1" w:styleId="218">
    <w:name w:val="contentarticle"/>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19">
    <w:name w:val="样式 标题 2标题 2 Char章章1章2章3章11章21章4章12章22章5章6章7章8章9章..."/>
    <w:basedOn w:val="2"/>
    <w:autoRedefine/>
    <w:qFormat/>
    <w:uiPriority w:val="99"/>
    <w:pPr>
      <w:jc w:val="left"/>
    </w:pPr>
    <w:rPr>
      <w:rFonts w:ascii="宋体" w:hAnsi="宋体" w:cs="宋体"/>
      <w:bCs/>
      <w:color w:val="FF0000"/>
      <w:sz w:val="21"/>
    </w:rPr>
  </w:style>
  <w:style w:type="paragraph" w:customStyle="1" w:styleId="220">
    <w:name w:val="样式 样式 样式 样式 样式 样式 公正文 + 首行缩进:  2 字符2 + 首行缩进:  2 字符 + 首行缩进:  2 字符..."/>
    <w:basedOn w:val="217"/>
    <w:autoRedefine/>
    <w:qFormat/>
    <w:uiPriority w:val="0"/>
  </w:style>
  <w:style w:type="paragraph" w:customStyle="1" w:styleId="221">
    <w:name w:val="样式 标题 1 + 黑体 三号 非加粗 居中 段前: 6 磅 段后: 6 磅 行距: 固定值 20 磅"/>
    <w:basedOn w:val="4"/>
    <w:autoRedefine/>
    <w:qFormat/>
    <w:uiPriority w:val="99"/>
    <w:pPr>
      <w:spacing w:line="400" w:lineRule="exact"/>
    </w:pPr>
    <w:rPr>
      <w:rFonts w:ascii="黑体" w:hAnsi="黑体" w:eastAsia="黑体" w:cs="宋体"/>
      <w:b w:val="0"/>
      <w:spacing w:val="0"/>
    </w:rPr>
  </w:style>
  <w:style w:type="paragraph" w:customStyle="1" w:styleId="222">
    <w:name w:val="xl31"/>
    <w:basedOn w:val="1"/>
    <w:autoRedefine/>
    <w:qFormat/>
    <w:uiPriority w:val="99"/>
    <w:pPr>
      <w:widowControl/>
      <w:spacing w:before="100" w:beforeAutospacing="1" w:after="100" w:afterAutospacing="1"/>
      <w:jc w:val="center"/>
    </w:pPr>
    <w:rPr>
      <w:rFonts w:ascii="宋体" w:hAnsi="宋体"/>
      <w:kern w:val="0"/>
      <w:sz w:val="24"/>
      <w:szCs w:val="24"/>
    </w:rPr>
  </w:style>
  <w:style w:type="paragraph" w:customStyle="1" w:styleId="223">
    <w:name w:val="表格文字"/>
    <w:basedOn w:val="1"/>
    <w:autoRedefine/>
    <w:qFormat/>
    <w:uiPriority w:val="99"/>
    <w:pPr>
      <w:adjustRightInd w:val="0"/>
      <w:spacing w:line="420" w:lineRule="atLeast"/>
      <w:jc w:val="left"/>
      <w:textAlignment w:val="baseline"/>
    </w:pPr>
    <w:rPr>
      <w:kern w:val="0"/>
    </w:rPr>
  </w:style>
  <w:style w:type="paragraph" w:customStyle="1" w:styleId="224">
    <w:name w:val="样式 首行缩进:  2 字符"/>
    <w:basedOn w:val="1"/>
    <w:autoRedefine/>
    <w:qFormat/>
    <w:uiPriority w:val="99"/>
    <w:pPr>
      <w:widowControl/>
      <w:spacing w:line="400" w:lineRule="exact"/>
      <w:ind w:firstLine="200" w:firstLineChars="200"/>
      <w:jc w:val="left"/>
    </w:pPr>
    <w:rPr>
      <w:rFonts w:cs="宋体"/>
      <w:kern w:val="0"/>
    </w:rPr>
  </w:style>
  <w:style w:type="paragraph" w:customStyle="1" w:styleId="225">
    <w:name w:val="Char1"/>
    <w:basedOn w:val="1"/>
    <w:autoRedefine/>
    <w:qFormat/>
    <w:uiPriority w:val="99"/>
    <w:pPr>
      <w:pageBreakBefore/>
      <w:spacing w:line="360" w:lineRule="auto"/>
    </w:pPr>
    <w:rPr>
      <w:sz w:val="28"/>
    </w:rPr>
  </w:style>
  <w:style w:type="paragraph" w:customStyle="1" w:styleId="226">
    <w:name w:val="标题2"/>
    <w:basedOn w:val="2"/>
    <w:next w:val="1"/>
    <w:autoRedefine/>
    <w:qFormat/>
    <w:uiPriority w:val="99"/>
    <w:pPr>
      <w:snapToGrid w:val="0"/>
      <w:spacing w:after="120" w:line="240" w:lineRule="auto"/>
      <w:jc w:val="left"/>
    </w:pPr>
    <w:rPr>
      <w:rFonts w:ascii="Times New Roman" w:hAnsi="Times New Roman"/>
      <w:b w:val="0"/>
      <w:sz w:val="21"/>
      <w:szCs w:val="21"/>
    </w:rPr>
  </w:style>
  <w:style w:type="paragraph" w:customStyle="1" w:styleId="227">
    <w:name w:val="表格2"/>
    <w:basedOn w:val="1"/>
    <w:autoRedefine/>
    <w:qFormat/>
    <w:uiPriority w:val="99"/>
    <w:pPr>
      <w:adjustRightInd w:val="0"/>
      <w:spacing w:before="60" w:after="60"/>
      <w:jc w:val="center"/>
    </w:pPr>
    <w:rPr>
      <w:rFonts w:ascii="宋体"/>
      <w:color w:val="000000"/>
      <w:kern w:val="0"/>
      <w:sz w:val="24"/>
    </w:rPr>
  </w:style>
  <w:style w:type="paragraph" w:customStyle="1" w:styleId="228">
    <w:name w:val="font7"/>
    <w:basedOn w:val="1"/>
    <w:autoRedefine/>
    <w:qFormat/>
    <w:uiPriority w:val="99"/>
    <w:pPr>
      <w:widowControl/>
      <w:spacing w:before="100" w:beforeAutospacing="1" w:after="100" w:afterAutospacing="1"/>
      <w:jc w:val="left"/>
    </w:pPr>
    <w:rPr>
      <w:rFonts w:hint="eastAsia" w:ascii="宋体" w:hAnsi="宋体"/>
      <w:kern w:val="0"/>
      <w:sz w:val="28"/>
      <w:szCs w:val="28"/>
    </w:rPr>
  </w:style>
  <w:style w:type="paragraph" w:customStyle="1" w:styleId="229">
    <w:name w:val="XW正文"/>
    <w:basedOn w:val="22"/>
    <w:autoRedefine/>
    <w:qFormat/>
    <w:uiPriority w:val="99"/>
    <w:pPr>
      <w:adjustRightInd w:val="0"/>
      <w:snapToGrid w:val="0"/>
      <w:spacing w:line="300" w:lineRule="auto"/>
      <w:ind w:firstLine="520" w:firstLineChars="200"/>
      <w:jc w:val="left"/>
    </w:pPr>
    <w:rPr>
      <w:kern w:val="0"/>
      <w:szCs w:val="24"/>
    </w:rPr>
  </w:style>
  <w:style w:type="paragraph" w:customStyle="1" w:styleId="230">
    <w:name w:val="样式 样式 标题 3小标题 1一、标题 3XW标题 3 Char Char Char Char Char Char Char....."/>
    <w:basedOn w:val="1"/>
    <w:autoRedefine/>
    <w:qFormat/>
    <w:uiPriority w:val="99"/>
    <w:pPr>
      <w:keepNext/>
      <w:keepLines/>
      <w:spacing w:line="360" w:lineRule="auto"/>
      <w:jc w:val="left"/>
      <w:outlineLvl w:val="2"/>
    </w:pPr>
    <w:rPr>
      <w:rFonts w:ascii="宋体" w:hAnsi="宋体" w:cs="宋体"/>
      <w:b/>
      <w:bCs/>
      <w:color w:val="0000FF"/>
    </w:rPr>
  </w:style>
  <w:style w:type="paragraph" w:customStyle="1" w:styleId="231">
    <w:name w:val="xl47"/>
    <w:basedOn w:val="1"/>
    <w:autoRedefine/>
    <w:qFormat/>
    <w:uiPriority w:val="99"/>
    <w:pPr>
      <w:widowControl/>
      <w:spacing w:before="100" w:beforeAutospacing="1" w:after="100" w:afterAutospacing="1"/>
      <w:jc w:val="center"/>
    </w:pPr>
    <w:rPr>
      <w:rFonts w:ascii="宋体" w:hAnsi="宋体"/>
      <w:kern w:val="0"/>
      <w:sz w:val="28"/>
      <w:szCs w:val="28"/>
    </w:rPr>
  </w:style>
  <w:style w:type="paragraph" w:customStyle="1" w:styleId="232">
    <w:name w:val="xl27"/>
    <w:basedOn w:val="1"/>
    <w:autoRedefine/>
    <w:qFormat/>
    <w:uiPriority w:val="99"/>
    <w:pPr>
      <w:widowControl/>
      <w:pBdr>
        <w:bottom w:val="single" w:color="auto" w:sz="4" w:space="0"/>
        <w:right w:val="single" w:color="auto" w:sz="4" w:space="0"/>
      </w:pBdr>
      <w:spacing w:before="100" w:beforeAutospacing="1" w:after="100" w:afterAutospacing="1"/>
      <w:jc w:val="center"/>
    </w:pPr>
    <w:rPr>
      <w:kern w:val="0"/>
      <w:sz w:val="24"/>
      <w:szCs w:val="24"/>
    </w:rPr>
  </w:style>
  <w:style w:type="paragraph" w:customStyle="1" w:styleId="233">
    <w:name w:val="表格"/>
    <w:basedOn w:val="1"/>
    <w:autoRedefine/>
    <w:qFormat/>
    <w:uiPriority w:val="99"/>
    <w:pPr>
      <w:jc w:val="center"/>
      <w:textAlignment w:val="center"/>
    </w:pPr>
    <w:rPr>
      <w:rFonts w:ascii="华文细黑" w:hAnsi="华文细黑"/>
      <w:kern w:val="0"/>
    </w:rPr>
  </w:style>
  <w:style w:type="paragraph" w:customStyle="1" w:styleId="234">
    <w:name w:val="6'"/>
    <w:basedOn w:val="1"/>
    <w:autoRedefine/>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235">
    <w:name w:val="_Style 12"/>
    <w:basedOn w:val="1"/>
    <w:autoRedefine/>
    <w:qFormat/>
    <w:uiPriority w:val="99"/>
    <w:rPr>
      <w:sz w:val="28"/>
      <w:szCs w:val="28"/>
    </w:rPr>
  </w:style>
  <w:style w:type="paragraph" w:customStyle="1" w:styleId="236">
    <w:name w:val="样式"/>
    <w:autoRedefine/>
    <w:qFormat/>
    <w:uiPriority w:val="99"/>
    <w:pPr>
      <w:widowControl w:val="0"/>
      <w:autoSpaceDE w:val="0"/>
      <w:autoSpaceDN w:val="0"/>
      <w:adjustRightInd w:val="0"/>
    </w:pPr>
    <w:rPr>
      <w:rFonts w:ascii="宋体" w:hAnsi="宋体" w:eastAsia="宋体" w:cs="Times New Roman"/>
      <w:sz w:val="24"/>
      <w:lang w:val="en-US" w:eastAsia="zh-CN" w:bidi="ar-SA"/>
    </w:rPr>
  </w:style>
  <w:style w:type="paragraph" w:customStyle="1" w:styleId="237">
    <w:name w:val="Char2"/>
    <w:basedOn w:val="1"/>
    <w:autoRedefine/>
    <w:qFormat/>
    <w:uiPriority w:val="99"/>
    <w:pPr>
      <w:ind w:left="432" w:hanging="432"/>
    </w:pPr>
    <w:rPr>
      <w:sz w:val="24"/>
    </w:rPr>
  </w:style>
  <w:style w:type="paragraph" w:customStyle="1" w:styleId="238">
    <w:name w:val="样式 标题 1 + 首行缩进:  2 字符"/>
    <w:basedOn w:val="4"/>
    <w:autoRedefine/>
    <w:qFormat/>
    <w:uiPriority w:val="99"/>
    <w:pPr>
      <w:spacing w:before="0" w:after="0" w:line="576" w:lineRule="auto"/>
      <w:jc w:val="left"/>
    </w:pPr>
    <w:rPr>
      <w:rFonts w:cs="宋体"/>
      <w:spacing w:val="0"/>
      <w:sz w:val="44"/>
    </w:rPr>
  </w:style>
  <w:style w:type="paragraph" w:customStyle="1" w:styleId="239">
    <w:name w:val="_Style 7"/>
    <w:basedOn w:val="1"/>
    <w:autoRedefine/>
    <w:qFormat/>
    <w:uiPriority w:val="99"/>
    <w:pPr>
      <w:pageBreakBefore/>
      <w:spacing w:line="360" w:lineRule="auto"/>
    </w:pPr>
  </w:style>
  <w:style w:type="paragraph" w:customStyle="1" w:styleId="240">
    <w:name w:val="正文1"/>
    <w:autoRedefine/>
    <w:qFormat/>
    <w:uiPriority w:val="99"/>
    <w:pPr>
      <w:jc w:val="both"/>
    </w:pPr>
    <w:rPr>
      <w:rFonts w:ascii="Times New Roman" w:hAnsi="Times New Roman" w:eastAsia="宋体" w:cs="Times New Roman"/>
      <w:kern w:val="2"/>
      <w:sz w:val="21"/>
      <w:szCs w:val="21"/>
      <w:lang w:val="en-US" w:eastAsia="zh-CN" w:bidi="ar-SA"/>
    </w:rPr>
  </w:style>
  <w:style w:type="paragraph" w:customStyle="1" w:styleId="241">
    <w:name w:val="Char Char Char Char Char Char Char Char Char Char"/>
    <w:basedOn w:val="1"/>
    <w:autoRedefine/>
    <w:qFormat/>
    <w:uiPriority w:val="99"/>
  </w:style>
  <w:style w:type="paragraph" w:customStyle="1" w:styleId="242">
    <w:name w:val="t_black_12_b"/>
    <w:basedOn w:val="1"/>
    <w:autoRedefine/>
    <w:qFormat/>
    <w:uiPriority w:val="99"/>
    <w:pPr>
      <w:widowControl/>
      <w:jc w:val="left"/>
    </w:pPr>
    <w:rPr>
      <w:rFonts w:ascii="宋体" w:hAnsi="宋体" w:cs="宋体"/>
      <w:b/>
      <w:bCs/>
      <w:color w:val="212121"/>
      <w:kern w:val="0"/>
      <w:sz w:val="9"/>
      <w:szCs w:val="9"/>
    </w:rPr>
  </w:style>
  <w:style w:type="paragraph" w:customStyle="1" w:styleId="243">
    <w:name w:val="4 Char Char Char Char Char Char Char Char Char Char Char Char Char Char Char Char Char Char Char Char Char Char"/>
    <w:basedOn w:val="1"/>
    <w:autoRedefine/>
    <w:qFormat/>
    <w:uiPriority w:val="99"/>
  </w:style>
  <w:style w:type="paragraph" w:customStyle="1" w:styleId="244">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245">
    <w:name w:val="Char Char Char Char Char Char Char Char Char Char Char Char Char"/>
    <w:basedOn w:val="1"/>
    <w:autoRedefine/>
    <w:qFormat/>
    <w:uiPriority w:val="99"/>
    <w:rPr>
      <w:szCs w:val="24"/>
    </w:rPr>
  </w:style>
  <w:style w:type="character" w:customStyle="1" w:styleId="246">
    <w:name w:val="脚注文本 字符"/>
    <w:basedOn w:val="55"/>
    <w:link w:val="39"/>
    <w:autoRedefine/>
    <w:qFormat/>
    <w:uiPriority w:val="99"/>
    <w:rPr>
      <w:kern w:val="2"/>
      <w:sz w:val="18"/>
      <w:szCs w:val="18"/>
    </w:rPr>
  </w:style>
  <w:style w:type="character" w:customStyle="1" w:styleId="247">
    <w:name w:val="样式 粉红 下划线"/>
    <w:autoRedefine/>
    <w:qFormat/>
    <w:uiPriority w:val="0"/>
    <w:rPr>
      <w:color w:val="auto"/>
      <w:u w:val="none"/>
    </w:rPr>
  </w:style>
  <w:style w:type="character" w:customStyle="1" w:styleId="248">
    <w:name w:val="样式 粉红"/>
    <w:autoRedefine/>
    <w:qFormat/>
    <w:uiPriority w:val="0"/>
    <w:rPr>
      <w:color w:val="auto"/>
      <w:u w:val="none"/>
    </w:rPr>
  </w:style>
  <w:style w:type="character" w:customStyle="1" w:styleId="249">
    <w:name w:val="正文文本首行缩进 字符"/>
    <w:basedOn w:val="122"/>
    <w:link w:val="51"/>
    <w:autoRedefine/>
    <w:qFormat/>
    <w:uiPriority w:val="99"/>
    <w:rPr>
      <w:rFonts w:ascii="宋体" w:hAnsi="宋体"/>
      <w:color w:val="000000"/>
      <w:kern w:val="28"/>
      <w:sz w:val="21"/>
      <w:szCs w:val="21"/>
    </w:rPr>
  </w:style>
  <w:style w:type="paragraph" w:customStyle="1" w:styleId="250">
    <w:name w:val="范本-正文"/>
    <w:autoRedefine/>
    <w:qFormat/>
    <w:uiPriority w:val="99"/>
    <w:pPr>
      <w:spacing w:line="360" w:lineRule="auto"/>
      <w:ind w:firstLine="420"/>
    </w:pPr>
    <w:rPr>
      <w:rFonts w:ascii="Times New Roman" w:hAnsi="Times New Roman" w:eastAsia="宋体" w:cs="Times New Roman"/>
      <w:iCs/>
      <w:kern w:val="2"/>
      <w:sz w:val="24"/>
      <w:szCs w:val="21"/>
      <w:lang w:val="en-US" w:eastAsia="zh-CN" w:bidi="ar-SA"/>
    </w:rPr>
  </w:style>
  <w:style w:type="paragraph" w:customStyle="1" w:styleId="251">
    <w:name w:val="金安桥正文"/>
    <w:basedOn w:val="22"/>
    <w:autoRedefine/>
    <w:qFormat/>
    <w:uiPriority w:val="99"/>
    <w:pPr>
      <w:adjustRightInd w:val="0"/>
      <w:spacing w:line="300" w:lineRule="auto"/>
      <w:ind w:firstLine="200" w:firstLineChars="200"/>
      <w:jc w:val="left"/>
    </w:pPr>
    <w:rPr>
      <w:kern w:val="0"/>
      <w:sz w:val="24"/>
    </w:rPr>
  </w:style>
  <w:style w:type="paragraph" w:customStyle="1" w:styleId="252">
    <w:name w:val="正  文"/>
    <w:basedOn w:val="1"/>
    <w:autoRedefine/>
    <w:qFormat/>
    <w:uiPriority w:val="99"/>
    <w:pPr>
      <w:spacing w:line="360" w:lineRule="auto"/>
      <w:ind w:firstLine="200" w:firstLineChars="200"/>
    </w:pPr>
    <w:rPr>
      <w:rFonts w:ascii="宋体"/>
      <w:sz w:val="24"/>
      <w:szCs w:val="24"/>
    </w:rPr>
  </w:style>
  <w:style w:type="paragraph" w:customStyle="1" w:styleId="253">
    <w:name w:val="XW标题3"/>
    <w:basedOn w:val="229"/>
    <w:next w:val="229"/>
    <w:autoRedefine/>
    <w:qFormat/>
    <w:uiPriority w:val="99"/>
    <w:pPr>
      <w:snapToGrid/>
      <w:spacing w:before="200" w:line="360" w:lineRule="auto"/>
      <w:ind w:firstLine="0" w:firstLineChars="0"/>
      <w:outlineLvl w:val="2"/>
    </w:pPr>
    <w:rPr>
      <w:rFonts w:ascii="Arial" w:hAnsi="Arial" w:eastAsia="黑体"/>
      <w:sz w:val="30"/>
      <w:szCs w:val="20"/>
    </w:rPr>
  </w:style>
  <w:style w:type="paragraph" w:customStyle="1" w:styleId="254">
    <w:name w:val="XW悬挂正文"/>
    <w:basedOn w:val="229"/>
    <w:autoRedefine/>
    <w:qFormat/>
    <w:uiPriority w:val="99"/>
    <w:pPr>
      <w:snapToGrid/>
      <w:spacing w:line="360" w:lineRule="auto"/>
      <w:ind w:left="1474" w:hanging="340" w:firstLineChars="0"/>
    </w:pPr>
    <w:rPr>
      <w:rFonts w:hAnsi="宋体"/>
      <w:sz w:val="24"/>
      <w:szCs w:val="20"/>
    </w:rPr>
  </w:style>
  <w:style w:type="paragraph" w:customStyle="1" w:styleId="255">
    <w:name w:val="XW标题1"/>
    <w:basedOn w:val="229"/>
    <w:next w:val="229"/>
    <w:autoRedefine/>
    <w:qFormat/>
    <w:uiPriority w:val="99"/>
    <w:pPr>
      <w:snapToGrid/>
      <w:spacing w:before="5000" w:line="360" w:lineRule="auto"/>
      <w:ind w:left="425" w:hanging="425" w:firstLineChars="0"/>
      <w:jc w:val="center"/>
      <w:outlineLvl w:val="0"/>
    </w:pPr>
    <w:rPr>
      <w:rFonts w:ascii="Arial" w:hAnsi="Arial" w:eastAsia="黑体"/>
      <w:sz w:val="44"/>
      <w:szCs w:val="20"/>
    </w:rPr>
  </w:style>
  <w:style w:type="paragraph" w:customStyle="1" w:styleId="256">
    <w:name w:val="首页脚样式"/>
    <w:basedOn w:val="33"/>
    <w:autoRedefine/>
    <w:qFormat/>
    <w:uiPriority w:val="99"/>
    <w:pPr>
      <w:keepLines/>
      <w:widowControl/>
      <w:tabs>
        <w:tab w:val="right" w:pos="-18551"/>
        <w:tab w:val="right" w:pos="4320"/>
        <w:tab w:val="clear" w:pos="4153"/>
        <w:tab w:val="clear" w:pos="8306"/>
      </w:tabs>
      <w:snapToGrid/>
      <w:spacing w:before="600" w:line="240" w:lineRule="atLeast"/>
      <w:ind w:left="-840" w:right="-840"/>
      <w:jc w:val="center"/>
    </w:pPr>
    <w:rPr>
      <w:rFonts w:ascii="Garamond" w:hAnsi="Garamond"/>
      <w:smallCaps/>
      <w:spacing w:val="15"/>
      <w:kern w:val="0"/>
      <w:sz w:val="24"/>
    </w:rPr>
  </w:style>
  <w:style w:type="paragraph" w:customStyle="1" w:styleId="257">
    <w:name w:val="标题3"/>
    <w:basedOn w:val="226"/>
    <w:autoRedefine/>
    <w:qFormat/>
    <w:uiPriority w:val="99"/>
    <w:pPr>
      <w:snapToGrid/>
      <w:spacing w:after="0" w:line="360" w:lineRule="auto"/>
      <w:jc w:val="both"/>
      <w:outlineLvl w:val="0"/>
    </w:pPr>
    <w:rPr>
      <w:b/>
      <w:kern w:val="44"/>
    </w:rPr>
  </w:style>
  <w:style w:type="paragraph" w:customStyle="1" w:styleId="258">
    <w:name w:val="正文小标题"/>
    <w:basedOn w:val="1"/>
    <w:next w:val="21"/>
    <w:autoRedefine/>
    <w:qFormat/>
    <w:uiPriority w:val="99"/>
    <w:pPr>
      <w:tabs>
        <w:tab w:val="left" w:pos="735"/>
        <w:tab w:val="left" w:pos="780"/>
      </w:tabs>
      <w:overflowPunct w:val="0"/>
      <w:autoSpaceDE w:val="0"/>
      <w:autoSpaceDN w:val="0"/>
      <w:adjustRightInd w:val="0"/>
      <w:ind w:firstLine="420" w:firstLineChars="200"/>
    </w:pPr>
    <w:rPr>
      <w:rFonts w:hAnsi="宋体"/>
      <w:kern w:val="0"/>
    </w:rPr>
  </w:style>
  <w:style w:type="paragraph" w:customStyle="1" w:styleId="259">
    <w:name w:val="基准标题"/>
    <w:basedOn w:val="21"/>
    <w:next w:val="21"/>
    <w:autoRedefine/>
    <w:qFormat/>
    <w:uiPriority w:val="99"/>
    <w:pPr>
      <w:widowControl/>
      <w:tabs>
        <w:tab w:val="left" w:pos="6000"/>
        <w:tab w:val="left" w:pos="7680"/>
      </w:tabs>
      <w:adjustRightInd/>
      <w:ind w:firstLine="422"/>
      <w:jc w:val="left"/>
    </w:pPr>
    <w:rPr>
      <w:rFonts w:ascii="Garamond" w:hAnsi="Garamond"/>
      <w:bCs w:val="0"/>
      <w:color w:val="auto"/>
      <w:kern w:val="0"/>
    </w:rPr>
  </w:style>
  <w:style w:type="paragraph" w:customStyle="1" w:styleId="260">
    <w:name w:val="XW标题2"/>
    <w:basedOn w:val="229"/>
    <w:next w:val="229"/>
    <w:autoRedefine/>
    <w:qFormat/>
    <w:uiPriority w:val="99"/>
    <w:pPr>
      <w:snapToGrid/>
      <w:spacing w:before="300" w:line="360" w:lineRule="auto"/>
      <w:ind w:firstLine="0" w:firstLineChars="0"/>
      <w:outlineLvl w:val="1"/>
    </w:pPr>
    <w:rPr>
      <w:rFonts w:ascii="Arial" w:hAnsi="Arial" w:eastAsia="黑体"/>
      <w:sz w:val="32"/>
      <w:szCs w:val="20"/>
    </w:rPr>
  </w:style>
  <w:style w:type="paragraph" w:customStyle="1" w:styleId="261">
    <w:name w:val="奇页脚样式"/>
    <w:basedOn w:val="33"/>
    <w:autoRedefine/>
    <w:qFormat/>
    <w:uiPriority w:val="99"/>
    <w:pPr>
      <w:keepLines/>
      <w:widowControl/>
      <w:tabs>
        <w:tab w:val="right" w:pos="-18551"/>
        <w:tab w:val="right" w:pos="4320"/>
        <w:tab w:val="clear" w:pos="4153"/>
        <w:tab w:val="clear" w:pos="8306"/>
      </w:tabs>
      <w:snapToGrid/>
      <w:spacing w:before="600" w:line="240" w:lineRule="atLeast"/>
      <w:ind w:left="-840" w:right="-840"/>
      <w:jc w:val="center"/>
    </w:pPr>
    <w:rPr>
      <w:rFonts w:ascii="Garamond" w:hAnsi="Garamond"/>
      <w:smallCaps/>
      <w:spacing w:val="15"/>
      <w:kern w:val="0"/>
      <w:sz w:val="24"/>
    </w:rPr>
  </w:style>
  <w:style w:type="paragraph" w:customStyle="1" w:styleId="262">
    <w:name w:val="XW标题4"/>
    <w:basedOn w:val="229"/>
    <w:next w:val="229"/>
    <w:autoRedefine/>
    <w:qFormat/>
    <w:uiPriority w:val="99"/>
    <w:pPr>
      <w:snapToGrid/>
      <w:spacing w:before="200" w:line="360" w:lineRule="auto"/>
      <w:ind w:firstLine="0" w:firstLineChars="0"/>
      <w:outlineLvl w:val="3"/>
    </w:pPr>
    <w:rPr>
      <w:rFonts w:hAnsi="宋体" w:eastAsia="仿宋_GB2312"/>
      <w:b/>
      <w:sz w:val="28"/>
      <w:szCs w:val="20"/>
    </w:rPr>
  </w:style>
  <w:style w:type="paragraph" w:customStyle="1" w:styleId="263">
    <w:name w:val="XW表名"/>
    <w:basedOn w:val="4"/>
    <w:autoRedefine/>
    <w:qFormat/>
    <w:uiPriority w:val="99"/>
    <w:pPr>
      <w:keepNext w:val="0"/>
      <w:keepLines w:val="0"/>
      <w:adjustRightInd w:val="0"/>
      <w:spacing w:before="300" w:after="80"/>
      <w:outlineLvl w:val="9"/>
    </w:pPr>
    <w:rPr>
      <w:rFonts w:eastAsia="黑体"/>
      <w:b w:val="0"/>
      <w:spacing w:val="0"/>
      <w:sz w:val="24"/>
    </w:rPr>
  </w:style>
  <w:style w:type="paragraph" w:customStyle="1" w:styleId="264">
    <w:name w:val="XW表内文字"/>
    <w:basedOn w:val="1"/>
    <w:autoRedefine/>
    <w:qFormat/>
    <w:uiPriority w:val="99"/>
    <w:pPr>
      <w:adjustRightInd w:val="0"/>
      <w:spacing w:before="60" w:after="60" w:line="300" w:lineRule="exact"/>
      <w:ind w:firstLine="422" w:firstLineChars="200"/>
      <w:jc w:val="center"/>
    </w:pPr>
    <w:rPr>
      <w:rFonts w:hAnsi="宋体"/>
      <w:kern w:val="0"/>
    </w:rPr>
  </w:style>
  <w:style w:type="paragraph" w:customStyle="1" w:styleId="265">
    <w:name w:val="XW图名表名"/>
    <w:basedOn w:val="1"/>
    <w:autoRedefine/>
    <w:qFormat/>
    <w:uiPriority w:val="99"/>
    <w:pPr>
      <w:adjustRightInd w:val="0"/>
      <w:spacing w:before="120" w:after="60"/>
      <w:ind w:firstLine="422" w:firstLineChars="200"/>
      <w:jc w:val="center"/>
    </w:pPr>
    <w:rPr>
      <w:rFonts w:hAnsi="宋体" w:eastAsia="黑体"/>
      <w:kern w:val="0"/>
      <w:sz w:val="24"/>
    </w:rPr>
  </w:style>
  <w:style w:type="paragraph" w:customStyle="1" w:styleId="266">
    <w:name w:val="正文2"/>
    <w:basedOn w:val="1"/>
    <w:next w:val="1"/>
    <w:autoRedefine/>
    <w:qFormat/>
    <w:uiPriority w:val="99"/>
    <w:pPr>
      <w:tabs>
        <w:tab w:val="left" w:pos="4025"/>
      </w:tabs>
      <w:spacing w:line="360" w:lineRule="auto"/>
      <w:ind w:left="4025" w:hanging="425" w:firstLineChars="200"/>
    </w:pPr>
    <w:rPr>
      <w:rFonts w:hAnsi="宋体"/>
      <w:sz w:val="24"/>
    </w:rPr>
  </w:style>
  <w:style w:type="paragraph" w:customStyle="1" w:styleId="267">
    <w:name w:val="目录"/>
    <w:basedOn w:val="1"/>
    <w:autoRedefine/>
    <w:qFormat/>
    <w:uiPriority w:val="99"/>
    <w:pPr>
      <w:spacing w:before="240" w:after="600" w:line="560" w:lineRule="exact"/>
      <w:jc w:val="center"/>
    </w:pPr>
    <w:rPr>
      <w:rFonts w:eastAsia="黑体"/>
      <w:sz w:val="32"/>
      <w:szCs w:val="32"/>
    </w:rPr>
  </w:style>
  <w:style w:type="paragraph" w:customStyle="1" w:styleId="268">
    <w:name w:val="简单回函地址"/>
    <w:basedOn w:val="1"/>
    <w:autoRedefine/>
    <w:qFormat/>
    <w:uiPriority w:val="99"/>
    <w:rPr>
      <w:szCs w:val="24"/>
    </w:rPr>
  </w:style>
  <w:style w:type="paragraph" w:customStyle="1" w:styleId="269">
    <w:name w:val="条款正文（三级标题）"/>
    <w:basedOn w:val="5"/>
    <w:autoRedefine/>
    <w:qFormat/>
    <w:uiPriority w:val="99"/>
    <w:pPr>
      <w:keepNext w:val="0"/>
      <w:keepLines w:val="0"/>
      <w:tabs>
        <w:tab w:val="left" w:pos="720"/>
      </w:tabs>
      <w:autoSpaceDE w:val="0"/>
      <w:autoSpaceDN w:val="0"/>
      <w:adjustRightInd w:val="0"/>
      <w:ind w:firstLine="416" w:firstLineChars="198"/>
    </w:pPr>
    <w:rPr>
      <w:rFonts w:ascii="Times New Roman"/>
      <w:b w:val="0"/>
      <w:color w:val="000000"/>
      <w:kern w:val="24"/>
      <w:sz w:val="21"/>
    </w:rPr>
  </w:style>
  <w:style w:type="paragraph" w:customStyle="1" w:styleId="270">
    <w:name w:val="正文3"/>
    <w:basedOn w:val="1"/>
    <w:next w:val="1"/>
    <w:autoRedefine/>
    <w:qFormat/>
    <w:uiPriority w:val="99"/>
    <w:pPr>
      <w:tabs>
        <w:tab w:val="left" w:pos="1276"/>
      </w:tabs>
      <w:autoSpaceDE w:val="0"/>
      <w:autoSpaceDN w:val="0"/>
      <w:adjustRightInd w:val="0"/>
      <w:spacing w:line="360" w:lineRule="auto"/>
      <w:ind w:left="1276" w:hanging="425" w:firstLineChars="200"/>
    </w:pPr>
    <w:rPr>
      <w:rFonts w:hAnsi="宋体"/>
      <w:spacing w:val="4"/>
      <w:sz w:val="24"/>
    </w:rPr>
  </w:style>
  <w:style w:type="paragraph" w:customStyle="1" w:styleId="271">
    <w:name w:val="标题一"/>
    <w:basedOn w:val="1"/>
    <w:autoRedefine/>
    <w:qFormat/>
    <w:uiPriority w:val="99"/>
    <w:rPr>
      <w:b/>
      <w:sz w:val="30"/>
      <w:szCs w:val="24"/>
    </w:rPr>
  </w:style>
  <w:style w:type="character" w:customStyle="1" w:styleId="272">
    <w:name w:val="标题 1 Char1"/>
    <w:autoRedefine/>
    <w:qFormat/>
    <w:uiPriority w:val="0"/>
    <w:rPr>
      <w:rFonts w:eastAsia="宋体"/>
      <w:b/>
      <w:bCs/>
      <w:kern w:val="44"/>
      <w:sz w:val="44"/>
      <w:szCs w:val="44"/>
      <w:lang w:val="en-US" w:eastAsia="zh-CN" w:bidi="ar-SA"/>
    </w:rPr>
  </w:style>
  <w:style w:type="character" w:customStyle="1" w:styleId="273">
    <w:name w:val="question-title2"/>
    <w:basedOn w:val="55"/>
    <w:autoRedefine/>
    <w:qFormat/>
    <w:uiPriority w:val="0"/>
  </w:style>
  <w:style w:type="paragraph" w:customStyle="1" w:styleId="274">
    <w:name w:val="Char Char Char Char Char Char1 Char1"/>
    <w:basedOn w:val="1"/>
    <w:autoRedefine/>
    <w:qFormat/>
    <w:uiPriority w:val="99"/>
    <w:pPr>
      <w:ind w:left="510"/>
    </w:pPr>
    <w:rPr>
      <w:szCs w:val="24"/>
    </w:rPr>
  </w:style>
  <w:style w:type="paragraph" w:customStyle="1" w:styleId="275">
    <w:name w:val="Char Char Char Char Char Char Char"/>
    <w:basedOn w:val="1"/>
    <w:next w:val="3"/>
    <w:autoRedefine/>
    <w:qFormat/>
    <w:uiPriority w:val="99"/>
    <w:rPr>
      <w:sz w:val="28"/>
      <w:szCs w:val="28"/>
    </w:rPr>
  </w:style>
  <w:style w:type="paragraph" w:customStyle="1" w:styleId="276">
    <w:name w:val="Char Char Char Char Char Char"/>
    <w:basedOn w:val="1"/>
    <w:next w:val="3"/>
    <w:autoRedefine/>
    <w:qFormat/>
    <w:uiPriority w:val="99"/>
    <w:rPr>
      <w:szCs w:val="24"/>
    </w:rPr>
  </w:style>
  <w:style w:type="paragraph" w:customStyle="1" w:styleId="277">
    <w:name w:val="正文4"/>
    <w:autoRedefine/>
    <w:qFormat/>
    <w:uiPriority w:val="99"/>
    <w:pPr>
      <w:jc w:val="both"/>
    </w:pPr>
    <w:rPr>
      <w:rFonts w:ascii="Times New Roman" w:hAnsi="Times New Roman" w:eastAsia="宋体" w:cs="Times New Roman"/>
      <w:kern w:val="2"/>
      <w:sz w:val="21"/>
      <w:szCs w:val="21"/>
      <w:lang w:val="en-US" w:eastAsia="zh-CN" w:bidi="ar-SA"/>
    </w:rPr>
  </w:style>
  <w:style w:type="paragraph" w:customStyle="1" w:styleId="278">
    <w:name w:val="Char Char Char Char Char Char1 Char Char Char Char Char Char Char Char Char Char Char Char Char"/>
    <w:basedOn w:val="1"/>
    <w:autoRedefine/>
    <w:qFormat/>
    <w:uiPriority w:val="99"/>
    <w:rPr>
      <w:szCs w:val="24"/>
    </w:rPr>
  </w:style>
  <w:style w:type="character" w:customStyle="1" w:styleId="279">
    <w:name w:val="正文文本 Char1"/>
    <w:autoRedefine/>
    <w:qFormat/>
    <w:uiPriority w:val="0"/>
    <w:rPr>
      <w:kern w:val="2"/>
      <w:sz w:val="21"/>
      <w:szCs w:val="22"/>
    </w:rPr>
  </w:style>
  <w:style w:type="character" w:customStyle="1" w:styleId="280">
    <w:name w:val="明显强调1"/>
    <w:autoRedefine/>
    <w:qFormat/>
    <w:uiPriority w:val="0"/>
    <w:rPr>
      <w:b/>
      <w:bCs/>
      <w:i/>
      <w:iCs/>
      <w:color w:val="4F81BD"/>
    </w:rPr>
  </w:style>
  <w:style w:type="character" w:customStyle="1" w:styleId="281">
    <w:name w:val="批注主题 Char1"/>
    <w:autoRedefine/>
    <w:qFormat/>
    <w:uiPriority w:val="0"/>
    <w:rPr>
      <w:b/>
      <w:bCs/>
      <w:kern w:val="2"/>
      <w:sz w:val="21"/>
      <w:szCs w:val="22"/>
    </w:rPr>
  </w:style>
  <w:style w:type="character" w:customStyle="1" w:styleId="282">
    <w:name w:val="批注框文本 Char1"/>
    <w:autoRedefine/>
    <w:qFormat/>
    <w:uiPriority w:val="0"/>
    <w:rPr>
      <w:kern w:val="2"/>
      <w:sz w:val="18"/>
      <w:szCs w:val="18"/>
    </w:rPr>
  </w:style>
  <w:style w:type="character" w:customStyle="1" w:styleId="283">
    <w:name w:val="书籍标题1"/>
    <w:autoRedefine/>
    <w:qFormat/>
    <w:uiPriority w:val="0"/>
    <w:rPr>
      <w:b/>
      <w:bCs/>
      <w:smallCaps/>
      <w:spacing w:val="5"/>
    </w:rPr>
  </w:style>
  <w:style w:type="character" w:customStyle="1" w:styleId="284">
    <w:name w:val="副标题 字符"/>
    <w:link w:val="37"/>
    <w:autoRedefine/>
    <w:qFormat/>
    <w:uiPriority w:val="99"/>
    <w:rPr>
      <w:rFonts w:ascii="Cambria" w:hAnsi="Cambria"/>
      <w:b/>
      <w:bCs/>
      <w:kern w:val="28"/>
      <w:sz w:val="32"/>
      <w:szCs w:val="32"/>
    </w:rPr>
  </w:style>
  <w:style w:type="character" w:customStyle="1" w:styleId="285">
    <w:name w:val="副标题 Char1"/>
    <w:basedOn w:val="55"/>
    <w:autoRedefine/>
    <w:qFormat/>
    <w:uiPriority w:val="0"/>
    <w:rPr>
      <w:rFonts w:asciiTheme="majorHAnsi" w:hAnsiTheme="majorHAnsi" w:cstheme="majorBidi"/>
      <w:b/>
      <w:bCs/>
      <w:kern w:val="28"/>
      <w:sz w:val="32"/>
      <w:szCs w:val="32"/>
    </w:rPr>
  </w:style>
  <w:style w:type="character" w:customStyle="1" w:styleId="286">
    <w:name w:val="批注文字 Char Char"/>
    <w:autoRedefine/>
    <w:qFormat/>
    <w:uiPriority w:val="0"/>
    <w:rPr>
      <w:rFonts w:ascii="宋体" w:hAnsi="Times New Roman" w:eastAsia="宋体" w:cs="Times New Roman"/>
      <w:sz w:val="28"/>
      <w:szCs w:val="20"/>
    </w:rPr>
  </w:style>
  <w:style w:type="character" w:customStyle="1" w:styleId="287">
    <w:name w:val="不明显强调1"/>
    <w:autoRedefine/>
    <w:qFormat/>
    <w:uiPriority w:val="0"/>
    <w:rPr>
      <w:i/>
      <w:iCs/>
      <w:color w:val="808080"/>
    </w:rPr>
  </w:style>
  <w:style w:type="character" w:customStyle="1" w:styleId="288">
    <w:name w:val="不明显参考1"/>
    <w:autoRedefine/>
    <w:qFormat/>
    <w:uiPriority w:val="0"/>
    <w:rPr>
      <w:smallCaps/>
      <w:color w:val="C0504D"/>
      <w:u w:val="single"/>
    </w:rPr>
  </w:style>
  <w:style w:type="character" w:customStyle="1" w:styleId="289">
    <w:name w:val="明显参考1"/>
    <w:autoRedefine/>
    <w:qFormat/>
    <w:uiPriority w:val="0"/>
    <w:rPr>
      <w:b/>
      <w:bCs/>
      <w:smallCaps/>
      <w:color w:val="C0504D"/>
      <w:spacing w:val="5"/>
      <w:u w:val="single"/>
    </w:rPr>
  </w:style>
  <w:style w:type="character" w:customStyle="1" w:styleId="290">
    <w:name w:val="标题5 Char Char"/>
    <w:link w:val="291"/>
    <w:autoRedefine/>
    <w:qFormat/>
    <w:uiPriority w:val="0"/>
    <w:rPr>
      <w:rFonts w:ascii="Arial" w:hAnsi="Arial"/>
      <w:b/>
      <w:bCs/>
      <w:sz w:val="24"/>
      <w:szCs w:val="32"/>
    </w:rPr>
  </w:style>
  <w:style w:type="paragraph" w:customStyle="1" w:styleId="291">
    <w:name w:val="标题5"/>
    <w:basedOn w:val="5"/>
    <w:link w:val="290"/>
    <w:autoRedefine/>
    <w:qFormat/>
    <w:uiPriority w:val="0"/>
    <w:pPr>
      <w:spacing w:before="260" w:after="260" w:line="413" w:lineRule="auto"/>
      <w:ind w:firstLine="0"/>
    </w:pPr>
    <w:rPr>
      <w:rFonts w:ascii="Arial" w:hAnsi="Arial"/>
      <w:bCs/>
      <w:kern w:val="0"/>
      <w:szCs w:val="32"/>
    </w:rPr>
  </w:style>
  <w:style w:type="character" w:customStyle="1" w:styleId="292">
    <w:name w:val="明显引用 字符"/>
    <w:link w:val="293"/>
    <w:autoRedefine/>
    <w:qFormat/>
    <w:uiPriority w:val="99"/>
    <w:rPr>
      <w:b/>
      <w:bCs/>
      <w:i/>
      <w:iCs/>
      <w:color w:val="4F81BD"/>
    </w:rPr>
  </w:style>
  <w:style w:type="paragraph" w:styleId="293">
    <w:name w:val="Intense Quote"/>
    <w:basedOn w:val="1"/>
    <w:next w:val="1"/>
    <w:link w:val="292"/>
    <w:autoRedefine/>
    <w:qFormat/>
    <w:uiPriority w:val="99"/>
    <w:pPr>
      <w:pBdr>
        <w:bottom w:val="single" w:color="4F81BD" w:sz="4" w:space="4"/>
      </w:pBdr>
      <w:spacing w:before="200" w:after="280"/>
      <w:ind w:left="936" w:right="936"/>
    </w:pPr>
    <w:rPr>
      <w:b/>
      <w:bCs/>
      <w:i/>
      <w:iCs/>
      <w:color w:val="4F81BD"/>
      <w:kern w:val="0"/>
      <w:sz w:val="20"/>
    </w:rPr>
  </w:style>
  <w:style w:type="character" w:customStyle="1" w:styleId="294">
    <w:name w:val="明显引用 Char1"/>
    <w:basedOn w:val="55"/>
    <w:autoRedefine/>
    <w:qFormat/>
    <w:uiPriority w:val="0"/>
    <w:rPr>
      <w:b/>
      <w:bCs/>
      <w:i/>
      <w:iCs/>
      <w:color w:val="4F81BD" w:themeColor="accent1"/>
      <w:kern w:val="2"/>
      <w:sz w:val="21"/>
      <w14:textFill>
        <w14:solidFill>
          <w14:schemeClr w14:val="accent1"/>
        </w14:solidFill>
      </w14:textFill>
    </w:rPr>
  </w:style>
  <w:style w:type="character" w:customStyle="1" w:styleId="295">
    <w:name w:val="日期 Char1"/>
    <w:autoRedefine/>
    <w:qFormat/>
    <w:uiPriority w:val="0"/>
    <w:rPr>
      <w:kern w:val="2"/>
      <w:sz w:val="21"/>
      <w:szCs w:val="22"/>
    </w:rPr>
  </w:style>
  <w:style w:type="character" w:customStyle="1" w:styleId="296">
    <w:name w:val="文档结构图 Char1"/>
    <w:autoRedefine/>
    <w:qFormat/>
    <w:uiPriority w:val="0"/>
    <w:rPr>
      <w:rFonts w:ascii="宋体"/>
      <w:kern w:val="2"/>
      <w:sz w:val="18"/>
      <w:szCs w:val="18"/>
    </w:rPr>
  </w:style>
  <w:style w:type="character" w:customStyle="1" w:styleId="297">
    <w:name w:val="textcontents"/>
    <w:autoRedefine/>
    <w:qFormat/>
    <w:uiPriority w:val="0"/>
    <w:rPr>
      <w:rFonts w:cs="Times New Roman"/>
    </w:rPr>
  </w:style>
  <w:style w:type="character" w:customStyle="1" w:styleId="298">
    <w:name w:val="引用 字符"/>
    <w:link w:val="299"/>
    <w:autoRedefine/>
    <w:qFormat/>
    <w:uiPriority w:val="99"/>
    <w:rPr>
      <w:i/>
      <w:iCs/>
      <w:color w:val="000000"/>
    </w:rPr>
  </w:style>
  <w:style w:type="paragraph" w:styleId="299">
    <w:name w:val="Quote"/>
    <w:basedOn w:val="1"/>
    <w:next w:val="1"/>
    <w:link w:val="298"/>
    <w:autoRedefine/>
    <w:qFormat/>
    <w:uiPriority w:val="99"/>
    <w:rPr>
      <w:i/>
      <w:iCs/>
      <w:color w:val="000000"/>
      <w:kern w:val="0"/>
      <w:sz w:val="20"/>
    </w:rPr>
  </w:style>
  <w:style w:type="character" w:customStyle="1" w:styleId="300">
    <w:name w:val="引用 Char1"/>
    <w:basedOn w:val="55"/>
    <w:autoRedefine/>
    <w:qFormat/>
    <w:uiPriority w:val="0"/>
    <w:rPr>
      <w:i/>
      <w:iCs/>
      <w:color w:val="000000" w:themeColor="text1"/>
      <w:kern w:val="2"/>
      <w:sz w:val="21"/>
      <w14:textFill>
        <w14:solidFill>
          <w14:schemeClr w14:val="tx1"/>
        </w14:solidFill>
      </w14:textFill>
    </w:rPr>
  </w:style>
  <w:style w:type="character" w:customStyle="1" w:styleId="301">
    <w:name w:val="Char Char Char1"/>
    <w:autoRedefine/>
    <w:qFormat/>
    <w:uiPriority w:val="0"/>
    <w:rPr>
      <w:rFonts w:ascii="Verdana" w:hAnsi="Verdana" w:eastAsia="黑体"/>
      <w:lang w:eastAsia="en-US"/>
    </w:rPr>
  </w:style>
  <w:style w:type="character" w:customStyle="1" w:styleId="302">
    <w:name w:val="副标题 Char2"/>
    <w:basedOn w:val="55"/>
    <w:autoRedefine/>
    <w:qFormat/>
    <w:uiPriority w:val="0"/>
    <w:rPr>
      <w:rFonts w:ascii="Cambria" w:hAnsi="Cambria" w:cs="Times New Roman"/>
      <w:b/>
      <w:bCs/>
      <w:kern w:val="28"/>
      <w:sz w:val="32"/>
      <w:szCs w:val="32"/>
    </w:rPr>
  </w:style>
  <w:style w:type="character" w:customStyle="1" w:styleId="303">
    <w:name w:val="明显引用 Char2"/>
    <w:basedOn w:val="55"/>
    <w:autoRedefine/>
    <w:qFormat/>
    <w:uiPriority w:val="30"/>
    <w:rPr>
      <w:b/>
      <w:bCs/>
      <w:i/>
      <w:iCs/>
      <w:color w:val="4F81BD"/>
    </w:rPr>
  </w:style>
  <w:style w:type="paragraph" w:styleId="304">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305">
    <w:name w:val="Char Char Char Char Char Char Char1"/>
    <w:basedOn w:val="1"/>
    <w:autoRedefine/>
    <w:qFormat/>
    <w:uiPriority w:val="99"/>
    <w:pPr>
      <w:jc w:val="left"/>
    </w:pPr>
    <w:rPr>
      <w:rFonts w:ascii="宋体" w:hAnsi="宋体" w:cs="宋体"/>
      <w:kern w:val="0"/>
      <w:sz w:val="24"/>
      <w:szCs w:val="24"/>
    </w:rPr>
  </w:style>
  <w:style w:type="character" w:customStyle="1" w:styleId="306">
    <w:name w:val="引用 Char2"/>
    <w:basedOn w:val="55"/>
    <w:autoRedefine/>
    <w:qFormat/>
    <w:uiPriority w:val="29"/>
    <w:rPr>
      <w:i/>
      <w:iCs/>
      <w:color w:val="000000"/>
    </w:rPr>
  </w:style>
  <w:style w:type="paragraph" w:customStyle="1" w:styleId="307">
    <w:name w:val="Char11"/>
    <w:basedOn w:val="1"/>
    <w:autoRedefine/>
    <w:qFormat/>
    <w:uiPriority w:val="99"/>
    <w:rPr>
      <w:rFonts w:ascii="仿宋_GB2312" w:eastAsia="仿宋_GB2312"/>
      <w:b/>
      <w:sz w:val="32"/>
      <w:szCs w:val="32"/>
    </w:rPr>
  </w:style>
  <w:style w:type="paragraph" w:customStyle="1" w:styleId="308">
    <w:name w:val="Char12"/>
    <w:basedOn w:val="1"/>
    <w:autoRedefine/>
    <w:qFormat/>
    <w:uiPriority w:val="99"/>
    <w:pPr>
      <w:pageBreakBefore/>
      <w:spacing w:line="360" w:lineRule="auto"/>
    </w:pPr>
    <w:rPr>
      <w:sz w:val="28"/>
    </w:rPr>
  </w:style>
  <w:style w:type="paragraph" w:customStyle="1" w:styleId="309">
    <w:name w:val="flNote"/>
    <w:basedOn w:val="1"/>
    <w:autoRedefine/>
    <w:qFormat/>
    <w:uiPriority w:val="99"/>
    <w:pPr>
      <w:adjustRightInd w:val="0"/>
      <w:spacing w:before="320" w:after="160" w:line="360" w:lineRule="atLeast"/>
      <w:jc w:val="center"/>
    </w:pPr>
    <w:rPr>
      <w:rFonts w:ascii="Arial" w:eastAsia="黑体"/>
      <w:kern w:val="0"/>
      <w:sz w:val="30"/>
    </w:rPr>
  </w:style>
  <w:style w:type="paragraph" w:customStyle="1" w:styleId="310">
    <w:name w:val="空半行"/>
    <w:basedOn w:val="1"/>
    <w:autoRedefine/>
    <w:qFormat/>
    <w:uiPriority w:val="99"/>
    <w:pPr>
      <w:adjustRightInd w:val="0"/>
      <w:spacing w:line="120" w:lineRule="exact"/>
    </w:pPr>
    <w:rPr>
      <w:rFonts w:eastAsia="仿宋_GB2312"/>
      <w:color w:val="FFFFFF"/>
      <w:kern w:val="0"/>
      <w:sz w:val="30"/>
    </w:rPr>
  </w:style>
  <w:style w:type="character" w:customStyle="1" w:styleId="311">
    <w:name w:val="标题 Char1"/>
    <w:basedOn w:val="55"/>
    <w:autoRedefine/>
    <w:qFormat/>
    <w:locked/>
    <w:uiPriority w:val="0"/>
    <w:rPr>
      <w:rFonts w:ascii="Cambria" w:hAnsi="Cambria"/>
      <w:b/>
      <w:bCs/>
      <w:kern w:val="2"/>
      <w:sz w:val="32"/>
      <w:szCs w:val="32"/>
    </w:rPr>
  </w:style>
  <w:style w:type="character" w:customStyle="1" w:styleId="312">
    <w:name w:val="正文文本 Char2"/>
    <w:basedOn w:val="55"/>
    <w:autoRedefine/>
    <w:qFormat/>
    <w:locked/>
    <w:uiPriority w:val="0"/>
  </w:style>
  <w:style w:type="paragraph" w:customStyle="1" w:styleId="313">
    <w:name w:val="Normal_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314">
    <w:name w:val="标题 1 字符1"/>
    <w:basedOn w:val="55"/>
    <w:autoRedefine/>
    <w:qFormat/>
    <w:uiPriority w:val="0"/>
    <w:rPr>
      <w:b/>
      <w:bCs/>
      <w:kern w:val="44"/>
      <w:sz w:val="44"/>
      <w:szCs w:val="44"/>
    </w:rPr>
  </w:style>
  <w:style w:type="paragraph" w:customStyle="1" w:styleId="315">
    <w:name w:val="msonormal"/>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316">
    <w:name w:val="副标题 字符1"/>
    <w:basedOn w:val="55"/>
    <w:autoRedefine/>
    <w:qFormat/>
    <w:uiPriority w:val="11"/>
    <w:rPr>
      <w:rFonts w:hint="default" w:asciiTheme="minorHAnsi" w:hAnsiTheme="minorHAnsi" w:eastAsiaTheme="minorEastAsia" w:cstheme="minorBidi"/>
      <w:b/>
      <w:bCs/>
      <w:kern w:val="28"/>
      <w:sz w:val="32"/>
      <w:szCs w:val="32"/>
    </w:rPr>
  </w:style>
  <w:style w:type="character" w:customStyle="1" w:styleId="317">
    <w:name w:val="明显引用 字符1"/>
    <w:basedOn w:val="55"/>
    <w:autoRedefine/>
    <w:qFormat/>
    <w:uiPriority w:val="30"/>
    <w:rPr>
      <w:i/>
      <w:iCs/>
      <w:color w:val="4F81BD" w:themeColor="accent1"/>
      <w14:textFill>
        <w14:solidFill>
          <w14:schemeClr w14:val="accent1"/>
        </w14:solidFill>
      </w14:textFill>
    </w:rPr>
  </w:style>
  <w:style w:type="character" w:customStyle="1" w:styleId="318">
    <w:name w:val="引用 字符1"/>
    <w:basedOn w:val="55"/>
    <w:autoRedefine/>
    <w:qFormat/>
    <w:uiPriority w:val="29"/>
    <w:rPr>
      <w:i/>
      <w:iCs/>
      <w:color w:val="404040" w:themeColor="text1" w:themeTint="BF"/>
      <w14:textFill>
        <w14:solidFill>
          <w14:schemeClr w14:val="tx1">
            <w14:lumMod w14:val="75000"/>
            <w14:lumOff w14:val="25000"/>
          </w14:schemeClr>
        </w14:solidFill>
      </w14:textFill>
    </w:rPr>
  </w:style>
  <w:style w:type="paragraph" w:customStyle="1" w:styleId="319">
    <w:name w:val="正文_5_0"/>
    <w:autoRedefine/>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320">
    <w:name w:val="Normal_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1">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22">
    <w:name w:val="10"/>
    <w:basedOn w:val="55"/>
    <w:autoRedefine/>
    <w:qFormat/>
    <w:uiPriority w:val="0"/>
    <w:rPr>
      <w:rFonts w:hint="default" w:ascii="Times New Roman" w:hAnsi="Times New Roman" w:cs="Times New Roman"/>
    </w:rPr>
  </w:style>
  <w:style w:type="character" w:customStyle="1" w:styleId="323">
    <w:name w:val="p0 Char"/>
    <w:link w:val="100"/>
    <w:autoRedefine/>
    <w:qFormat/>
    <w:uiPriority w:val="99"/>
    <w:rPr>
      <w:sz w:val="21"/>
      <w:szCs w:val="21"/>
    </w:rPr>
  </w:style>
  <w:style w:type="character" w:customStyle="1" w:styleId="324">
    <w:name w:val="未处理的提及1"/>
    <w:basedOn w:val="55"/>
    <w:autoRedefine/>
    <w:semiHidden/>
    <w:unhideWhenUsed/>
    <w:qFormat/>
    <w:uiPriority w:val="99"/>
    <w:rPr>
      <w:color w:val="605E5C"/>
      <w:shd w:val="clear" w:color="auto" w:fill="E1DFDD"/>
    </w:rPr>
  </w:style>
  <w:style w:type="character" w:customStyle="1" w:styleId="325">
    <w:name w:val="Char Char8"/>
    <w:autoRedefine/>
    <w:qFormat/>
    <w:uiPriority w:val="0"/>
    <w:rPr>
      <w:rFonts w:hint="default" w:ascii="Arial" w:hAnsi="Arial" w:eastAsia="黑体" w:cs="Arial"/>
      <w:b/>
      <w:bCs/>
      <w:kern w:val="2"/>
      <w:sz w:val="32"/>
      <w:szCs w:val="32"/>
      <w:lang w:val="en-US" w:eastAsia="zh-CN" w:bidi="ar-SA"/>
    </w:rPr>
  </w:style>
  <w:style w:type="paragraph" w:customStyle="1" w:styleId="326">
    <w:name w:val="Table Paragraph"/>
    <w:basedOn w:val="1"/>
    <w:autoRedefine/>
    <w:qFormat/>
    <w:uiPriority w:val="1"/>
    <w:pPr>
      <w:autoSpaceDE w:val="0"/>
      <w:autoSpaceDN w:val="0"/>
      <w:spacing w:before="2"/>
      <w:jc w:val="left"/>
    </w:pPr>
    <w:rPr>
      <w:rFonts w:ascii="宋体" w:hAnsi="宋体" w:cs="宋体"/>
      <w:kern w:val="0"/>
      <w:sz w:val="22"/>
      <w:szCs w:val="22"/>
      <w:lang w:eastAsia="en-US"/>
    </w:rPr>
  </w:style>
  <w:style w:type="character" w:customStyle="1" w:styleId="327">
    <w:name w:val="日期 字符1"/>
    <w:basedOn w:val="55"/>
    <w:autoRedefine/>
    <w:semiHidden/>
    <w:qFormat/>
    <w:uiPriority w:val="99"/>
    <w:rPr>
      <w:rFonts w:ascii="Times New Roman" w:hAnsi="Times New Roman" w:eastAsia="宋体" w:cs="Times New Roman"/>
      <w:szCs w:val="20"/>
    </w:rPr>
  </w:style>
  <w:style w:type="character" w:customStyle="1" w:styleId="328">
    <w:name w:val="宏文本 字符1"/>
    <w:basedOn w:val="55"/>
    <w:autoRedefine/>
    <w:semiHidden/>
    <w:qFormat/>
    <w:uiPriority w:val="99"/>
    <w:rPr>
      <w:rFonts w:ascii="Courier New" w:hAnsi="Courier New" w:eastAsia="宋体" w:cs="Courier New"/>
      <w:sz w:val="24"/>
      <w:szCs w:val="24"/>
    </w:rPr>
  </w:style>
  <w:style w:type="character" w:customStyle="1" w:styleId="329">
    <w:name w:val="正文文本首行缩进 2 字符1"/>
    <w:basedOn w:val="124"/>
    <w:autoRedefine/>
    <w:semiHidden/>
    <w:qFormat/>
    <w:uiPriority w:val="99"/>
    <w:rPr>
      <w:rFonts w:ascii="Times New Roman" w:hAnsi="Times New Roman" w:eastAsia="宋体" w:cs="Times New Roman"/>
      <w:kern w:val="2"/>
      <w:sz w:val="21"/>
      <w:szCs w:val="20"/>
    </w:rPr>
  </w:style>
  <w:style w:type="character" w:customStyle="1" w:styleId="330">
    <w:name w:val="未处理的提及2"/>
    <w:basedOn w:val="55"/>
    <w:autoRedefine/>
    <w:semiHidden/>
    <w:unhideWhenUsed/>
    <w:qFormat/>
    <w:uiPriority w:val="99"/>
    <w:rPr>
      <w:color w:val="605E5C"/>
      <w:shd w:val="clear" w:color="auto" w:fill="E1DFDD"/>
    </w:rPr>
  </w:style>
  <w:style w:type="table" w:customStyle="1" w:styleId="331">
    <w:name w:val="Table Normal"/>
    <w:autoRedefine/>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332">
    <w:name w:val="p16"/>
    <w:basedOn w:val="1"/>
    <w:autoRedefine/>
    <w:qFormat/>
    <w:uiPriority w:val="0"/>
    <w:pPr>
      <w:widowControl/>
    </w:pPr>
    <w:rPr>
      <w:rFonts w:ascii="Calibri" w:hAnsi="Calibri" w:cs="宋体"/>
      <w:kern w:val="0"/>
      <w:szCs w:val="21"/>
    </w:rPr>
  </w:style>
  <w:style w:type="character" w:customStyle="1" w:styleId="333">
    <w:name w:val="正文文本缩进 字符1"/>
    <w:basedOn w:val="55"/>
    <w:autoRedefine/>
    <w:qFormat/>
    <w:uiPriority w:val="0"/>
  </w:style>
  <w:style w:type="character" w:customStyle="1" w:styleId="334">
    <w:name w:val="未处理的提及3"/>
    <w:basedOn w:val="55"/>
    <w:autoRedefine/>
    <w:semiHidden/>
    <w:unhideWhenUsed/>
    <w:qFormat/>
    <w:uiPriority w:val="99"/>
    <w:rPr>
      <w:color w:val="605E5C"/>
      <w:shd w:val="clear" w:color="auto" w:fill="E1DFDD"/>
    </w:rPr>
  </w:style>
  <w:style w:type="paragraph" w:customStyle="1" w:styleId="335">
    <w:name w:val="tiaonoa"/>
    <w:basedOn w:val="1"/>
    <w:autoRedefine/>
    <w:qFormat/>
    <w:uiPriority w:val="0"/>
    <w:pPr>
      <w:widowControl/>
      <w:spacing w:before="100" w:beforeAutospacing="1" w:after="100" w:afterAutospacing="1"/>
      <w:jc w:val="left"/>
    </w:pPr>
    <w:rPr>
      <w:rFonts w:ascii="宋体" w:hAnsi="宋体" w:cs="宋体"/>
      <w:b/>
      <w:bCs/>
      <w:smallCaps/>
      <w:color w:val="000000"/>
      <w:kern w:val="0"/>
      <w:sz w:val="18"/>
      <w:szCs w:val="18"/>
    </w:rPr>
  </w:style>
  <w:style w:type="paragraph" w:customStyle="1" w:styleId="336">
    <w:name w:val="节标题"/>
    <w:basedOn w:val="1"/>
    <w:autoRedefine/>
    <w:qFormat/>
    <w:uiPriority w:val="0"/>
    <w:pPr>
      <w:widowControl/>
      <w:spacing w:line="289" w:lineRule="atLeast"/>
      <w:jc w:val="center"/>
      <w:textAlignment w:val="baseline"/>
    </w:pPr>
    <w:rPr>
      <w:color w:val="000000"/>
      <w:kern w:val="0"/>
      <w:sz w:val="28"/>
      <w:u w:color="000000"/>
    </w:rPr>
  </w:style>
  <w:style w:type="character" w:customStyle="1" w:styleId="337">
    <w:name w:val="未处理的提及4"/>
    <w:basedOn w:val="55"/>
    <w:autoRedefine/>
    <w:semiHidden/>
    <w:unhideWhenUsed/>
    <w:qFormat/>
    <w:uiPriority w:val="99"/>
    <w:rPr>
      <w:color w:val="605E5C"/>
      <w:shd w:val="clear" w:color="auto" w:fill="E1DFDD"/>
    </w:rPr>
  </w:style>
  <w:style w:type="paragraph" w:customStyle="1" w:styleId="33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39">
    <w:name w:val="列出段落1"/>
    <w:basedOn w:val="1"/>
    <w:qFormat/>
    <w:uiPriority w:val="0"/>
    <w:pPr>
      <w:ind w:firstLine="420" w:firstLineChars="200"/>
    </w:pPr>
    <w:rPr>
      <w:szCs w:val="21"/>
    </w:rPr>
  </w:style>
  <w:style w:type="paragraph" w:customStyle="1" w:styleId="34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41">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342">
    <w:name w:val="修订3"/>
    <w:hidden/>
    <w:unhideWhenUsed/>
    <w:qFormat/>
    <w:uiPriority w:val="99"/>
    <w:rPr>
      <w:rFonts w:ascii="Times New Roman" w:hAnsi="Times New Roman" w:eastAsia="宋体" w:cs="Times New Roman"/>
      <w:kern w:val="2"/>
      <w:sz w:val="21"/>
      <w:lang w:val="en-US" w:eastAsia="zh-CN" w:bidi="ar-SA"/>
    </w:rPr>
  </w:style>
  <w:style w:type="paragraph" w:customStyle="1" w:styleId="343">
    <w:name w:val="修订4"/>
    <w:hidden/>
    <w:unhideWhenUsed/>
    <w:qFormat/>
    <w:uiPriority w:val="99"/>
    <w:rPr>
      <w:rFonts w:ascii="Times New Roman" w:hAnsi="Times New Roman" w:eastAsia="宋体" w:cs="Times New Roman"/>
      <w:kern w:val="2"/>
      <w:sz w:val="21"/>
      <w:lang w:val="en-US" w:eastAsia="zh-CN" w:bidi="ar-SA"/>
    </w:rPr>
  </w:style>
  <w:style w:type="paragraph" w:customStyle="1" w:styleId="344">
    <w:name w:val="修订5"/>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83E6C-DE61-4E10-A520-A97999310A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104</Pages>
  <Words>2413</Words>
  <Characters>3017</Characters>
  <Lines>566</Lines>
  <Paragraphs>159</Paragraphs>
  <TotalTime>83</TotalTime>
  <ScaleCrop>false</ScaleCrop>
  <LinksUpToDate>false</LinksUpToDate>
  <CharactersWithSpaces>3100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2024-11-11T08:28:00Z</dcterms:created>
  <dc:creator>云南铭漾</dc:creator>
  <cp:lastModifiedBy>ZSS</cp:lastModifiedBy>
  <cp:lastPrinted>2024-08-02T03:18:00Z</cp:lastPrinted>
  <dcterms:modified xsi:type="dcterms:W3CDTF">2024-11-11T09:46:56Z</dcterms:modified>
  <dc:title>昆明市二十四中</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1C6445723587403A86761C3DD6ECF3B9_13</vt:lpwstr>
  </property>
</Properties>
</file>